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eastAsia="黑体"/>
          <w:b/>
          <w:color w:val="auto"/>
          <w:sz w:val="36"/>
          <w:highlight w:val="none"/>
        </w:rPr>
      </w:pPr>
      <w:r>
        <w:rPr>
          <w:rFonts w:hint="eastAsia" w:ascii="黑体" w:eastAsia="黑体"/>
          <w:color w:val="auto"/>
          <w:szCs w:val="21"/>
          <w:highlight w:val="none"/>
          <w:lang w:eastAsia="zh-CN"/>
        </w:rPr>
        <w:drawing>
          <wp:inline distT="0" distB="0" distL="114300" distR="114300">
            <wp:extent cx="682625" cy="652145"/>
            <wp:effectExtent l="0" t="0" r="3175" b="1460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8"/>
                    <a:srcRect l="6233" t="18358" r="67326" b="19339"/>
                    <a:stretch>
                      <a:fillRect/>
                    </a:stretch>
                  </pic:blipFill>
                  <pic:spPr>
                    <a:xfrm>
                      <a:off x="0" y="0"/>
                      <a:ext cx="682625" cy="652145"/>
                    </a:xfrm>
                    <a:prstGeom prst="rect">
                      <a:avLst/>
                    </a:prstGeom>
                  </pic:spPr>
                </pic:pic>
              </a:graphicData>
            </a:graphic>
          </wp:inline>
        </w:drawing>
      </w:r>
    </w:p>
    <w:p>
      <w:pPr>
        <w:jc w:val="right"/>
        <w:rPr>
          <w:rFonts w:eastAsia="黑体"/>
          <w:b/>
          <w:color w:val="auto"/>
          <w:sz w:val="36"/>
          <w:highlight w:val="none"/>
        </w:rPr>
      </w:pPr>
    </w:p>
    <w:p>
      <w:pPr>
        <w:rPr>
          <w:color w:val="auto"/>
          <w:highlight w:val="none"/>
        </w:rPr>
      </w:pPr>
    </w:p>
    <w:p>
      <w:pPr>
        <w:rPr>
          <w:color w:val="auto"/>
          <w:highlight w:val="none"/>
        </w:rPr>
      </w:pPr>
    </w:p>
    <w:p>
      <w:pPr>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ind w:right="-28"/>
        <w:jc w:val="center"/>
        <w:textAlignment w:val="bottom"/>
        <w:rPr>
          <w:rFonts w:hint="eastAsia" w:ascii="黑体" w:hAnsi="黑体" w:eastAsia="黑体" w:cs="黑体"/>
          <w:b w:val="0"/>
          <w:bCs/>
          <w:color w:val="auto"/>
          <w:spacing w:val="57"/>
          <w:sz w:val="72"/>
          <w:szCs w:val="72"/>
          <w:highlight w:val="none"/>
        </w:rPr>
      </w:pPr>
      <w:r>
        <w:rPr>
          <w:rFonts w:hint="eastAsia" w:ascii="黑体" w:hAnsi="黑体" w:eastAsia="黑体" w:cs="黑体"/>
          <w:b w:val="0"/>
          <w:bCs/>
          <w:color w:val="auto"/>
          <w:spacing w:val="57"/>
          <w:sz w:val="72"/>
          <w:szCs w:val="72"/>
          <w:highlight w:val="none"/>
        </w:rPr>
        <w:t>公开招标文件</w:t>
      </w:r>
    </w:p>
    <w:p>
      <w:pPr>
        <w:jc w:val="center"/>
        <w:rPr>
          <w:rFonts w:hint="eastAsia" w:ascii="黑体" w:hAnsi="黑体" w:eastAsia="黑体" w:cs="黑体"/>
          <w:color w:val="auto"/>
          <w:highlight w:val="none"/>
        </w:rPr>
      </w:pPr>
      <w:r>
        <w:rPr>
          <w:rFonts w:hint="eastAsia" w:ascii="黑体" w:hAnsi="黑体" w:eastAsia="黑体" w:cs="黑体"/>
          <w:b w:val="0"/>
          <w:bCs/>
          <w:color w:val="auto"/>
          <w:spacing w:val="57"/>
          <w:sz w:val="72"/>
          <w:szCs w:val="72"/>
          <w:highlight w:val="none"/>
          <w:lang w:val="en-US" w:eastAsia="zh-CN"/>
        </w:rPr>
        <w:t>国内</w:t>
      </w:r>
      <w:r>
        <w:rPr>
          <w:rFonts w:hint="eastAsia" w:ascii="黑体" w:hAnsi="黑体" w:eastAsia="黑体" w:cs="黑体"/>
          <w:b w:val="0"/>
          <w:bCs/>
          <w:color w:val="auto"/>
          <w:spacing w:val="57"/>
          <w:sz w:val="72"/>
          <w:szCs w:val="72"/>
          <w:highlight w:val="none"/>
        </w:rPr>
        <w:t>采购</w:t>
      </w:r>
    </w:p>
    <w:p>
      <w:pPr>
        <w:jc w:val="center"/>
        <w:rPr>
          <w:color w:val="auto"/>
          <w:highlight w:val="none"/>
        </w:rPr>
      </w:pPr>
    </w:p>
    <w:p>
      <w:pPr>
        <w:rPr>
          <w:color w:val="auto"/>
          <w:highlight w:val="none"/>
        </w:rPr>
      </w:pPr>
    </w:p>
    <w:tbl>
      <w:tblPr>
        <w:tblStyle w:val="22"/>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13"/>
        <w:gridCol w:w="62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trPr>
        <w:tc>
          <w:tcPr>
            <w:tcW w:w="2613"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6203" w:type="dxa"/>
            <w:noWrap/>
            <w:vAlign w:val="center"/>
          </w:tcPr>
          <w:p>
            <w:pPr>
              <w:spacing w:before="200"/>
              <w:jc w:val="both"/>
              <w:rPr>
                <w:rFonts w:hint="eastAsia"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eastAsia="zh-CN"/>
              </w:rPr>
              <w:t>村尾村干道车辆管理系统安装项目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2613"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项目采购编号：</w:t>
            </w:r>
          </w:p>
        </w:tc>
        <w:tc>
          <w:tcPr>
            <w:tcW w:w="6203"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GDZT2021109A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9" w:hRule="atLeast"/>
        </w:trPr>
        <w:tc>
          <w:tcPr>
            <w:tcW w:w="2613"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p>
        </w:tc>
        <w:tc>
          <w:tcPr>
            <w:tcW w:w="6203"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东莞市三汇实业投资有限公司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9" w:hRule="atLeast"/>
        </w:trPr>
        <w:tc>
          <w:tcPr>
            <w:tcW w:w="2613" w:type="dxa"/>
            <w:noWrap/>
            <w:vAlign w:val="center"/>
          </w:tcPr>
          <w:p>
            <w:pPr>
              <w:spacing w:before="200"/>
              <w:jc w:val="both"/>
              <w:rPr>
                <w:rFonts w:hint="default"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招标代理：</w:t>
            </w:r>
          </w:p>
        </w:tc>
        <w:tc>
          <w:tcPr>
            <w:tcW w:w="6203"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eastAsia="zh-CN"/>
              </w:rPr>
              <w:t>广东政通招标有限公司</w:t>
            </w:r>
          </w:p>
        </w:tc>
      </w:tr>
    </w:tbl>
    <w:p>
      <w:pPr>
        <w:jc w:val="center"/>
        <w:rPr>
          <w:rFonts w:ascii="黑体" w:eastAsia="黑体"/>
          <w:color w:val="auto"/>
          <w:szCs w:val="21"/>
          <w:highlight w:val="none"/>
        </w:rPr>
      </w:pPr>
    </w:p>
    <w:p>
      <w:pPr>
        <w:jc w:val="center"/>
        <w:rPr>
          <w:rFonts w:ascii="黑体" w:eastAsia="黑体"/>
          <w:color w:val="auto"/>
          <w:szCs w:val="21"/>
          <w:highlight w:val="none"/>
        </w:rPr>
      </w:pPr>
    </w:p>
    <w:p>
      <w:pPr>
        <w:jc w:val="center"/>
        <w:rPr>
          <w:rFonts w:ascii="黑体" w:eastAsia="黑体"/>
          <w:color w:val="auto"/>
          <w:szCs w:val="21"/>
          <w:highlight w:val="none"/>
        </w:rPr>
      </w:pPr>
    </w:p>
    <w:p>
      <w:pPr>
        <w:jc w:val="center"/>
        <w:rPr>
          <w:rFonts w:ascii="黑体" w:eastAsia="黑体"/>
          <w:color w:val="auto"/>
          <w:szCs w:val="21"/>
          <w:highlight w:val="none"/>
        </w:rPr>
      </w:pPr>
    </w:p>
    <w:p>
      <w:pPr>
        <w:pStyle w:val="18"/>
        <w:rPr>
          <w:color w:val="auto"/>
          <w:sz w:val="32"/>
          <w:szCs w:val="32"/>
          <w:highlight w:val="none"/>
        </w:rPr>
        <w:sectPr>
          <w:headerReference r:id="rId4" w:type="default"/>
          <w:pgSz w:w="11906" w:h="16838"/>
          <w:pgMar w:top="1440" w:right="1800" w:bottom="1440" w:left="1800" w:header="708" w:footer="708" w:gutter="0"/>
          <w:pgNumType w:start="0"/>
          <w:cols w:space="708" w:num="1"/>
          <w:titlePg/>
          <w:docGrid w:type="lines" w:linePitch="360" w:charSpace="0"/>
        </w:sectPr>
      </w:pPr>
      <w:r>
        <w:rPr>
          <w:rFonts w:hint="eastAsia" w:ascii="黑体" w:eastAsia="黑体"/>
          <w:color w:val="auto"/>
          <w:szCs w:val="21"/>
          <w:highlight w:val="none"/>
          <w:lang w:eastAsia="zh-CN"/>
        </w:rPr>
        <w:drawing>
          <wp:inline distT="0" distB="0" distL="114300" distR="114300">
            <wp:extent cx="3716020" cy="633730"/>
            <wp:effectExtent l="0" t="0" r="17780" b="13970"/>
            <wp:docPr id="14" name="图片 14" descr="QQ截图2020060316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QQ截图20200603163515"/>
                    <pic:cNvPicPr>
                      <a:picLocks noChangeAspect="1"/>
                    </pic:cNvPicPr>
                  </pic:nvPicPr>
                  <pic:blipFill>
                    <a:blip r:embed="rId9"/>
                    <a:srcRect l="6033" t="52170" r="5754" b="9299"/>
                    <a:stretch>
                      <a:fillRect/>
                    </a:stretch>
                  </pic:blipFill>
                  <pic:spPr>
                    <a:xfrm>
                      <a:off x="0" y="0"/>
                      <a:ext cx="3716020" cy="633730"/>
                    </a:xfrm>
                    <a:prstGeom prst="rect">
                      <a:avLst/>
                    </a:prstGeom>
                  </pic:spPr>
                </pic:pic>
              </a:graphicData>
            </a:graphic>
          </wp:inline>
        </w:drawing>
      </w:r>
    </w:p>
    <w:p>
      <w:pPr>
        <w:pStyle w:val="18"/>
        <w:rPr>
          <w:color w:val="auto"/>
          <w:sz w:val="40"/>
          <w:szCs w:val="40"/>
          <w:highlight w:val="none"/>
        </w:rPr>
      </w:pPr>
      <w:r>
        <w:rPr>
          <w:rFonts w:hint="eastAsia"/>
          <w:color w:val="auto"/>
          <w:sz w:val="40"/>
          <w:szCs w:val="40"/>
          <w:highlight w:val="none"/>
        </w:rPr>
        <w:t>目录</w:t>
      </w:r>
    </w:p>
    <w:p>
      <w:pPr>
        <w:pStyle w:val="10"/>
        <w:tabs>
          <w:tab w:val="right" w:leader="dot" w:pos="8306"/>
          <w:tab w:val="clear" w:pos="8296"/>
        </w:tabs>
        <w:spacing w:after="0" w:line="360" w:lineRule="auto"/>
        <w:ind w:left="0" w:leftChars="0"/>
        <w:rPr>
          <w:rFonts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TOC \o "1-4" \h \z \u </w:instrText>
      </w:r>
      <w:r>
        <w:rPr>
          <w:rFonts w:hint="eastAsia" w:ascii="宋体" w:hAnsi="宋体" w:eastAsia="宋体" w:cs="宋体"/>
          <w:color w:val="auto"/>
          <w:highlight w:val="none"/>
        </w:rPr>
        <w:fldChar w:fldCharType="separate"/>
      </w:r>
      <w:r>
        <w:rPr>
          <w:color w:val="auto"/>
          <w:highlight w:val="none"/>
        </w:rPr>
        <w:fldChar w:fldCharType="begin"/>
      </w:r>
      <w:r>
        <w:rPr>
          <w:color w:val="auto"/>
          <w:highlight w:val="none"/>
        </w:rPr>
        <w:instrText xml:space="preserve"> HYPERLINK \l "_Toc1420" </w:instrText>
      </w:r>
      <w:r>
        <w:rPr>
          <w:color w:val="auto"/>
          <w:highlight w:val="none"/>
        </w:rPr>
        <w:fldChar w:fldCharType="separate"/>
      </w:r>
      <w:r>
        <w:rPr>
          <w:rFonts w:hint="eastAsia" w:ascii="宋体" w:hAnsi="宋体" w:eastAsia="宋体" w:cs="宋体"/>
          <w:color w:val="auto"/>
          <w:highlight w:val="none"/>
        </w:rPr>
        <w:t>投标邀请书</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_Toc1420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18"/>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"_Toc14146" </w:instrText>
      </w:r>
      <w:r>
        <w:rPr>
          <w:color w:val="auto"/>
          <w:highlight w:val="none"/>
        </w:rPr>
        <w:fldChar w:fldCharType="separate"/>
      </w:r>
      <w:r>
        <w:rPr>
          <w:rFonts w:hint="eastAsia" w:cs="宋体"/>
          <w:color w:val="auto"/>
          <w:sz w:val="21"/>
          <w:szCs w:val="21"/>
          <w:highlight w:val="none"/>
        </w:rPr>
        <w:t>第二部分 相关资料表格</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_Toc14146 </w:instrText>
      </w:r>
      <w:r>
        <w:rPr>
          <w:rFonts w:hint="eastAsia" w:cs="宋体"/>
          <w:color w:val="auto"/>
          <w:sz w:val="21"/>
          <w:szCs w:val="21"/>
          <w:highlight w:val="none"/>
        </w:rPr>
        <w:fldChar w:fldCharType="separate"/>
      </w:r>
      <w:r>
        <w:rPr>
          <w:rFonts w:hint="eastAsia" w:cs="宋体"/>
          <w:color w:val="auto"/>
          <w:sz w:val="21"/>
          <w:szCs w:val="21"/>
          <w:highlight w:val="none"/>
        </w:rPr>
        <w:t>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spacing w:after="0" w:line="360" w:lineRule="auto"/>
        <w:ind w:left="0" w:leftChars="0"/>
        <w:rPr>
          <w:rFonts w:ascii="宋体" w:hAnsi="宋体" w:eastAsia="宋体" w:cs="宋体"/>
          <w:color w:val="auto"/>
          <w:highlight w:val="none"/>
        </w:rPr>
      </w:pPr>
      <w:r>
        <w:rPr>
          <w:color w:val="auto"/>
          <w:highlight w:val="none"/>
        </w:rPr>
        <w:fldChar w:fldCharType="begin"/>
      </w:r>
      <w:r>
        <w:rPr>
          <w:color w:val="auto"/>
          <w:highlight w:val="none"/>
        </w:rPr>
        <w:instrText xml:space="preserve"> HYPERLINK \l "_Toc20683" </w:instrText>
      </w:r>
      <w:r>
        <w:rPr>
          <w:color w:val="auto"/>
          <w:highlight w:val="none"/>
        </w:rPr>
        <w:fldChar w:fldCharType="separate"/>
      </w:r>
      <w:r>
        <w:rPr>
          <w:rFonts w:hint="eastAsia" w:ascii="宋体" w:hAnsi="宋体" w:eastAsia="宋体" w:cs="宋体"/>
          <w:color w:val="auto"/>
          <w:highlight w:val="none"/>
        </w:rPr>
        <w:t>附表一：投标资料表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_Toc20683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10"/>
        <w:tabs>
          <w:tab w:val="right" w:leader="dot" w:pos="8306"/>
          <w:tab w:val="clear" w:pos="8296"/>
        </w:tabs>
        <w:spacing w:after="0" w:line="360" w:lineRule="auto"/>
        <w:ind w:left="0" w:leftChars="0"/>
        <w:rPr>
          <w:rFonts w:hint="eastAsia" w:ascii="宋体" w:hAnsi="宋体" w:eastAsia="宋体" w:cs="宋体"/>
          <w:color w:val="auto"/>
          <w:highlight w:val="none"/>
          <w:lang w:val="en-US" w:eastAsia="zh-CN"/>
        </w:rPr>
      </w:pPr>
      <w:r>
        <w:rPr>
          <w:color w:val="auto"/>
          <w:highlight w:val="none"/>
        </w:rPr>
        <w:fldChar w:fldCharType="begin"/>
      </w:r>
      <w:r>
        <w:rPr>
          <w:color w:val="auto"/>
          <w:highlight w:val="none"/>
        </w:rPr>
        <w:instrText xml:space="preserve"> HYPERLINK \l "_Toc9572" </w:instrText>
      </w:r>
      <w:r>
        <w:rPr>
          <w:color w:val="auto"/>
          <w:highlight w:val="none"/>
        </w:rPr>
        <w:fldChar w:fldCharType="separate"/>
      </w:r>
      <w:r>
        <w:rPr>
          <w:rFonts w:hint="eastAsia" w:ascii="宋体" w:hAnsi="宋体" w:eastAsia="宋体" w:cs="宋体"/>
          <w:color w:val="auto"/>
          <w:highlight w:val="none"/>
        </w:rPr>
        <w:t>附表二：商务技术评分及价格权重表</w:t>
      </w:r>
      <w:r>
        <w:rPr>
          <w:rFonts w:hint="eastAsia" w:ascii="宋体" w:hAnsi="宋体" w:eastAsia="宋体" w:cs="宋体"/>
          <w:color w:val="auto"/>
          <w:highlight w:val="none"/>
        </w:rPr>
        <w:tab/>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fldChar w:fldCharType="end"/>
      </w:r>
      <w:r>
        <w:rPr>
          <w:rFonts w:hint="eastAsia" w:ascii="宋体" w:hAnsi="宋体" w:eastAsia="宋体" w:cs="宋体"/>
          <w:color w:val="auto"/>
          <w:highlight w:val="none"/>
          <w:lang w:val="en-US" w:eastAsia="zh-CN"/>
        </w:rPr>
        <w:t>0</w:t>
      </w:r>
    </w:p>
    <w:p>
      <w:pPr>
        <w:pStyle w:val="18"/>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"_Toc31854" </w:instrText>
      </w:r>
      <w:r>
        <w:rPr>
          <w:color w:val="auto"/>
          <w:highlight w:val="none"/>
        </w:rPr>
        <w:fldChar w:fldCharType="separate"/>
      </w:r>
      <w:r>
        <w:rPr>
          <w:rFonts w:hint="eastAsia" w:cs="宋体"/>
          <w:color w:val="auto"/>
          <w:sz w:val="21"/>
          <w:szCs w:val="21"/>
          <w:highlight w:val="none"/>
        </w:rPr>
        <w:t>第三部分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_Toc31854 </w:instrText>
      </w:r>
      <w:r>
        <w:rPr>
          <w:rFonts w:hint="eastAsia" w:cs="宋体"/>
          <w:color w:val="auto"/>
          <w:sz w:val="21"/>
          <w:szCs w:val="21"/>
          <w:highlight w:val="none"/>
        </w:rPr>
        <w:fldChar w:fldCharType="separate"/>
      </w:r>
      <w:r>
        <w:rPr>
          <w:rFonts w:hint="eastAsia" w:cs="宋体"/>
          <w:color w:val="auto"/>
          <w:sz w:val="21"/>
          <w:szCs w:val="21"/>
          <w:highlight w:val="none"/>
        </w:rPr>
        <w:t>13</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spacing w:after="0" w:line="360" w:lineRule="auto"/>
        <w:ind w:left="0" w:leftChars="0"/>
        <w:rPr>
          <w:rFonts w:hint="eastAsia" w:ascii="宋体" w:hAnsi="宋体" w:eastAsia="宋体" w:cs="宋体"/>
          <w:color w:val="auto"/>
          <w:highlight w:val="none"/>
          <w:lang w:val="en-US" w:eastAsia="zh-CN"/>
        </w:rPr>
      </w:pPr>
      <w:r>
        <w:rPr>
          <w:color w:val="auto"/>
          <w:highlight w:val="none"/>
        </w:rPr>
        <w:fldChar w:fldCharType="begin"/>
      </w:r>
      <w:r>
        <w:rPr>
          <w:color w:val="auto"/>
          <w:highlight w:val="none"/>
        </w:rPr>
        <w:instrText xml:space="preserve"> HYPERLINK \l "_Toc3968" </w:instrText>
      </w:r>
      <w:r>
        <w:rPr>
          <w:color w:val="auto"/>
          <w:highlight w:val="none"/>
        </w:rPr>
        <w:fldChar w:fldCharType="separate"/>
      </w:r>
      <w:r>
        <w:rPr>
          <w:rFonts w:hint="eastAsia" w:ascii="宋体" w:hAnsi="宋体" w:eastAsia="宋体" w:cs="宋体"/>
          <w:color w:val="auto"/>
          <w:highlight w:val="none"/>
        </w:rPr>
        <w:t>用户需求明细</w:t>
      </w:r>
      <w:r>
        <w:rPr>
          <w:rFonts w:hint="eastAsia" w:ascii="宋体" w:hAnsi="宋体" w:eastAsia="宋体" w:cs="宋体"/>
          <w:color w:val="auto"/>
          <w:highlight w:val="none"/>
        </w:rPr>
        <w:tab/>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fldChar w:fldCharType="end"/>
      </w:r>
      <w:r>
        <w:rPr>
          <w:rFonts w:hint="eastAsia" w:ascii="宋体" w:hAnsi="宋体" w:eastAsia="宋体" w:cs="宋体"/>
          <w:color w:val="auto"/>
          <w:highlight w:val="none"/>
          <w:lang w:val="en-US" w:eastAsia="zh-CN"/>
        </w:rPr>
        <w:t>4</w:t>
      </w:r>
    </w:p>
    <w:p>
      <w:pPr>
        <w:pStyle w:val="18"/>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"_Toc2479" </w:instrText>
      </w:r>
      <w:r>
        <w:rPr>
          <w:color w:val="auto"/>
          <w:highlight w:val="none"/>
        </w:rPr>
        <w:fldChar w:fldCharType="separate"/>
      </w:r>
      <w:r>
        <w:rPr>
          <w:rFonts w:hint="eastAsia" w:cs="宋体"/>
          <w:color w:val="auto"/>
          <w:sz w:val="21"/>
          <w:szCs w:val="21"/>
          <w:highlight w:val="none"/>
        </w:rPr>
        <w:t>第四部分 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_Toc2479 </w:instrText>
      </w:r>
      <w:r>
        <w:rPr>
          <w:rFonts w:hint="eastAsia" w:cs="宋体"/>
          <w:color w:val="auto"/>
          <w:sz w:val="21"/>
          <w:szCs w:val="21"/>
          <w:highlight w:val="none"/>
        </w:rPr>
        <w:fldChar w:fldCharType="separate"/>
      </w:r>
      <w:r>
        <w:rPr>
          <w:rFonts w:hint="eastAsia" w:cs="宋体"/>
          <w:color w:val="auto"/>
          <w:sz w:val="21"/>
          <w:szCs w:val="21"/>
          <w:highlight w:val="none"/>
        </w:rPr>
        <w:t>31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spacing w:after="0" w:line="360" w:lineRule="auto"/>
        <w:ind w:left="0" w:leftChars="0"/>
        <w:rPr>
          <w:rFonts w:ascii="宋体" w:hAnsi="宋体" w:eastAsia="宋体" w:cs="宋体"/>
          <w:color w:val="auto"/>
          <w:highlight w:val="none"/>
        </w:rPr>
      </w:pPr>
      <w:r>
        <w:rPr>
          <w:color w:val="auto"/>
          <w:highlight w:val="none"/>
        </w:rPr>
        <w:fldChar w:fldCharType="begin"/>
      </w:r>
      <w:r>
        <w:rPr>
          <w:color w:val="auto"/>
          <w:highlight w:val="none"/>
        </w:rPr>
        <w:instrText xml:space="preserve"> HYPERLINK \l "_Toc19746" </w:instrText>
      </w:r>
      <w:r>
        <w:rPr>
          <w:color w:val="auto"/>
          <w:highlight w:val="none"/>
        </w:rPr>
        <w:fldChar w:fldCharType="separate"/>
      </w:r>
      <w:r>
        <w:rPr>
          <w:rFonts w:hint="eastAsia" w:ascii="宋体" w:hAnsi="宋体" w:eastAsia="宋体" w:cs="宋体"/>
          <w:color w:val="auto"/>
          <w:highlight w:val="none"/>
        </w:rPr>
        <w:t>一、 说明</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_Toc19746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"_Toc18488" </w:instrText>
      </w:r>
      <w:r>
        <w:rPr>
          <w:color w:val="auto"/>
          <w:highlight w:val="none"/>
        </w:rPr>
        <w:fldChar w:fldCharType="separate"/>
      </w:r>
      <w:r>
        <w:rPr>
          <w:rFonts w:hint="eastAsia" w:ascii="宋体" w:hAnsi="宋体" w:eastAsia="宋体" w:cs="宋体"/>
          <w:color w:val="auto"/>
          <w:sz w:val="21"/>
          <w:szCs w:val="21"/>
          <w:highlight w:val="none"/>
        </w:rPr>
        <w:t>1.适用范围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_Toc18488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"_Toc13400" </w:instrText>
      </w:r>
      <w:r>
        <w:rPr>
          <w:color w:val="auto"/>
          <w:highlight w:val="none"/>
        </w:rPr>
        <w:fldChar w:fldCharType="separate"/>
      </w:r>
      <w:r>
        <w:rPr>
          <w:rFonts w:hint="eastAsia" w:ascii="宋体" w:hAnsi="宋体" w:eastAsia="宋体" w:cs="宋体"/>
          <w:color w:val="auto"/>
          <w:sz w:val="21"/>
          <w:szCs w:val="21"/>
          <w:highlight w:val="none"/>
        </w:rPr>
        <w:t>2.定义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_Toc13400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"_Toc3780" </w:instrText>
      </w:r>
      <w:r>
        <w:rPr>
          <w:color w:val="auto"/>
          <w:highlight w:val="none"/>
        </w:rPr>
        <w:fldChar w:fldCharType="separate"/>
      </w:r>
      <w:r>
        <w:rPr>
          <w:rFonts w:hint="eastAsia" w:ascii="宋体" w:hAnsi="宋体" w:eastAsia="宋体" w:cs="宋体"/>
          <w:color w:val="auto"/>
          <w:sz w:val="21"/>
          <w:szCs w:val="21"/>
          <w:highlight w:val="none"/>
        </w:rPr>
        <w:t>3.货物和服务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_Toc3780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"_Toc15945" </w:instrText>
      </w:r>
      <w:r>
        <w:rPr>
          <w:color w:val="auto"/>
          <w:highlight w:val="none"/>
        </w:rPr>
        <w:fldChar w:fldCharType="separate"/>
      </w:r>
      <w:r>
        <w:rPr>
          <w:rFonts w:hint="eastAsia" w:ascii="宋体" w:hAnsi="宋体" w:eastAsia="宋体" w:cs="宋体"/>
          <w:color w:val="auto"/>
          <w:sz w:val="21"/>
          <w:szCs w:val="21"/>
          <w:highlight w:val="none"/>
        </w:rPr>
        <w:t>4.投标费用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_Toc15945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"_Toc25040" </w:instrText>
      </w:r>
      <w:r>
        <w:rPr>
          <w:color w:val="auto"/>
          <w:highlight w:val="none"/>
        </w:rPr>
        <w:fldChar w:fldCharType="separate"/>
      </w:r>
      <w:r>
        <w:rPr>
          <w:rFonts w:hint="eastAsia" w:ascii="宋体" w:hAnsi="宋体" w:eastAsia="宋体" w:cs="宋体"/>
          <w:color w:val="auto"/>
          <w:sz w:val="21"/>
          <w:szCs w:val="21"/>
          <w:highlight w:val="none"/>
        </w:rPr>
        <w:t>5.知识产权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_Toc25040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"_Toc21930" </w:instrText>
      </w:r>
      <w:r>
        <w:rPr>
          <w:color w:val="auto"/>
          <w:highlight w:val="none"/>
        </w:rPr>
        <w:fldChar w:fldCharType="separate"/>
      </w:r>
      <w:r>
        <w:rPr>
          <w:rFonts w:hint="eastAsia" w:ascii="宋体" w:hAnsi="宋体" w:eastAsia="宋体" w:cs="宋体"/>
          <w:color w:val="auto"/>
          <w:sz w:val="21"/>
          <w:szCs w:val="21"/>
          <w:highlight w:val="none"/>
        </w:rPr>
        <w:t>6.关于联合体投标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_Toc21930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"_Toc16571" </w:instrText>
      </w:r>
      <w:r>
        <w:rPr>
          <w:color w:val="auto"/>
          <w:highlight w:val="none"/>
        </w:rPr>
        <w:fldChar w:fldCharType="separate"/>
      </w:r>
      <w:r>
        <w:rPr>
          <w:rFonts w:hint="eastAsia" w:ascii="宋体" w:hAnsi="宋体" w:eastAsia="宋体" w:cs="宋体"/>
          <w:color w:val="auto"/>
          <w:sz w:val="21"/>
          <w:szCs w:val="21"/>
          <w:highlight w:val="none"/>
        </w:rPr>
        <w:t>7.关于分支机构投标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_Toc16571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tabs>
          <w:tab w:val="right" w:leader="dot" w:pos="8306"/>
          <w:tab w:val="clear" w:pos="8296"/>
        </w:tabs>
        <w:spacing w:after="0" w:line="360" w:lineRule="auto"/>
        <w:ind w:left="0" w:leftChars="0"/>
        <w:rPr>
          <w:rFonts w:ascii="宋体" w:hAnsi="宋体" w:eastAsia="宋体" w:cs="宋体"/>
          <w:color w:val="auto"/>
          <w:highlight w:val="none"/>
        </w:rPr>
      </w:pPr>
      <w:r>
        <w:rPr>
          <w:color w:val="auto"/>
          <w:highlight w:val="none"/>
        </w:rPr>
        <w:fldChar w:fldCharType="begin"/>
      </w:r>
      <w:r>
        <w:rPr>
          <w:color w:val="auto"/>
          <w:highlight w:val="none"/>
        </w:rPr>
        <w:instrText xml:space="preserve"> HYPERLINK \l "_Toc17879" </w:instrText>
      </w:r>
      <w:r>
        <w:rPr>
          <w:color w:val="auto"/>
          <w:highlight w:val="none"/>
        </w:rPr>
        <w:fldChar w:fldCharType="separate"/>
      </w:r>
      <w:r>
        <w:rPr>
          <w:rFonts w:hint="eastAsia" w:ascii="宋体" w:hAnsi="宋体" w:eastAsia="宋体" w:cs="宋体"/>
          <w:color w:val="auto"/>
          <w:highlight w:val="none"/>
        </w:rPr>
        <w:t>二、 招标文件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_Toc17879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33</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"_Toc21771" </w:instrText>
      </w:r>
      <w:r>
        <w:rPr>
          <w:color w:val="auto"/>
          <w:highlight w:val="none"/>
        </w:rPr>
        <w:fldChar w:fldCharType="separate"/>
      </w:r>
      <w:r>
        <w:rPr>
          <w:rFonts w:hint="eastAsia" w:ascii="宋体" w:hAnsi="宋体" w:eastAsia="宋体" w:cs="宋体"/>
          <w:color w:val="auto"/>
          <w:sz w:val="21"/>
          <w:szCs w:val="21"/>
          <w:highlight w:val="none"/>
        </w:rPr>
        <w:t>8.招标文件的组成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_Toc21771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"_Toc14217" </w:instrText>
      </w:r>
      <w:r>
        <w:rPr>
          <w:color w:val="auto"/>
          <w:highlight w:val="none"/>
        </w:rPr>
        <w:fldChar w:fldCharType="separate"/>
      </w:r>
      <w:r>
        <w:rPr>
          <w:rFonts w:hint="eastAsia" w:ascii="宋体" w:hAnsi="宋体" w:eastAsia="宋体" w:cs="宋体"/>
          <w:color w:val="auto"/>
          <w:sz w:val="21"/>
          <w:szCs w:val="21"/>
          <w:highlight w:val="none"/>
        </w:rPr>
        <w:t>9.招标文件的澄清或修改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tabs>
          <w:tab w:val="right" w:leader="dot" w:pos="8306"/>
          <w:tab w:val="clear" w:pos="8296"/>
        </w:tabs>
        <w:spacing w:after="0" w:line="360" w:lineRule="auto"/>
        <w:ind w:left="0" w:leftChars="0"/>
        <w:rPr>
          <w:rFonts w:ascii="宋体" w:hAnsi="宋体" w:eastAsia="宋体" w:cs="宋体"/>
          <w:color w:val="auto"/>
          <w:highlight w:val="none"/>
        </w:rPr>
      </w:pPr>
      <w:r>
        <w:rPr>
          <w:color w:val="auto"/>
          <w:highlight w:val="none"/>
        </w:rPr>
        <w:fldChar w:fldCharType="begin"/>
      </w:r>
      <w:r>
        <w:rPr>
          <w:color w:val="auto"/>
          <w:highlight w:val="none"/>
        </w:rPr>
        <w:instrText xml:space="preserve"> HYPERLINK \l "_Toc23726" </w:instrText>
      </w:r>
      <w:r>
        <w:rPr>
          <w:color w:val="auto"/>
          <w:highlight w:val="none"/>
        </w:rPr>
        <w:fldChar w:fldCharType="separate"/>
      </w:r>
      <w:r>
        <w:rPr>
          <w:rFonts w:hint="eastAsia" w:ascii="宋体" w:hAnsi="宋体" w:eastAsia="宋体" w:cs="宋体"/>
          <w:color w:val="auto"/>
          <w:highlight w:val="none"/>
        </w:rPr>
        <w:t>三、 投标文件的编制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_Toc23726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33</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"_Toc20623" </w:instrText>
      </w:r>
      <w:r>
        <w:rPr>
          <w:color w:val="auto"/>
          <w:highlight w:val="none"/>
        </w:rPr>
        <w:fldChar w:fldCharType="separate"/>
      </w:r>
      <w:r>
        <w:rPr>
          <w:rFonts w:hint="eastAsia" w:ascii="宋体" w:hAnsi="宋体" w:eastAsia="宋体" w:cs="宋体"/>
          <w:color w:val="auto"/>
          <w:sz w:val="21"/>
          <w:szCs w:val="21"/>
          <w:highlight w:val="none"/>
        </w:rPr>
        <w:t>10.投标文件的语言及度量衡单位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_Toc20623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"_Toc12145" </w:instrText>
      </w:r>
      <w:r>
        <w:rPr>
          <w:color w:val="auto"/>
          <w:highlight w:val="none"/>
        </w:rPr>
        <w:fldChar w:fldCharType="separate"/>
      </w:r>
      <w:r>
        <w:rPr>
          <w:rFonts w:hint="eastAsia" w:ascii="宋体" w:hAnsi="宋体" w:eastAsia="宋体" w:cs="宋体"/>
          <w:color w:val="auto"/>
          <w:sz w:val="21"/>
          <w:szCs w:val="21"/>
          <w:highlight w:val="none"/>
        </w:rPr>
        <w:t>11.投标文件的组成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_Toc12145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"_Toc30189" </w:instrText>
      </w:r>
      <w:r>
        <w:rPr>
          <w:color w:val="auto"/>
          <w:highlight w:val="none"/>
        </w:rPr>
        <w:fldChar w:fldCharType="separate"/>
      </w:r>
      <w:r>
        <w:rPr>
          <w:rFonts w:hint="eastAsia" w:ascii="宋体" w:hAnsi="宋体" w:eastAsia="宋体" w:cs="宋体"/>
          <w:color w:val="auto"/>
          <w:sz w:val="21"/>
          <w:szCs w:val="21"/>
          <w:highlight w:val="none"/>
        </w:rPr>
        <w:t>12.投标文件编制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_Toc30189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"_Toc259" </w:instrText>
      </w:r>
      <w:r>
        <w:rPr>
          <w:color w:val="auto"/>
          <w:highlight w:val="none"/>
        </w:rPr>
        <w:fldChar w:fldCharType="separate"/>
      </w:r>
      <w:r>
        <w:rPr>
          <w:rFonts w:hint="eastAsia" w:ascii="宋体" w:hAnsi="宋体" w:eastAsia="宋体" w:cs="宋体"/>
          <w:color w:val="auto"/>
          <w:sz w:val="21"/>
          <w:szCs w:val="21"/>
          <w:highlight w:val="none"/>
        </w:rPr>
        <w:t>13.投标报价说明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"_Toc27724" </w:instrText>
      </w:r>
      <w:r>
        <w:rPr>
          <w:color w:val="auto"/>
          <w:highlight w:val="none"/>
        </w:rPr>
        <w:fldChar w:fldCharType="separate"/>
      </w:r>
      <w:r>
        <w:rPr>
          <w:rFonts w:hint="eastAsia" w:ascii="宋体" w:hAnsi="宋体" w:eastAsia="宋体" w:cs="宋体"/>
          <w:color w:val="auto"/>
          <w:sz w:val="21"/>
          <w:szCs w:val="21"/>
          <w:highlight w:val="none"/>
        </w:rPr>
        <w:t>14.投标人所提供的服务或货物的证明文件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_Toc27724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"_Toc19520" </w:instrText>
      </w:r>
      <w:r>
        <w:rPr>
          <w:color w:val="auto"/>
          <w:highlight w:val="none"/>
        </w:rPr>
        <w:fldChar w:fldCharType="separate"/>
      </w:r>
      <w:r>
        <w:rPr>
          <w:rFonts w:hint="eastAsia" w:ascii="宋体" w:hAnsi="宋体" w:eastAsia="宋体" w:cs="宋体"/>
          <w:color w:val="auto"/>
          <w:sz w:val="21"/>
          <w:szCs w:val="21"/>
          <w:highlight w:val="none"/>
        </w:rPr>
        <w:t>15.投标有效期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_Toc19520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"_Toc12456" </w:instrText>
      </w:r>
      <w:r>
        <w:rPr>
          <w:color w:val="auto"/>
          <w:highlight w:val="none"/>
        </w:rPr>
        <w:fldChar w:fldCharType="separate"/>
      </w:r>
      <w:r>
        <w:rPr>
          <w:rFonts w:hint="eastAsia" w:ascii="宋体" w:hAnsi="宋体" w:eastAsia="宋体" w:cs="宋体"/>
          <w:color w:val="auto"/>
          <w:sz w:val="21"/>
          <w:szCs w:val="21"/>
          <w:highlight w:val="none"/>
        </w:rPr>
        <w:t>16.投标保证金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tabs>
          <w:tab w:val="right" w:leader="dot" w:pos="8306"/>
          <w:tab w:val="clear" w:pos="8296"/>
        </w:tabs>
        <w:spacing w:after="0" w:line="360" w:lineRule="auto"/>
        <w:ind w:left="0" w:leftChars="0"/>
        <w:rPr>
          <w:rFonts w:ascii="宋体" w:hAnsi="宋体" w:eastAsia="宋体" w:cs="宋体"/>
          <w:color w:val="auto"/>
          <w:highlight w:val="none"/>
        </w:rPr>
      </w:pPr>
      <w:r>
        <w:rPr>
          <w:color w:val="auto"/>
          <w:highlight w:val="none"/>
        </w:rPr>
        <w:fldChar w:fldCharType="begin"/>
      </w:r>
      <w:r>
        <w:rPr>
          <w:color w:val="auto"/>
          <w:highlight w:val="none"/>
        </w:rPr>
        <w:instrText xml:space="preserve"> HYPERLINK \l "_Toc31124" </w:instrText>
      </w:r>
      <w:r>
        <w:rPr>
          <w:color w:val="auto"/>
          <w:highlight w:val="none"/>
        </w:rPr>
        <w:fldChar w:fldCharType="separate"/>
      </w:r>
      <w:r>
        <w:rPr>
          <w:rFonts w:hint="eastAsia" w:ascii="宋体" w:hAnsi="宋体" w:eastAsia="宋体" w:cs="宋体"/>
          <w:color w:val="auto"/>
          <w:highlight w:val="none"/>
        </w:rPr>
        <w:t>四、 投标文件的递交</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_Toc31124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"_Toc29590" </w:instrText>
      </w:r>
      <w:r>
        <w:rPr>
          <w:color w:val="auto"/>
          <w:highlight w:val="none"/>
        </w:rPr>
        <w:fldChar w:fldCharType="separate"/>
      </w:r>
      <w:r>
        <w:rPr>
          <w:rFonts w:hint="eastAsia" w:ascii="宋体" w:hAnsi="宋体" w:eastAsia="宋体" w:cs="宋体"/>
          <w:color w:val="auto"/>
          <w:sz w:val="21"/>
          <w:szCs w:val="21"/>
          <w:highlight w:val="none"/>
        </w:rPr>
        <w:t>17.投标文件的装订，签署，密封和标记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_Toc29590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"_Toc8628" </w:instrText>
      </w:r>
      <w:r>
        <w:rPr>
          <w:color w:val="auto"/>
          <w:highlight w:val="none"/>
        </w:rPr>
        <w:fldChar w:fldCharType="separate"/>
      </w:r>
      <w:r>
        <w:rPr>
          <w:rFonts w:hint="eastAsia" w:ascii="宋体" w:hAnsi="宋体" w:eastAsia="宋体" w:cs="宋体"/>
          <w:color w:val="auto"/>
          <w:sz w:val="21"/>
          <w:szCs w:val="21"/>
          <w:highlight w:val="none"/>
        </w:rPr>
        <w:t>18.迟交的投标文件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_Toc8628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"_Toc13212" </w:instrText>
      </w:r>
      <w:r>
        <w:rPr>
          <w:color w:val="auto"/>
          <w:highlight w:val="none"/>
        </w:rPr>
        <w:fldChar w:fldCharType="separate"/>
      </w:r>
      <w:r>
        <w:rPr>
          <w:rFonts w:hint="eastAsia" w:ascii="宋体" w:hAnsi="宋体" w:eastAsia="宋体" w:cs="宋体"/>
          <w:color w:val="auto"/>
          <w:sz w:val="21"/>
          <w:szCs w:val="21"/>
          <w:highlight w:val="none"/>
        </w:rPr>
        <w:t>19.投标样品（如需提交）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_Toc13212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"_Toc5900" </w:instrText>
      </w:r>
      <w:r>
        <w:rPr>
          <w:color w:val="auto"/>
          <w:highlight w:val="none"/>
        </w:rPr>
        <w:fldChar w:fldCharType="separate"/>
      </w:r>
      <w:r>
        <w:rPr>
          <w:rFonts w:hint="eastAsia" w:ascii="宋体" w:hAnsi="宋体" w:eastAsia="宋体" w:cs="宋体"/>
          <w:color w:val="auto"/>
          <w:sz w:val="21"/>
          <w:szCs w:val="21"/>
          <w:highlight w:val="none"/>
        </w:rPr>
        <w:t>20.投标截止期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_Toc5900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"_Toc6003" </w:instrText>
      </w:r>
      <w:r>
        <w:rPr>
          <w:color w:val="auto"/>
          <w:highlight w:val="none"/>
        </w:rPr>
        <w:fldChar w:fldCharType="separate"/>
      </w:r>
      <w:r>
        <w:rPr>
          <w:rFonts w:hint="eastAsia" w:ascii="宋体" w:hAnsi="宋体" w:eastAsia="宋体" w:cs="宋体"/>
          <w:color w:val="auto"/>
          <w:sz w:val="21"/>
          <w:szCs w:val="21"/>
          <w:highlight w:val="none"/>
        </w:rPr>
        <w:t>21.投标文件的补充、修改与撤回</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_Toc6003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tabs>
          <w:tab w:val="right" w:leader="dot" w:pos="8306"/>
          <w:tab w:val="clear" w:pos="8296"/>
        </w:tabs>
        <w:spacing w:after="0" w:line="360" w:lineRule="auto"/>
        <w:ind w:left="0" w:leftChars="0"/>
        <w:rPr>
          <w:rFonts w:ascii="宋体" w:hAnsi="宋体" w:eastAsia="宋体" w:cs="宋体"/>
          <w:color w:val="auto"/>
          <w:highlight w:val="none"/>
        </w:rPr>
      </w:pPr>
      <w:r>
        <w:rPr>
          <w:color w:val="auto"/>
          <w:highlight w:val="none"/>
        </w:rPr>
        <w:fldChar w:fldCharType="begin"/>
      </w:r>
      <w:r>
        <w:rPr>
          <w:color w:val="auto"/>
          <w:highlight w:val="none"/>
        </w:rPr>
        <w:instrText xml:space="preserve"> HYPERLINK \l "_Toc29574" </w:instrText>
      </w:r>
      <w:r>
        <w:rPr>
          <w:color w:val="auto"/>
          <w:highlight w:val="none"/>
        </w:rPr>
        <w:fldChar w:fldCharType="separate"/>
      </w:r>
      <w:r>
        <w:rPr>
          <w:rFonts w:hint="eastAsia" w:ascii="宋体" w:hAnsi="宋体" w:eastAsia="宋体" w:cs="宋体"/>
          <w:color w:val="auto"/>
          <w:highlight w:val="none"/>
        </w:rPr>
        <w:t>五、 开标与评标</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_Toc29574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"_Toc28458" </w:instrText>
      </w:r>
      <w:r>
        <w:rPr>
          <w:color w:val="auto"/>
          <w:highlight w:val="none"/>
        </w:rPr>
        <w:fldChar w:fldCharType="separate"/>
      </w:r>
      <w:r>
        <w:rPr>
          <w:rFonts w:hint="eastAsia" w:ascii="宋体" w:hAnsi="宋体" w:eastAsia="宋体" w:cs="宋体"/>
          <w:color w:val="auto"/>
          <w:sz w:val="21"/>
          <w:szCs w:val="21"/>
          <w:highlight w:val="none"/>
        </w:rPr>
        <w:t>22.开标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_Toc28458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"_Toc5524" </w:instrText>
      </w:r>
      <w:r>
        <w:rPr>
          <w:color w:val="auto"/>
          <w:highlight w:val="none"/>
        </w:rPr>
        <w:fldChar w:fldCharType="separate"/>
      </w:r>
      <w:r>
        <w:rPr>
          <w:rFonts w:hint="eastAsia" w:ascii="宋体" w:hAnsi="宋体" w:eastAsia="宋体" w:cs="宋体"/>
          <w:color w:val="auto"/>
          <w:sz w:val="21"/>
          <w:szCs w:val="21"/>
          <w:highlight w:val="none"/>
        </w:rPr>
        <w:t>23.评标委员会及评标方法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_Toc5524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"_Toc15231" </w:instrText>
      </w:r>
      <w:r>
        <w:rPr>
          <w:color w:val="auto"/>
          <w:highlight w:val="none"/>
        </w:rPr>
        <w:fldChar w:fldCharType="separate"/>
      </w:r>
      <w:r>
        <w:rPr>
          <w:rFonts w:hint="eastAsia" w:ascii="宋体" w:hAnsi="宋体" w:eastAsia="宋体" w:cs="宋体"/>
          <w:color w:val="auto"/>
          <w:sz w:val="21"/>
          <w:szCs w:val="21"/>
          <w:highlight w:val="none"/>
        </w:rPr>
        <w:t>24.评审原则及评标过程的保密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_Toc15231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"_Toc3762" </w:instrText>
      </w:r>
      <w:r>
        <w:rPr>
          <w:color w:val="auto"/>
          <w:highlight w:val="none"/>
        </w:rPr>
        <w:fldChar w:fldCharType="separate"/>
      </w:r>
      <w:r>
        <w:rPr>
          <w:rFonts w:hint="eastAsia" w:ascii="宋体" w:hAnsi="宋体" w:eastAsia="宋体" w:cs="宋体"/>
          <w:color w:val="auto"/>
          <w:sz w:val="21"/>
          <w:szCs w:val="21"/>
          <w:highlight w:val="none"/>
        </w:rPr>
        <w:t>25.投标文件的初审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_Toc3762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"_Toc21742" </w:instrText>
      </w:r>
      <w:r>
        <w:rPr>
          <w:color w:val="auto"/>
          <w:highlight w:val="none"/>
        </w:rPr>
        <w:fldChar w:fldCharType="separate"/>
      </w:r>
      <w:r>
        <w:rPr>
          <w:rFonts w:hint="eastAsia" w:ascii="宋体" w:hAnsi="宋体" w:eastAsia="宋体" w:cs="宋体"/>
          <w:color w:val="auto"/>
          <w:sz w:val="21"/>
          <w:szCs w:val="21"/>
          <w:highlight w:val="none"/>
        </w:rPr>
        <w:t>26.商务、技术、价格评审（具体评审项目详见投标资料表）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_Toc21742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"_Toc22192" </w:instrText>
      </w:r>
      <w:r>
        <w:rPr>
          <w:color w:val="auto"/>
          <w:highlight w:val="none"/>
        </w:rPr>
        <w:fldChar w:fldCharType="separate"/>
      </w:r>
      <w:r>
        <w:rPr>
          <w:rFonts w:hint="eastAsia" w:ascii="宋体" w:hAnsi="宋体" w:eastAsia="宋体" w:cs="宋体"/>
          <w:color w:val="auto"/>
          <w:sz w:val="21"/>
          <w:szCs w:val="21"/>
          <w:highlight w:val="none"/>
        </w:rPr>
        <w:t>27.优惠政策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_Toc22192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"_Toc22591" </w:instrText>
      </w:r>
      <w:r>
        <w:rPr>
          <w:color w:val="auto"/>
          <w:highlight w:val="none"/>
        </w:rPr>
        <w:fldChar w:fldCharType="separate"/>
      </w:r>
      <w:r>
        <w:rPr>
          <w:rFonts w:hint="eastAsia" w:ascii="宋体" w:hAnsi="宋体" w:eastAsia="宋体" w:cs="宋体"/>
          <w:color w:val="auto"/>
          <w:sz w:val="21"/>
          <w:szCs w:val="21"/>
          <w:highlight w:val="none"/>
        </w:rPr>
        <w:t>28.纪律和保密事项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_Toc22591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tabs>
          <w:tab w:val="right" w:leader="dot" w:pos="8306"/>
          <w:tab w:val="clear" w:pos="8296"/>
        </w:tabs>
        <w:spacing w:after="0" w:line="360" w:lineRule="auto"/>
        <w:ind w:left="0" w:leftChars="0"/>
        <w:rPr>
          <w:rFonts w:ascii="宋体" w:hAnsi="宋体" w:eastAsia="宋体" w:cs="宋体"/>
          <w:color w:val="auto"/>
          <w:highlight w:val="none"/>
        </w:rPr>
      </w:pPr>
      <w:r>
        <w:rPr>
          <w:color w:val="auto"/>
          <w:highlight w:val="none"/>
        </w:rPr>
        <w:fldChar w:fldCharType="begin"/>
      </w:r>
      <w:r>
        <w:rPr>
          <w:color w:val="auto"/>
          <w:highlight w:val="none"/>
        </w:rPr>
        <w:instrText xml:space="preserve"> HYPERLINK \l "_Toc29310" </w:instrText>
      </w:r>
      <w:r>
        <w:rPr>
          <w:color w:val="auto"/>
          <w:highlight w:val="none"/>
        </w:rPr>
        <w:fldChar w:fldCharType="separate"/>
      </w:r>
      <w:r>
        <w:rPr>
          <w:rFonts w:hint="eastAsia" w:ascii="宋体" w:hAnsi="宋体" w:eastAsia="宋体" w:cs="宋体"/>
          <w:color w:val="auto"/>
          <w:highlight w:val="none"/>
        </w:rPr>
        <w:t>六、 授予合同</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_Toc29310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43</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"_Toc27817" </w:instrText>
      </w:r>
      <w:r>
        <w:rPr>
          <w:color w:val="auto"/>
          <w:highlight w:val="none"/>
        </w:rPr>
        <w:fldChar w:fldCharType="separate"/>
      </w:r>
      <w:r>
        <w:rPr>
          <w:rFonts w:hint="eastAsia" w:ascii="宋体" w:hAnsi="宋体" w:eastAsia="宋体" w:cs="宋体"/>
          <w:color w:val="auto"/>
          <w:sz w:val="21"/>
          <w:szCs w:val="21"/>
          <w:highlight w:val="none"/>
        </w:rPr>
        <w:t>29.合同授予标准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_Toc27817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"_Toc29283" </w:instrText>
      </w:r>
      <w:r>
        <w:rPr>
          <w:color w:val="auto"/>
          <w:highlight w:val="none"/>
        </w:rPr>
        <w:fldChar w:fldCharType="separate"/>
      </w:r>
      <w:r>
        <w:rPr>
          <w:rFonts w:hint="eastAsia" w:ascii="宋体" w:hAnsi="宋体" w:eastAsia="宋体" w:cs="宋体"/>
          <w:color w:val="auto"/>
          <w:sz w:val="21"/>
          <w:szCs w:val="21"/>
          <w:highlight w:val="none"/>
        </w:rPr>
        <w:t>30.发布采购结果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_Toc29283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"_Toc22451" </w:instrText>
      </w:r>
      <w:r>
        <w:rPr>
          <w:color w:val="auto"/>
          <w:highlight w:val="none"/>
        </w:rPr>
        <w:fldChar w:fldCharType="separate"/>
      </w:r>
      <w:r>
        <w:rPr>
          <w:rFonts w:hint="eastAsia" w:ascii="宋体" w:hAnsi="宋体" w:eastAsia="宋体" w:cs="宋体"/>
          <w:color w:val="auto"/>
          <w:sz w:val="21"/>
          <w:szCs w:val="21"/>
          <w:highlight w:val="none"/>
        </w:rPr>
        <w:t>31.合同的签订与履行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_Toc22451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"_Toc2744" </w:instrText>
      </w:r>
      <w:r>
        <w:rPr>
          <w:color w:val="auto"/>
          <w:highlight w:val="none"/>
        </w:rPr>
        <w:fldChar w:fldCharType="separate"/>
      </w:r>
      <w:r>
        <w:rPr>
          <w:rFonts w:hint="eastAsia" w:ascii="宋体" w:hAnsi="宋体" w:eastAsia="宋体" w:cs="宋体"/>
          <w:color w:val="auto"/>
          <w:sz w:val="21"/>
          <w:szCs w:val="21"/>
          <w:highlight w:val="none"/>
        </w:rPr>
        <w:t>32.履约保证金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_Toc2744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tabs>
          <w:tab w:val="right" w:leader="dot" w:pos="8306"/>
          <w:tab w:val="clear" w:pos="8296"/>
        </w:tabs>
        <w:spacing w:after="0" w:line="360" w:lineRule="auto"/>
        <w:ind w:left="0" w:leftChars="0"/>
        <w:rPr>
          <w:rFonts w:ascii="宋体" w:hAnsi="宋体" w:eastAsia="宋体" w:cs="宋体"/>
          <w:color w:val="auto"/>
          <w:highlight w:val="none"/>
        </w:rPr>
      </w:pPr>
      <w:r>
        <w:rPr>
          <w:color w:val="auto"/>
          <w:highlight w:val="none"/>
        </w:rPr>
        <w:fldChar w:fldCharType="begin"/>
      </w:r>
      <w:r>
        <w:rPr>
          <w:color w:val="auto"/>
          <w:highlight w:val="none"/>
        </w:rPr>
        <w:instrText xml:space="preserve"> HYPERLINK \l "_Toc13694" </w:instrText>
      </w:r>
      <w:r>
        <w:rPr>
          <w:color w:val="auto"/>
          <w:highlight w:val="none"/>
        </w:rPr>
        <w:fldChar w:fldCharType="separate"/>
      </w:r>
      <w:r>
        <w:rPr>
          <w:rFonts w:hint="eastAsia" w:ascii="宋体" w:hAnsi="宋体" w:eastAsia="宋体" w:cs="宋体"/>
          <w:color w:val="auto"/>
          <w:highlight w:val="none"/>
        </w:rPr>
        <w:t>七、询问或质疑</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_Toc13694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"_Toc25498" </w:instrText>
      </w:r>
      <w:r>
        <w:rPr>
          <w:color w:val="auto"/>
          <w:highlight w:val="none"/>
        </w:rPr>
        <w:fldChar w:fldCharType="separate"/>
      </w:r>
      <w:r>
        <w:rPr>
          <w:rFonts w:hint="eastAsia" w:ascii="宋体" w:hAnsi="宋体" w:eastAsia="宋体" w:cs="宋体"/>
          <w:color w:val="auto"/>
          <w:sz w:val="21"/>
          <w:szCs w:val="21"/>
          <w:highlight w:val="none"/>
        </w:rPr>
        <w:t>33.询问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_Toc25498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"_Toc8234" </w:instrText>
      </w:r>
      <w:r>
        <w:rPr>
          <w:color w:val="auto"/>
          <w:highlight w:val="none"/>
        </w:rPr>
        <w:fldChar w:fldCharType="separate"/>
      </w:r>
      <w:r>
        <w:rPr>
          <w:rFonts w:hint="eastAsia" w:ascii="宋体" w:hAnsi="宋体" w:eastAsia="宋体" w:cs="宋体"/>
          <w:color w:val="auto"/>
          <w:sz w:val="21"/>
          <w:szCs w:val="21"/>
          <w:highlight w:val="none"/>
        </w:rPr>
        <w:t>34.质疑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_Toc8234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tabs>
          <w:tab w:val="right" w:leader="dot" w:pos="8306"/>
          <w:tab w:val="clear" w:pos="8296"/>
        </w:tabs>
        <w:spacing w:after="0" w:line="360" w:lineRule="auto"/>
        <w:ind w:left="0" w:leftChars="0"/>
        <w:rPr>
          <w:rFonts w:ascii="宋体" w:hAnsi="宋体" w:eastAsia="宋体" w:cs="宋体"/>
          <w:color w:val="auto"/>
          <w:highlight w:val="none"/>
        </w:rPr>
      </w:pPr>
      <w:r>
        <w:rPr>
          <w:color w:val="auto"/>
          <w:highlight w:val="none"/>
        </w:rPr>
        <w:fldChar w:fldCharType="begin"/>
      </w:r>
      <w:r>
        <w:rPr>
          <w:color w:val="auto"/>
          <w:highlight w:val="none"/>
        </w:rPr>
        <w:instrText xml:space="preserve"> HYPERLINK \l "_Toc24383" </w:instrText>
      </w:r>
      <w:r>
        <w:rPr>
          <w:color w:val="auto"/>
          <w:highlight w:val="none"/>
        </w:rPr>
        <w:fldChar w:fldCharType="separate"/>
      </w:r>
      <w:r>
        <w:rPr>
          <w:rFonts w:hint="eastAsia" w:ascii="宋体" w:hAnsi="宋体" w:eastAsia="宋体" w:cs="宋体"/>
          <w:color w:val="auto"/>
          <w:highlight w:val="none"/>
        </w:rPr>
        <w:t>八、其他</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_Toc24383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46</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"_Toc10082" </w:instrText>
      </w:r>
      <w:r>
        <w:rPr>
          <w:color w:val="auto"/>
          <w:highlight w:val="none"/>
        </w:rPr>
        <w:fldChar w:fldCharType="separate"/>
      </w:r>
      <w:r>
        <w:rPr>
          <w:rFonts w:hint="eastAsia" w:ascii="宋体" w:hAnsi="宋体" w:eastAsia="宋体" w:cs="宋体"/>
          <w:color w:val="auto"/>
          <w:sz w:val="21"/>
          <w:szCs w:val="21"/>
          <w:highlight w:val="none"/>
        </w:rPr>
        <w:t>35.招标文件的解释权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_Toc10082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8"/>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"_Toc21448" </w:instrText>
      </w:r>
      <w:r>
        <w:rPr>
          <w:color w:val="auto"/>
          <w:highlight w:val="none"/>
        </w:rPr>
        <w:fldChar w:fldCharType="separate"/>
      </w:r>
      <w:r>
        <w:rPr>
          <w:rFonts w:hint="eastAsia" w:cs="宋体"/>
          <w:color w:val="auto"/>
          <w:sz w:val="21"/>
          <w:szCs w:val="21"/>
          <w:highlight w:val="none"/>
        </w:rPr>
        <w:t>第五部分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_Toc21448 </w:instrText>
      </w:r>
      <w:r>
        <w:rPr>
          <w:rFonts w:hint="eastAsia" w:cs="宋体"/>
          <w:color w:val="auto"/>
          <w:sz w:val="21"/>
          <w:szCs w:val="21"/>
          <w:highlight w:val="none"/>
        </w:rPr>
        <w:fldChar w:fldCharType="separate"/>
      </w:r>
      <w:r>
        <w:rPr>
          <w:rFonts w:hint="eastAsia" w:cs="宋体"/>
          <w:color w:val="auto"/>
          <w:sz w:val="21"/>
          <w:szCs w:val="21"/>
          <w:highlight w:val="none"/>
        </w:rPr>
        <w:t>47</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spacing w:after="0" w:line="360" w:lineRule="auto"/>
        <w:ind w:left="0" w:leftChars="0"/>
        <w:rPr>
          <w:rFonts w:ascii="宋体" w:hAnsi="宋体" w:eastAsia="宋体" w:cs="宋体"/>
          <w:color w:val="auto"/>
          <w:highlight w:val="none"/>
        </w:rPr>
      </w:pPr>
      <w:r>
        <w:rPr>
          <w:color w:val="auto"/>
          <w:highlight w:val="none"/>
        </w:rPr>
        <w:fldChar w:fldCharType="begin"/>
      </w:r>
      <w:r>
        <w:rPr>
          <w:color w:val="auto"/>
          <w:highlight w:val="none"/>
        </w:rPr>
        <w:instrText xml:space="preserve"> HYPERLINK \l "_Toc16730" </w:instrText>
      </w:r>
      <w:r>
        <w:rPr>
          <w:color w:val="auto"/>
          <w:highlight w:val="none"/>
        </w:rPr>
        <w:fldChar w:fldCharType="separate"/>
      </w:r>
      <w:r>
        <w:rPr>
          <w:rFonts w:hint="eastAsia" w:ascii="宋体" w:hAnsi="宋体" w:eastAsia="宋体" w:cs="宋体"/>
          <w:color w:val="auto"/>
          <w:highlight w:val="none"/>
        </w:rPr>
        <w:t>合同格式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_Toc16730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18"/>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"_Toc23749" </w:instrText>
      </w:r>
      <w:r>
        <w:rPr>
          <w:color w:val="auto"/>
          <w:highlight w:val="none"/>
        </w:rPr>
        <w:fldChar w:fldCharType="separate"/>
      </w:r>
      <w:r>
        <w:rPr>
          <w:rFonts w:hint="eastAsia" w:cs="宋体"/>
          <w:color w:val="auto"/>
          <w:sz w:val="21"/>
          <w:szCs w:val="21"/>
          <w:highlight w:val="none"/>
        </w:rPr>
        <w:t>第六部分  附件－投标文件格式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_Toc23749 </w:instrText>
      </w:r>
      <w:r>
        <w:rPr>
          <w:rFonts w:hint="eastAsia" w:cs="宋体"/>
          <w:color w:val="auto"/>
          <w:sz w:val="21"/>
          <w:szCs w:val="21"/>
          <w:highlight w:val="none"/>
        </w:rPr>
        <w:fldChar w:fldCharType="separate"/>
      </w:r>
      <w:r>
        <w:rPr>
          <w:rFonts w:hint="eastAsia" w:cs="宋体"/>
          <w:color w:val="auto"/>
          <w:sz w:val="21"/>
          <w:szCs w:val="21"/>
          <w:highlight w:val="none"/>
        </w:rPr>
        <w:t>50</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"_Toc26830" </w:instrText>
      </w:r>
      <w:r>
        <w:rPr>
          <w:color w:val="auto"/>
          <w:highlight w:val="none"/>
        </w:rPr>
        <w:fldChar w:fldCharType="separate"/>
      </w:r>
      <w:r>
        <w:rPr>
          <w:rFonts w:hint="eastAsia" w:ascii="宋体" w:hAnsi="宋体" w:eastAsia="宋体" w:cs="宋体"/>
          <w:color w:val="auto"/>
          <w:sz w:val="21"/>
          <w:szCs w:val="21"/>
          <w:highlight w:val="none"/>
        </w:rPr>
        <w:t>附件1.投标文件目录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_Toc26830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"_Toc18893" </w:instrText>
      </w:r>
      <w:r>
        <w:rPr>
          <w:color w:val="auto"/>
          <w:highlight w:val="none"/>
        </w:rPr>
        <w:fldChar w:fldCharType="separate"/>
      </w:r>
      <w:r>
        <w:rPr>
          <w:rFonts w:hint="eastAsia" w:ascii="宋体" w:hAnsi="宋体" w:eastAsia="宋体" w:cs="宋体"/>
          <w:color w:val="auto"/>
          <w:sz w:val="21"/>
          <w:szCs w:val="21"/>
          <w:highlight w:val="none"/>
        </w:rPr>
        <w:t>附件1-1 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_Toc18893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"_Toc30640" </w:instrText>
      </w:r>
      <w:r>
        <w:rPr>
          <w:color w:val="auto"/>
          <w:highlight w:val="none"/>
        </w:rPr>
        <w:fldChar w:fldCharType="separate"/>
      </w:r>
      <w:r>
        <w:rPr>
          <w:rFonts w:hint="eastAsia" w:ascii="宋体" w:hAnsi="宋体" w:eastAsia="宋体" w:cs="宋体"/>
          <w:color w:val="auto"/>
          <w:sz w:val="21"/>
          <w:szCs w:val="21"/>
          <w:highlight w:val="none"/>
        </w:rPr>
        <w:t>附件2.投标书格式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_Toc30640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"_Toc6866" </w:instrText>
      </w:r>
      <w:r>
        <w:rPr>
          <w:color w:val="auto"/>
          <w:highlight w:val="none"/>
        </w:rPr>
        <w:fldChar w:fldCharType="separate"/>
      </w:r>
      <w:r>
        <w:rPr>
          <w:rFonts w:hint="eastAsia" w:ascii="宋体" w:hAnsi="宋体" w:eastAsia="宋体" w:cs="宋体"/>
          <w:color w:val="auto"/>
          <w:sz w:val="21"/>
          <w:szCs w:val="21"/>
          <w:highlight w:val="none"/>
        </w:rPr>
        <w:t>附件3.开标一览表格式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_Toc6866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"_Toc3254" </w:instrText>
      </w:r>
      <w:r>
        <w:rPr>
          <w:color w:val="auto"/>
          <w:highlight w:val="none"/>
        </w:rPr>
        <w:fldChar w:fldCharType="separate"/>
      </w:r>
      <w:r>
        <w:rPr>
          <w:rFonts w:hint="eastAsia" w:ascii="宋体" w:hAnsi="宋体" w:eastAsia="宋体" w:cs="宋体"/>
          <w:color w:val="auto"/>
          <w:sz w:val="21"/>
          <w:szCs w:val="21"/>
          <w:highlight w:val="none"/>
        </w:rPr>
        <w:t>附件4.投标分项报价表格式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_Toc3254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"_Toc16412" </w:instrText>
      </w:r>
      <w:r>
        <w:rPr>
          <w:color w:val="auto"/>
          <w:highlight w:val="none"/>
        </w:rPr>
        <w:fldChar w:fldCharType="separate"/>
      </w:r>
      <w:r>
        <w:rPr>
          <w:rFonts w:hint="eastAsia" w:ascii="宋体" w:hAnsi="宋体" w:eastAsia="宋体" w:cs="宋体"/>
          <w:color w:val="auto"/>
          <w:sz w:val="21"/>
          <w:szCs w:val="21"/>
          <w:highlight w:val="none"/>
        </w:rPr>
        <w:t>附件5.法定代表人证明书格式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_Toc16412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"_Toc31205" </w:instrText>
      </w:r>
      <w:r>
        <w:rPr>
          <w:color w:val="auto"/>
          <w:highlight w:val="none"/>
        </w:rPr>
        <w:fldChar w:fldCharType="separate"/>
      </w:r>
      <w:r>
        <w:rPr>
          <w:rFonts w:hint="eastAsia" w:ascii="宋体" w:hAnsi="宋体" w:eastAsia="宋体" w:cs="宋体"/>
          <w:color w:val="auto"/>
          <w:sz w:val="21"/>
          <w:szCs w:val="21"/>
          <w:highlight w:val="none"/>
        </w:rPr>
        <w:t>附件6.法定代表人授权书格式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_Toc31205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"_Toc17164" </w:instrText>
      </w:r>
      <w:r>
        <w:rPr>
          <w:color w:val="auto"/>
          <w:highlight w:val="none"/>
        </w:rPr>
        <w:fldChar w:fldCharType="separate"/>
      </w:r>
      <w:r>
        <w:rPr>
          <w:rFonts w:hint="eastAsia" w:ascii="宋体" w:hAnsi="宋体" w:eastAsia="宋体" w:cs="宋体"/>
          <w:color w:val="auto"/>
          <w:sz w:val="21"/>
          <w:szCs w:val="21"/>
          <w:highlight w:val="none"/>
        </w:rPr>
        <w:t>附件7.资格申明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_Toc17164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"_Toc27839" </w:instrText>
      </w:r>
      <w:r>
        <w:rPr>
          <w:color w:val="auto"/>
          <w:highlight w:val="none"/>
        </w:rPr>
        <w:fldChar w:fldCharType="separate"/>
      </w:r>
      <w:r>
        <w:rPr>
          <w:rFonts w:hint="eastAsia" w:ascii="宋体" w:hAnsi="宋体" w:eastAsia="宋体" w:cs="宋体"/>
          <w:color w:val="auto"/>
          <w:sz w:val="21"/>
          <w:szCs w:val="21"/>
          <w:highlight w:val="none"/>
        </w:rPr>
        <w:t>附件8.营业执照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_Toc27839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"_Toc26141" </w:instrText>
      </w:r>
      <w:r>
        <w:rPr>
          <w:color w:val="auto"/>
          <w:highlight w:val="none"/>
        </w:rPr>
        <w:fldChar w:fldCharType="separate"/>
      </w:r>
      <w:r>
        <w:rPr>
          <w:rFonts w:hint="eastAsia" w:ascii="宋体" w:hAnsi="宋体" w:eastAsia="宋体" w:cs="宋体"/>
          <w:color w:val="auto"/>
          <w:sz w:val="21"/>
          <w:szCs w:val="21"/>
          <w:highlight w:val="none"/>
        </w:rPr>
        <w:t>附件9.相关资质证明文件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_Toc26141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"_Toc17618" </w:instrText>
      </w:r>
      <w:r>
        <w:rPr>
          <w:color w:val="auto"/>
          <w:highlight w:val="none"/>
        </w:rPr>
        <w:fldChar w:fldCharType="separate"/>
      </w:r>
      <w:r>
        <w:rPr>
          <w:rFonts w:hint="eastAsia" w:ascii="宋体" w:hAnsi="宋体" w:eastAsia="宋体" w:cs="宋体"/>
          <w:color w:val="auto"/>
          <w:sz w:val="21"/>
          <w:szCs w:val="21"/>
          <w:highlight w:val="none"/>
        </w:rPr>
        <w:t>附件10.商务条款偏离表格式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_Toc17618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"_Toc32183" </w:instrText>
      </w:r>
      <w:r>
        <w:rPr>
          <w:color w:val="auto"/>
          <w:highlight w:val="none"/>
        </w:rPr>
        <w:fldChar w:fldCharType="separate"/>
      </w:r>
      <w:r>
        <w:rPr>
          <w:rFonts w:hint="eastAsia" w:ascii="宋体" w:hAnsi="宋体" w:eastAsia="宋体" w:cs="宋体"/>
          <w:color w:val="auto"/>
          <w:sz w:val="21"/>
          <w:szCs w:val="21"/>
          <w:highlight w:val="none"/>
        </w:rPr>
        <w:t>附件11.技术规格偏离表格式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_Toc32183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"_Toc29613" </w:instrText>
      </w:r>
      <w:r>
        <w:rPr>
          <w:color w:val="auto"/>
          <w:highlight w:val="none"/>
        </w:rPr>
        <w:fldChar w:fldCharType="separate"/>
      </w:r>
      <w:r>
        <w:rPr>
          <w:rFonts w:hint="eastAsia" w:ascii="宋体" w:hAnsi="宋体" w:eastAsia="宋体" w:cs="宋体"/>
          <w:color w:val="auto"/>
          <w:sz w:val="21"/>
          <w:szCs w:val="21"/>
          <w:highlight w:val="none"/>
        </w:rPr>
        <w:t>附件12.重要技术参数（▲）响应表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_Toc29613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"_Toc27674" </w:instrText>
      </w:r>
      <w:r>
        <w:rPr>
          <w:color w:val="auto"/>
          <w:highlight w:val="none"/>
        </w:rPr>
        <w:fldChar w:fldCharType="separate"/>
      </w:r>
      <w:r>
        <w:rPr>
          <w:rFonts w:hint="eastAsia" w:ascii="宋体" w:hAnsi="宋体" w:eastAsia="宋体" w:cs="宋体"/>
          <w:color w:val="auto"/>
          <w:sz w:val="21"/>
          <w:szCs w:val="21"/>
          <w:highlight w:val="none"/>
        </w:rPr>
        <w:t>附件13.业绩表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_Toc27674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"_Toc7860" </w:instrText>
      </w:r>
      <w:r>
        <w:rPr>
          <w:color w:val="auto"/>
          <w:highlight w:val="none"/>
        </w:rPr>
        <w:fldChar w:fldCharType="separate"/>
      </w:r>
      <w:r>
        <w:rPr>
          <w:rFonts w:hint="eastAsia" w:ascii="宋体" w:hAnsi="宋体" w:eastAsia="宋体" w:cs="宋体"/>
          <w:color w:val="auto"/>
          <w:sz w:val="21"/>
          <w:szCs w:val="21"/>
          <w:highlight w:val="none"/>
        </w:rPr>
        <w:t>附件14.项目实施方案格式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_Toc7860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"_Toc8596" </w:instrText>
      </w:r>
      <w:r>
        <w:rPr>
          <w:color w:val="auto"/>
          <w:highlight w:val="none"/>
        </w:rPr>
        <w:fldChar w:fldCharType="separate"/>
      </w:r>
      <w:r>
        <w:rPr>
          <w:rFonts w:hint="eastAsia" w:ascii="宋体" w:hAnsi="宋体" w:eastAsia="宋体" w:cs="宋体"/>
          <w:color w:val="auto"/>
          <w:sz w:val="21"/>
          <w:szCs w:val="21"/>
          <w:highlight w:val="none"/>
        </w:rPr>
        <w:t>附件15.实施本项目的有关人员资料表格式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_Toc8596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"_Toc21598" </w:instrText>
      </w:r>
      <w:r>
        <w:rPr>
          <w:color w:val="auto"/>
          <w:highlight w:val="none"/>
        </w:rPr>
        <w:fldChar w:fldCharType="separate"/>
      </w:r>
      <w:r>
        <w:rPr>
          <w:rFonts w:hint="eastAsia" w:ascii="宋体" w:hAnsi="宋体" w:eastAsia="宋体" w:cs="宋体"/>
          <w:color w:val="auto"/>
          <w:sz w:val="21"/>
          <w:szCs w:val="21"/>
          <w:highlight w:val="none"/>
        </w:rPr>
        <w:t>附件16.投标货物说明一览表格式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_Toc21598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"_Toc10094" </w:instrText>
      </w:r>
      <w:r>
        <w:rPr>
          <w:color w:val="auto"/>
          <w:highlight w:val="none"/>
        </w:rPr>
        <w:fldChar w:fldCharType="separate"/>
      </w:r>
      <w:r>
        <w:rPr>
          <w:rFonts w:hint="eastAsia" w:ascii="宋体" w:hAnsi="宋体" w:eastAsia="宋体" w:cs="宋体"/>
          <w:color w:val="auto"/>
          <w:sz w:val="21"/>
          <w:szCs w:val="21"/>
          <w:highlight w:val="none"/>
        </w:rPr>
        <w:t>附件17.在经营活动中没有重大违法记录的书面声明格式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_Toc10094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"_Toc21223" </w:instrText>
      </w:r>
      <w:r>
        <w:rPr>
          <w:color w:val="auto"/>
          <w:highlight w:val="none"/>
        </w:rPr>
        <w:fldChar w:fldCharType="separate"/>
      </w:r>
      <w:r>
        <w:rPr>
          <w:rFonts w:hint="eastAsia" w:ascii="宋体" w:hAnsi="宋体" w:eastAsia="宋体" w:cs="宋体"/>
          <w:color w:val="auto"/>
          <w:sz w:val="21"/>
          <w:szCs w:val="21"/>
          <w:highlight w:val="none"/>
        </w:rPr>
        <w:t>附件18.中小企业声明函（投标人为中小企业时适用）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_Toc21223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"_Toc28081" </w:instrText>
      </w:r>
      <w:r>
        <w:rPr>
          <w:color w:val="auto"/>
          <w:highlight w:val="none"/>
        </w:rPr>
        <w:fldChar w:fldCharType="separate"/>
      </w:r>
      <w:r>
        <w:rPr>
          <w:rFonts w:hint="eastAsia" w:ascii="宋体" w:hAnsi="宋体" w:eastAsia="宋体" w:cs="宋体"/>
          <w:color w:val="auto"/>
          <w:sz w:val="21"/>
          <w:szCs w:val="21"/>
          <w:highlight w:val="none"/>
        </w:rPr>
        <w:t>附件19.《残疾人福利性单位声明函》（残疾人福利性单位适用）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_Toc28081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"_Toc25634" </w:instrText>
      </w:r>
      <w:r>
        <w:rPr>
          <w:color w:val="auto"/>
          <w:highlight w:val="none"/>
        </w:rPr>
        <w:fldChar w:fldCharType="separate"/>
      </w:r>
      <w:r>
        <w:rPr>
          <w:rFonts w:hint="eastAsia" w:ascii="宋体" w:hAnsi="宋体" w:eastAsia="宋体" w:cs="宋体"/>
          <w:color w:val="auto"/>
          <w:sz w:val="21"/>
          <w:szCs w:val="21"/>
          <w:highlight w:val="none"/>
        </w:rPr>
        <w:t>附件20.投标保证金汇入情况说明格式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_Toc25634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"_Toc4363" </w:instrText>
      </w:r>
      <w:r>
        <w:rPr>
          <w:color w:val="auto"/>
          <w:highlight w:val="none"/>
        </w:rPr>
        <w:fldChar w:fldCharType="separate"/>
      </w:r>
      <w:r>
        <w:rPr>
          <w:rFonts w:hint="eastAsia" w:ascii="宋体" w:hAnsi="宋体" w:eastAsia="宋体" w:cs="宋体"/>
          <w:color w:val="auto"/>
          <w:sz w:val="21"/>
          <w:szCs w:val="21"/>
          <w:highlight w:val="none"/>
        </w:rPr>
        <w:t>附件21.政府采购投标担保函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_Toc4363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"_Toc27534" </w:instrText>
      </w:r>
      <w:r>
        <w:rPr>
          <w:color w:val="auto"/>
          <w:highlight w:val="none"/>
        </w:rPr>
        <w:fldChar w:fldCharType="separate"/>
      </w:r>
      <w:r>
        <w:rPr>
          <w:rFonts w:hint="eastAsia" w:ascii="宋体" w:hAnsi="宋体" w:eastAsia="宋体" w:cs="宋体"/>
          <w:color w:val="auto"/>
          <w:sz w:val="21"/>
          <w:szCs w:val="21"/>
          <w:highlight w:val="none"/>
        </w:rPr>
        <w:t>附件22.政府采购履约担保函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_Toc27534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"_Toc17023" </w:instrText>
      </w:r>
      <w:r>
        <w:rPr>
          <w:color w:val="auto"/>
          <w:highlight w:val="none"/>
        </w:rPr>
        <w:fldChar w:fldCharType="separate"/>
      </w:r>
      <w:r>
        <w:rPr>
          <w:rFonts w:hint="eastAsia" w:ascii="宋体" w:hAnsi="宋体" w:eastAsia="宋体" w:cs="宋体"/>
          <w:color w:val="auto"/>
          <w:sz w:val="21"/>
          <w:szCs w:val="21"/>
          <w:highlight w:val="none"/>
        </w:rPr>
        <w:t>附件23.获取招标文件登记表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_Toc17023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\l "_Toc11182" </w:instrText>
      </w:r>
      <w:r>
        <w:rPr>
          <w:color w:val="auto"/>
          <w:highlight w:val="none"/>
        </w:rPr>
        <w:fldChar w:fldCharType="separate"/>
      </w:r>
      <w:r>
        <w:rPr>
          <w:rFonts w:hint="eastAsia" w:ascii="宋体" w:hAnsi="宋体" w:eastAsia="宋体" w:cs="宋体"/>
          <w:color w:val="auto"/>
          <w:sz w:val="21"/>
          <w:szCs w:val="21"/>
          <w:highlight w:val="none"/>
        </w:rPr>
        <w:t>附件24.质疑函范本</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_Toc11182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jc w:val="both"/>
        <w:rPr>
          <w:rFonts w:cs="宋体"/>
          <w:color w:val="auto"/>
          <w:szCs w:val="21"/>
          <w:highlight w:val="none"/>
        </w:rPr>
      </w:pPr>
      <w:r>
        <w:rPr>
          <w:rFonts w:hint="eastAsia" w:ascii="宋体" w:hAnsi="宋体" w:eastAsia="宋体" w:cs="宋体"/>
          <w:color w:val="auto"/>
          <w:sz w:val="21"/>
          <w:szCs w:val="21"/>
          <w:highlight w:val="none"/>
        </w:rPr>
        <w:fldChar w:fldCharType="end"/>
      </w:r>
    </w:p>
    <w:p>
      <w:pPr>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pPr>
        <w:pStyle w:val="4"/>
        <w:spacing w:before="0" w:after="0" w:line="240" w:lineRule="auto"/>
        <w:rPr>
          <w:color w:val="auto"/>
          <w:sz w:val="28"/>
          <w:szCs w:val="28"/>
          <w:highlight w:val="none"/>
        </w:rPr>
      </w:pPr>
      <w:r>
        <w:rPr>
          <w:rFonts w:hint="eastAsia"/>
          <w:color w:val="auto"/>
          <w:sz w:val="28"/>
          <w:szCs w:val="28"/>
          <w:highlight w:val="none"/>
        </w:rPr>
        <w:t>第一部分 投标邀请</w:t>
      </w:r>
    </w:p>
    <w:p>
      <w:pPr>
        <w:pStyle w:val="5"/>
        <w:spacing w:before="0" w:after="0" w:line="360" w:lineRule="auto"/>
        <w:jc w:val="center"/>
        <w:rPr>
          <w:rFonts w:ascii="宋体" w:hAnsi="宋体" w:eastAsia="宋体" w:cs="宋体"/>
          <w:color w:val="auto"/>
          <w:highlight w:val="none"/>
        </w:rPr>
      </w:pPr>
      <w:bookmarkStart w:id="0" w:name="_Toc1420"/>
      <w:r>
        <w:rPr>
          <w:rFonts w:hint="eastAsia" w:ascii="宋体" w:hAnsi="宋体" w:eastAsia="宋体" w:cs="宋体"/>
          <w:color w:val="auto"/>
          <w:highlight w:val="none"/>
        </w:rPr>
        <w:t>投标邀请书</w:t>
      </w:r>
      <w:bookmarkEnd w:id="0"/>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）受</w:t>
      </w:r>
      <w:r>
        <w:rPr>
          <w:rFonts w:hint="eastAsia" w:ascii="宋体" w:hAnsi="宋体" w:eastAsia="宋体"/>
          <w:color w:val="auto"/>
          <w:sz w:val="21"/>
          <w:szCs w:val="21"/>
          <w:highlight w:val="none"/>
          <w:u w:val="single"/>
          <w:lang w:eastAsia="zh-CN"/>
        </w:rPr>
        <w:t>东莞市三汇实业投资有限公司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）委托，</w:t>
      </w:r>
      <w:r>
        <w:rPr>
          <w:rFonts w:hint="eastAsia" w:ascii="宋体" w:hAnsi="宋体" w:eastAsia="宋体"/>
          <w:color w:val="auto"/>
          <w:sz w:val="21"/>
          <w:szCs w:val="21"/>
          <w:highlight w:val="none"/>
        </w:rPr>
        <w:t>现</w:t>
      </w:r>
      <w:r>
        <w:rPr>
          <w:rFonts w:ascii="宋体" w:hAnsi="宋体" w:eastAsia="宋体"/>
          <w:color w:val="auto"/>
          <w:sz w:val="21"/>
          <w:szCs w:val="21"/>
          <w:highlight w:val="none"/>
        </w:rPr>
        <w:t>就</w:t>
      </w:r>
      <w:r>
        <w:rPr>
          <w:rFonts w:hint="eastAsia" w:ascii="宋体" w:hAnsi="宋体" w:eastAsia="宋体"/>
          <w:color w:val="auto"/>
          <w:sz w:val="21"/>
          <w:szCs w:val="21"/>
          <w:highlight w:val="none"/>
          <w:u w:val="single"/>
          <w:lang w:eastAsia="zh-CN"/>
        </w:rPr>
        <w:t>村尾村干道车辆管理系统安装项目</w:t>
      </w:r>
      <w:r>
        <w:rPr>
          <w:rFonts w:hint="eastAsia" w:ascii="宋体" w:hAnsi="宋体" w:eastAsia="宋体"/>
          <w:color w:val="auto"/>
          <w:sz w:val="21"/>
          <w:szCs w:val="21"/>
          <w:highlight w:val="none"/>
        </w:rPr>
        <w:t>（采购项目编号：</w:t>
      </w:r>
      <w:r>
        <w:rPr>
          <w:rFonts w:hint="eastAsia" w:ascii="宋体" w:hAnsi="宋体" w:eastAsia="宋体"/>
          <w:b/>
          <w:color w:val="auto"/>
          <w:sz w:val="21"/>
          <w:szCs w:val="21"/>
          <w:highlight w:val="none"/>
          <w:u w:val="single"/>
          <w:lang w:val="en-US" w:eastAsia="zh-CN"/>
        </w:rPr>
        <w:t>GDZT2021109A</w:t>
      </w:r>
      <w:r>
        <w:rPr>
          <w:rFonts w:hint="eastAsia" w:ascii="宋体" w:hAnsi="宋体" w:eastAsia="宋体"/>
          <w:color w:val="auto"/>
          <w:sz w:val="21"/>
          <w:szCs w:val="21"/>
          <w:highlight w:val="none"/>
        </w:rPr>
        <w:t>）</w:t>
      </w:r>
      <w:r>
        <w:rPr>
          <w:rFonts w:hint="eastAsia" w:ascii="宋体" w:hAnsi="宋体" w:eastAsia="宋体" w:cs="Times New Roman"/>
          <w:color w:val="auto"/>
          <w:sz w:val="21"/>
          <w:szCs w:val="21"/>
          <w:highlight w:val="none"/>
        </w:rPr>
        <w:t>进行国内公开招标采购</w:t>
      </w:r>
      <w:r>
        <w:rPr>
          <w:rFonts w:hint="eastAsia" w:ascii="宋体" w:hAnsi="宋体" w:eastAsia="宋体"/>
          <w:color w:val="auto"/>
          <w:sz w:val="21"/>
          <w:szCs w:val="21"/>
          <w:highlight w:val="none"/>
        </w:rPr>
        <w:t>，欢迎符合招标文件要求的国内投标人参加投标</w:t>
      </w:r>
      <w:r>
        <w:rPr>
          <w:rFonts w:ascii="宋体" w:hAnsi="宋体" w:eastAsia="宋体"/>
          <w:color w:val="auto"/>
          <w:sz w:val="21"/>
          <w:szCs w:val="21"/>
          <w:highlight w:val="none"/>
        </w:rPr>
        <w:t>。有关事项如下：</w:t>
      </w:r>
    </w:p>
    <w:p>
      <w:pPr>
        <w:spacing w:after="0" w:line="360" w:lineRule="auto"/>
        <w:ind w:firstLine="413" w:firstLineChars="196"/>
        <w:rPr>
          <w:rFonts w:ascii="宋体" w:hAnsi="宋体" w:eastAsia="宋体"/>
          <w:b/>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一、招标项目的名称、用途、简要技术要求或者招标项目的性质</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1、项目内容：</w:t>
      </w:r>
      <w:r>
        <w:rPr>
          <w:rFonts w:hint="eastAsia" w:ascii="宋体" w:hAnsi="宋体" w:eastAsia="宋体"/>
          <w:color w:val="auto"/>
          <w:sz w:val="21"/>
          <w:szCs w:val="21"/>
          <w:highlight w:val="none"/>
          <w:u w:val="single"/>
          <w:lang w:eastAsia="zh-CN"/>
        </w:rPr>
        <w:t>村尾村干道车辆管理系统安装项目</w:t>
      </w:r>
      <w:r>
        <w:rPr>
          <w:rFonts w:hint="eastAsia" w:ascii="宋体" w:hAnsi="宋体" w:eastAsia="宋体"/>
          <w:color w:val="auto"/>
          <w:sz w:val="21"/>
          <w:szCs w:val="21"/>
          <w:highlight w:val="none"/>
        </w:rPr>
        <w:t>采购一项，预算：</w:t>
      </w:r>
      <w:r>
        <w:rPr>
          <w:rFonts w:hint="eastAsia" w:ascii="宋体" w:hAnsi="宋体" w:eastAsia="宋体"/>
          <w:b/>
          <w:color w:val="auto"/>
          <w:sz w:val="21"/>
          <w:szCs w:val="21"/>
          <w:highlight w:val="none"/>
          <w:u w:val="single"/>
          <w:lang w:val="en-US" w:eastAsia="zh-CN"/>
        </w:rPr>
        <w:t>539,696.57</w:t>
      </w:r>
      <w:r>
        <w:rPr>
          <w:rFonts w:hint="eastAsia" w:ascii="宋体" w:hAnsi="宋体" w:eastAsia="宋体"/>
          <w:color w:val="auto"/>
          <w:sz w:val="21"/>
          <w:szCs w:val="21"/>
          <w:highlight w:val="none"/>
        </w:rPr>
        <w:t>元。</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2、简要技术要求或招标项目的性质：详细内容请参阅招标文件第三部分《用户需求书》。</w:t>
      </w:r>
    </w:p>
    <w:p>
      <w:pPr>
        <w:spacing w:after="0" w:line="360" w:lineRule="auto"/>
        <w:ind w:firstLine="413" w:firstLineChars="196"/>
        <w:rPr>
          <w:rFonts w:ascii="宋体" w:hAnsi="宋体" w:eastAsia="宋体"/>
          <w:b/>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二、投标人资格要求</w:t>
      </w: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1、一般要求：</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（1）须符合《中华人民共和国政府采购法》第二十二条规定（需提供书面承诺）；</w:t>
      </w:r>
    </w:p>
    <w:p>
      <w:p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（2）投标人为分公司或下属分支机构的，应提供在中华人民共和国境内注册，并取得营业执照的法人或总公司出具的授权函；</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）参加采购活动前三年内，在经营活动中没有重大违法记录（须提供书面声明）；</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4</w:t>
      </w:r>
      <w:r>
        <w:rPr>
          <w:rFonts w:hint="eastAsia" w:ascii="宋体" w:hAnsi="宋体" w:eastAsia="宋体"/>
          <w:color w:val="auto"/>
          <w:sz w:val="21"/>
          <w:szCs w:val="21"/>
          <w:highlight w:val="none"/>
        </w:rPr>
        <w:t>）本项目</w:t>
      </w:r>
      <w:r>
        <w:rPr>
          <w:rFonts w:hint="eastAsia" w:ascii="宋体" w:hAnsi="宋体" w:eastAsia="宋体"/>
          <w:color w:val="auto"/>
          <w:sz w:val="21"/>
          <w:szCs w:val="21"/>
          <w:highlight w:val="none"/>
          <w:lang w:val="en-US" w:eastAsia="zh-CN"/>
        </w:rPr>
        <w:t>不</w:t>
      </w:r>
      <w:bookmarkStart w:id="222" w:name="_GoBack"/>
      <w:bookmarkEnd w:id="222"/>
      <w:r>
        <w:rPr>
          <w:rFonts w:hint="eastAsia" w:ascii="宋体" w:hAnsi="宋体" w:eastAsia="宋体"/>
          <w:color w:val="auto"/>
          <w:sz w:val="21"/>
          <w:szCs w:val="21"/>
          <w:highlight w:val="none"/>
        </w:rPr>
        <w:t xml:space="preserve">接受联合体投标；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2、特殊要求：</w:t>
      </w:r>
    </w:p>
    <w:p>
      <w:pPr>
        <w:spacing w:after="0" w:line="360" w:lineRule="auto"/>
        <w:ind w:firstLine="411" w:firstLineChars="196"/>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投标人</w:t>
      </w:r>
      <w:r>
        <w:rPr>
          <w:rFonts w:hint="eastAsia" w:ascii="宋体" w:eastAsia="宋体" w:cs="宋体"/>
          <w:bCs/>
          <w:color w:val="auto"/>
          <w:sz w:val="21"/>
          <w:szCs w:val="21"/>
          <w:highlight w:val="none"/>
          <w:lang w:val="zh-CN"/>
        </w:rPr>
        <w:t>（含其上级、</w:t>
      </w:r>
      <w:r>
        <w:rPr>
          <w:rFonts w:hint="eastAsia" w:ascii="宋体" w:eastAsia="宋体" w:cs="宋体"/>
          <w:bCs/>
          <w:color w:val="auto"/>
          <w:sz w:val="21"/>
          <w:szCs w:val="21"/>
          <w:highlight w:val="none"/>
          <w:lang w:val="en-US" w:eastAsia="zh-CN"/>
        </w:rPr>
        <w:t>下级</w:t>
      </w:r>
      <w:r>
        <w:rPr>
          <w:rFonts w:hint="eastAsia" w:ascii="宋体" w:eastAsia="宋体" w:cs="宋体"/>
          <w:bCs/>
          <w:color w:val="auto"/>
          <w:sz w:val="21"/>
          <w:szCs w:val="21"/>
          <w:highlight w:val="none"/>
          <w:lang w:val="zh-CN"/>
        </w:rPr>
        <w:t>分公司及总公司）</w:t>
      </w:r>
      <w:r>
        <w:rPr>
          <w:rFonts w:hint="eastAsia" w:ascii="宋体" w:hAnsi="宋体" w:eastAsia="宋体"/>
          <w:color w:val="auto"/>
          <w:sz w:val="21"/>
          <w:szCs w:val="21"/>
          <w:highlight w:val="none"/>
        </w:rPr>
        <w:t>具有公安部门颁发的《安全技术防范系统设计、施工、维修资格证》</w:t>
      </w:r>
      <w:r>
        <w:rPr>
          <w:rFonts w:hint="eastAsia" w:ascii="宋体" w:hAnsi="宋体" w:eastAsia="宋体"/>
          <w:color w:val="auto"/>
          <w:sz w:val="21"/>
          <w:szCs w:val="21"/>
          <w:highlight w:val="none"/>
          <w:lang w:val="en-US" w:eastAsia="zh-CN"/>
        </w:rPr>
        <w:t>四</w:t>
      </w:r>
      <w:r>
        <w:rPr>
          <w:rFonts w:hint="eastAsia" w:ascii="宋体" w:hAnsi="宋体" w:eastAsia="宋体"/>
          <w:color w:val="auto"/>
          <w:sz w:val="21"/>
          <w:szCs w:val="21"/>
          <w:highlight w:val="none"/>
        </w:rPr>
        <w:t>级或以上资质（非广东省企业须提供所在地省（自治区、直辖市）公安厅（局）发放的有效的安全技术防范系统设计、施工、维修资格证书，或者是省级以上安防行业协会颁发的有效的安防工程企业设计施工维护能力证书及广东省公安部门颁发的同等级备案证明）</w:t>
      </w:r>
    </w:p>
    <w:p>
      <w:pPr>
        <w:bidi w:val="0"/>
        <w:rPr>
          <w:color w:val="auto"/>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三、项目公示时间、招标文件领购时间、地点、方式</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1、项目公示时间：202</w:t>
      </w: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lang w:val="en-US" w:eastAsia="zh-CN"/>
        </w:rPr>
        <w:t>7</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lang w:val="en-US" w:eastAsia="zh-CN"/>
        </w:rPr>
        <w:t>9</w:t>
      </w:r>
      <w:r>
        <w:rPr>
          <w:rFonts w:hint="eastAsia" w:ascii="宋体" w:hAnsi="宋体" w:eastAsia="宋体"/>
          <w:color w:val="auto"/>
          <w:sz w:val="21"/>
          <w:szCs w:val="21"/>
          <w:highlight w:val="none"/>
        </w:rPr>
        <w:t>日起至202</w:t>
      </w: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lang w:val="en-US" w:eastAsia="zh-CN"/>
        </w:rPr>
        <w:t>7</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lang w:val="en-US" w:eastAsia="zh-CN"/>
        </w:rPr>
        <w:t>16</w:t>
      </w:r>
      <w:r>
        <w:rPr>
          <w:rFonts w:hint="eastAsia" w:ascii="宋体" w:hAnsi="宋体" w:eastAsia="宋体"/>
          <w:color w:val="auto"/>
          <w:sz w:val="21"/>
          <w:szCs w:val="21"/>
          <w:highlight w:val="none"/>
        </w:rPr>
        <w:t>日。</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2、招标文件领购</w:t>
      </w:r>
      <w:r>
        <w:rPr>
          <w:rFonts w:ascii="宋体" w:hAnsi="宋体" w:eastAsia="宋体"/>
          <w:color w:val="auto"/>
          <w:sz w:val="21"/>
          <w:szCs w:val="21"/>
          <w:highlight w:val="none"/>
        </w:rPr>
        <w:t>时间：</w:t>
      </w:r>
      <w:r>
        <w:rPr>
          <w:rFonts w:hint="eastAsia" w:ascii="宋体" w:hAnsi="宋体" w:eastAsia="宋体"/>
          <w:color w:val="auto"/>
          <w:sz w:val="21"/>
          <w:szCs w:val="21"/>
          <w:highlight w:val="none"/>
        </w:rPr>
        <w:t>202</w:t>
      </w: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lang w:val="en-US" w:eastAsia="zh-CN"/>
        </w:rPr>
        <w:t>7</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lang w:val="en-US" w:eastAsia="zh-CN"/>
        </w:rPr>
        <w:t>9</w:t>
      </w:r>
      <w:r>
        <w:rPr>
          <w:rFonts w:hint="eastAsia" w:ascii="宋体" w:hAnsi="宋体" w:eastAsia="宋体"/>
          <w:color w:val="auto"/>
          <w:sz w:val="21"/>
          <w:szCs w:val="21"/>
          <w:highlight w:val="none"/>
        </w:rPr>
        <w:t>日起至202</w:t>
      </w: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lang w:val="en-US" w:eastAsia="zh-CN"/>
        </w:rPr>
        <w:t>7</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lang w:val="en-US" w:eastAsia="zh-CN"/>
        </w:rPr>
        <w:t>16</w:t>
      </w:r>
      <w:r>
        <w:rPr>
          <w:rFonts w:hint="eastAsia" w:ascii="宋体" w:hAnsi="宋体" w:eastAsia="宋体"/>
          <w:color w:val="auto"/>
          <w:sz w:val="21"/>
          <w:szCs w:val="21"/>
          <w:highlight w:val="none"/>
        </w:rPr>
        <w:t xml:space="preserve">日（节假日除外），上午9：00～12：00，下午14：30～17：30（北京时间）。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注：（1）投标人可自行打印招标文件中的“附件23 获取招标文件登记表”进行填写并带到现场进行领购，并现场领取发票。（招标文件领购价：人民币150元整）</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（2）现场支持现金支付、微信支付、支付宝支付等支付方式，请将相应表格交予我司</w:t>
      </w:r>
      <w:r>
        <w:rPr>
          <w:rFonts w:hint="eastAsia" w:ascii="宋体" w:hAnsi="宋体" w:eastAsia="宋体"/>
          <w:color w:val="auto"/>
          <w:sz w:val="21"/>
          <w:szCs w:val="21"/>
          <w:highlight w:val="none"/>
          <w:lang w:val="en-US" w:eastAsia="zh-CN"/>
        </w:rPr>
        <w:t>简小姐</w:t>
      </w:r>
      <w:r>
        <w:rPr>
          <w:rFonts w:hint="eastAsia" w:ascii="宋体" w:hAnsi="宋体" w:eastAsia="宋体"/>
          <w:color w:val="auto"/>
          <w:sz w:val="21"/>
          <w:szCs w:val="21"/>
          <w:highlight w:val="none"/>
        </w:rPr>
        <w:t>。</w:t>
      </w:r>
    </w:p>
    <w:p>
      <w:pPr>
        <w:spacing w:after="0" w:line="360" w:lineRule="auto"/>
        <w:ind w:firstLine="420" w:firstLineChars="200"/>
        <w:rPr>
          <w:color w:val="auto"/>
          <w:highlight w:val="none"/>
        </w:rPr>
      </w:pPr>
      <w:r>
        <w:rPr>
          <w:rFonts w:hint="eastAsia" w:ascii="宋体" w:hAnsi="宋体" w:eastAsia="宋体"/>
          <w:color w:val="auto"/>
          <w:sz w:val="21"/>
          <w:szCs w:val="21"/>
          <w:highlight w:val="none"/>
        </w:rPr>
        <w:t>（3）招标文件电子版可在政通招标有限公司（http://www.zttendering.com/）相关招标信息公告下自行下载。</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3、招标文件领购地点：东莞市南城街道鸿福西路81号国际商会大厦</w:t>
      </w:r>
      <w:r>
        <w:rPr>
          <w:rFonts w:hint="eastAsia" w:ascii="宋体" w:hAnsi="宋体" w:eastAsia="宋体"/>
          <w:color w:val="auto"/>
          <w:sz w:val="21"/>
          <w:szCs w:val="21"/>
          <w:highlight w:val="none"/>
          <w:lang w:eastAsia="zh-CN"/>
        </w:rPr>
        <w:t>1</w:t>
      </w:r>
      <w:r>
        <w:rPr>
          <w:rFonts w:hint="eastAsia" w:ascii="宋体" w:hAnsi="宋体" w:eastAsia="宋体"/>
          <w:color w:val="auto"/>
          <w:sz w:val="21"/>
          <w:szCs w:val="21"/>
          <w:highlight w:val="none"/>
          <w:lang w:val="en-US" w:eastAsia="zh-CN"/>
        </w:rPr>
        <w:t>3A</w:t>
      </w:r>
      <w:r>
        <w:rPr>
          <w:rFonts w:hint="eastAsia" w:ascii="宋体" w:hAnsi="宋体" w:eastAsia="宋体"/>
          <w:color w:val="auto"/>
          <w:sz w:val="21"/>
          <w:szCs w:val="21"/>
          <w:highlight w:val="none"/>
          <w:lang w:eastAsia="zh-CN"/>
        </w:rPr>
        <w:t>01</w:t>
      </w:r>
      <w:r>
        <w:rPr>
          <w:rFonts w:hint="eastAsia" w:ascii="宋体" w:hAnsi="宋体" w:eastAsia="宋体"/>
          <w:color w:val="auto"/>
          <w:sz w:val="21"/>
          <w:szCs w:val="21"/>
          <w:highlight w:val="none"/>
        </w:rPr>
        <w:t>室。</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联系人：</w:t>
      </w:r>
      <w:r>
        <w:rPr>
          <w:rFonts w:hint="eastAsia" w:ascii="宋体" w:hAnsi="宋体" w:eastAsia="宋体"/>
          <w:color w:val="auto"/>
          <w:sz w:val="21"/>
          <w:szCs w:val="21"/>
          <w:highlight w:val="none"/>
          <w:lang w:eastAsia="zh-CN"/>
        </w:rPr>
        <w:t>简海欣</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lang w:eastAsia="zh-CN"/>
        </w:rPr>
        <w:t>0769-22881803</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4、招标文件领购方式：现场领购。</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pPr>
        <w:spacing w:after="0" w:line="360" w:lineRule="auto"/>
        <w:ind w:firstLine="411" w:firstLineChars="196"/>
        <w:rPr>
          <w:rFonts w:ascii="宋体" w:hAnsi="宋体" w:eastAsia="宋体"/>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四、投标截止时间、开标时间及地点</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1、递交投标文件时间：202</w:t>
      </w:r>
      <w:r>
        <w:rPr>
          <w:rFonts w:hint="eastAsia" w:ascii="宋体" w:hAnsi="宋体" w:eastAsia="宋体"/>
          <w:bCs/>
          <w:color w:val="auto"/>
          <w:sz w:val="21"/>
          <w:szCs w:val="21"/>
          <w:highlight w:val="none"/>
          <w:lang w:val="en-US" w:eastAsia="zh-CN"/>
        </w:rPr>
        <w:t>1</w:t>
      </w:r>
      <w:r>
        <w:rPr>
          <w:rFonts w:hint="eastAsia" w:ascii="宋体" w:hAnsi="宋体" w:eastAsia="宋体"/>
          <w:bCs/>
          <w:color w:val="auto"/>
          <w:sz w:val="21"/>
          <w:szCs w:val="21"/>
          <w:highlight w:val="none"/>
        </w:rPr>
        <w:t>年</w:t>
      </w:r>
      <w:r>
        <w:rPr>
          <w:rFonts w:hint="eastAsia" w:ascii="宋体" w:hAnsi="宋体" w:eastAsia="宋体"/>
          <w:bCs/>
          <w:color w:val="auto"/>
          <w:sz w:val="21"/>
          <w:szCs w:val="21"/>
          <w:highlight w:val="none"/>
          <w:lang w:val="en-US" w:eastAsia="zh-CN"/>
        </w:rPr>
        <w:t>7</w:t>
      </w:r>
      <w:r>
        <w:rPr>
          <w:rFonts w:hint="eastAsia" w:ascii="宋体" w:hAnsi="宋体" w:eastAsia="宋体"/>
          <w:bCs/>
          <w:color w:val="auto"/>
          <w:sz w:val="21"/>
          <w:szCs w:val="21"/>
          <w:highlight w:val="none"/>
        </w:rPr>
        <w:t>月</w:t>
      </w:r>
      <w:r>
        <w:rPr>
          <w:rFonts w:hint="eastAsia" w:ascii="宋体" w:hAnsi="宋体" w:eastAsia="宋体"/>
          <w:bCs/>
          <w:color w:val="auto"/>
          <w:sz w:val="21"/>
          <w:szCs w:val="21"/>
          <w:highlight w:val="none"/>
          <w:lang w:val="en-US" w:eastAsia="zh-CN"/>
        </w:rPr>
        <w:t>30</w:t>
      </w:r>
      <w:r>
        <w:rPr>
          <w:rFonts w:hint="eastAsia" w:ascii="宋体" w:hAnsi="宋体" w:eastAsia="宋体"/>
          <w:bCs/>
          <w:color w:val="auto"/>
          <w:sz w:val="21"/>
          <w:szCs w:val="21"/>
          <w:highlight w:val="none"/>
        </w:rPr>
        <w:t>日</w:t>
      </w:r>
      <w:r>
        <w:rPr>
          <w:rFonts w:hint="eastAsia" w:ascii="宋体" w:hAnsi="宋体" w:eastAsia="宋体"/>
          <w:bCs/>
          <w:color w:val="auto"/>
          <w:sz w:val="21"/>
          <w:szCs w:val="21"/>
          <w:highlight w:val="none"/>
          <w:lang w:val="en-US" w:eastAsia="zh-CN"/>
        </w:rPr>
        <w:t>下</w:t>
      </w:r>
      <w:r>
        <w:rPr>
          <w:rFonts w:hint="eastAsia" w:ascii="宋体" w:hAnsi="宋体" w:eastAsia="宋体"/>
          <w:bCs/>
          <w:color w:val="auto"/>
          <w:sz w:val="21"/>
          <w:szCs w:val="21"/>
          <w:highlight w:val="none"/>
        </w:rPr>
        <w:t>午</w:t>
      </w:r>
      <w:r>
        <w:rPr>
          <w:rFonts w:hint="eastAsia" w:ascii="宋体" w:hAnsi="宋体" w:eastAsia="宋体"/>
          <w:bCs/>
          <w:color w:val="auto"/>
          <w:sz w:val="21"/>
          <w:szCs w:val="21"/>
          <w:highlight w:val="none"/>
          <w:lang w:val="en-US" w:eastAsia="zh-CN"/>
        </w:rPr>
        <w:t>14</w:t>
      </w:r>
      <w:r>
        <w:rPr>
          <w:rFonts w:hint="eastAsia" w:ascii="宋体" w:hAnsi="宋体" w:eastAsia="宋体"/>
          <w:bCs/>
          <w:color w:val="auto"/>
          <w:sz w:val="21"/>
          <w:szCs w:val="21"/>
          <w:highlight w:val="none"/>
        </w:rPr>
        <w:t>：00～</w:t>
      </w:r>
      <w:r>
        <w:rPr>
          <w:rFonts w:hint="eastAsia" w:ascii="宋体" w:hAnsi="宋体" w:eastAsia="宋体"/>
          <w:bCs/>
          <w:color w:val="auto"/>
          <w:sz w:val="21"/>
          <w:szCs w:val="21"/>
          <w:highlight w:val="none"/>
          <w:lang w:val="en-US" w:eastAsia="zh-CN"/>
        </w:rPr>
        <w:t>14</w:t>
      </w:r>
      <w:r>
        <w:rPr>
          <w:rFonts w:hint="eastAsia" w:ascii="宋体" w:hAnsi="宋体" w:eastAsia="宋体"/>
          <w:bCs/>
          <w:color w:val="auto"/>
          <w:sz w:val="21"/>
          <w:szCs w:val="21"/>
          <w:highlight w:val="none"/>
        </w:rPr>
        <w:t>：30。</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2、</w:t>
      </w:r>
      <w:r>
        <w:rPr>
          <w:rFonts w:ascii="宋体" w:hAnsi="宋体" w:eastAsia="宋体"/>
          <w:bCs/>
          <w:color w:val="auto"/>
          <w:sz w:val="21"/>
          <w:szCs w:val="21"/>
          <w:highlight w:val="none"/>
        </w:rPr>
        <w:t>投标截止</w:t>
      </w:r>
      <w:r>
        <w:rPr>
          <w:rFonts w:hint="eastAsia" w:ascii="宋体" w:hAnsi="宋体" w:eastAsia="宋体"/>
          <w:bCs/>
          <w:color w:val="auto"/>
          <w:sz w:val="21"/>
          <w:szCs w:val="21"/>
          <w:highlight w:val="none"/>
        </w:rPr>
        <w:t>及开标时间：202</w:t>
      </w:r>
      <w:r>
        <w:rPr>
          <w:rFonts w:hint="eastAsia" w:ascii="宋体" w:hAnsi="宋体" w:eastAsia="宋体"/>
          <w:bCs/>
          <w:color w:val="auto"/>
          <w:sz w:val="21"/>
          <w:szCs w:val="21"/>
          <w:highlight w:val="none"/>
          <w:lang w:val="en-US" w:eastAsia="zh-CN"/>
        </w:rPr>
        <w:t>1</w:t>
      </w:r>
      <w:r>
        <w:rPr>
          <w:rFonts w:hint="eastAsia" w:ascii="宋体" w:hAnsi="宋体" w:eastAsia="宋体"/>
          <w:bCs/>
          <w:color w:val="auto"/>
          <w:sz w:val="21"/>
          <w:szCs w:val="21"/>
          <w:highlight w:val="none"/>
        </w:rPr>
        <w:t>年</w:t>
      </w:r>
      <w:r>
        <w:rPr>
          <w:rFonts w:hint="eastAsia" w:ascii="宋体" w:hAnsi="宋体" w:eastAsia="宋体"/>
          <w:bCs/>
          <w:color w:val="auto"/>
          <w:sz w:val="21"/>
          <w:szCs w:val="21"/>
          <w:highlight w:val="none"/>
          <w:lang w:val="en-US" w:eastAsia="zh-CN"/>
        </w:rPr>
        <w:t>7</w:t>
      </w:r>
      <w:r>
        <w:rPr>
          <w:rFonts w:hint="eastAsia" w:ascii="宋体" w:hAnsi="宋体" w:eastAsia="宋体"/>
          <w:bCs/>
          <w:color w:val="auto"/>
          <w:sz w:val="21"/>
          <w:szCs w:val="21"/>
          <w:highlight w:val="none"/>
        </w:rPr>
        <w:t>月</w:t>
      </w:r>
      <w:r>
        <w:rPr>
          <w:rFonts w:hint="eastAsia" w:ascii="宋体" w:hAnsi="宋体" w:eastAsia="宋体"/>
          <w:bCs/>
          <w:color w:val="auto"/>
          <w:sz w:val="21"/>
          <w:szCs w:val="21"/>
          <w:highlight w:val="none"/>
          <w:lang w:val="en-US" w:eastAsia="zh-CN"/>
        </w:rPr>
        <w:t>30</w:t>
      </w:r>
      <w:r>
        <w:rPr>
          <w:rFonts w:hint="eastAsia" w:ascii="宋体" w:hAnsi="宋体" w:eastAsia="宋体"/>
          <w:bCs/>
          <w:color w:val="auto"/>
          <w:sz w:val="21"/>
          <w:szCs w:val="21"/>
          <w:highlight w:val="none"/>
        </w:rPr>
        <w:t>日</w:t>
      </w:r>
      <w:r>
        <w:rPr>
          <w:rFonts w:hint="eastAsia" w:ascii="宋体" w:hAnsi="宋体" w:eastAsia="宋体"/>
          <w:bCs/>
          <w:color w:val="auto"/>
          <w:sz w:val="21"/>
          <w:szCs w:val="21"/>
          <w:highlight w:val="none"/>
          <w:lang w:val="en-US" w:eastAsia="zh-CN"/>
        </w:rPr>
        <w:t>下</w:t>
      </w:r>
      <w:r>
        <w:rPr>
          <w:rFonts w:hint="eastAsia" w:ascii="宋体" w:hAnsi="宋体" w:eastAsia="宋体"/>
          <w:bCs/>
          <w:color w:val="auto"/>
          <w:sz w:val="21"/>
          <w:szCs w:val="21"/>
          <w:highlight w:val="none"/>
        </w:rPr>
        <w:t>午</w:t>
      </w:r>
      <w:r>
        <w:rPr>
          <w:rFonts w:hint="eastAsia" w:ascii="宋体" w:hAnsi="宋体" w:eastAsia="宋体"/>
          <w:bCs/>
          <w:color w:val="auto"/>
          <w:sz w:val="21"/>
          <w:szCs w:val="21"/>
          <w:highlight w:val="none"/>
          <w:lang w:val="en-US" w:eastAsia="zh-CN"/>
        </w:rPr>
        <w:t>14</w:t>
      </w:r>
      <w:r>
        <w:rPr>
          <w:rFonts w:hint="eastAsia" w:ascii="宋体" w:hAnsi="宋体" w:eastAsia="宋体"/>
          <w:bCs/>
          <w:color w:val="auto"/>
          <w:sz w:val="21"/>
          <w:szCs w:val="21"/>
          <w:highlight w:val="none"/>
        </w:rPr>
        <w:t>时30分。</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3、</w:t>
      </w:r>
      <w:r>
        <w:rPr>
          <w:rFonts w:ascii="宋体" w:hAnsi="宋体" w:eastAsia="宋体"/>
          <w:bCs/>
          <w:color w:val="auto"/>
          <w:sz w:val="21"/>
          <w:szCs w:val="21"/>
          <w:highlight w:val="none"/>
        </w:rPr>
        <w:t>开标地点：</w:t>
      </w:r>
      <w:r>
        <w:rPr>
          <w:rFonts w:hint="eastAsia" w:ascii="宋体" w:hAnsi="宋体" w:eastAsia="宋体"/>
          <w:color w:val="auto"/>
          <w:sz w:val="21"/>
          <w:szCs w:val="21"/>
          <w:highlight w:val="none"/>
        </w:rPr>
        <w:t>东莞市南城街道鸿福西路81号国际商会大厦</w:t>
      </w:r>
      <w:r>
        <w:rPr>
          <w:rFonts w:hint="eastAsia" w:ascii="宋体" w:hAnsi="宋体" w:eastAsia="宋体"/>
          <w:color w:val="auto"/>
          <w:sz w:val="21"/>
          <w:szCs w:val="21"/>
          <w:highlight w:val="none"/>
          <w:lang w:val="en-US" w:eastAsia="zh-CN"/>
        </w:rPr>
        <w:t>13A</w:t>
      </w:r>
      <w:r>
        <w:rPr>
          <w:rFonts w:hint="eastAsia" w:ascii="宋体" w:hAnsi="宋体" w:eastAsia="宋体"/>
          <w:color w:val="auto"/>
          <w:sz w:val="21"/>
          <w:szCs w:val="21"/>
          <w:highlight w:val="none"/>
        </w:rPr>
        <w:t>01室</w:t>
      </w:r>
      <w:r>
        <w:rPr>
          <w:rFonts w:hint="eastAsia" w:ascii="宋体" w:hAnsi="宋体" w:eastAsia="宋体"/>
          <w:bCs/>
          <w:color w:val="auto"/>
          <w:sz w:val="21"/>
          <w:szCs w:val="21"/>
          <w:highlight w:val="none"/>
        </w:rPr>
        <w:t>。</w:t>
      </w:r>
    </w:p>
    <w:p>
      <w:pPr>
        <w:spacing w:after="0" w:line="360" w:lineRule="auto"/>
        <w:ind w:firstLine="411" w:firstLineChars="196"/>
        <w:rPr>
          <w:rFonts w:ascii="宋体" w:hAnsi="宋体" w:eastAsia="宋体"/>
          <w:bCs/>
          <w:color w:val="auto"/>
          <w:sz w:val="21"/>
          <w:szCs w:val="21"/>
          <w:highlight w:val="none"/>
        </w:rPr>
      </w:pPr>
    </w:p>
    <w:p>
      <w:pPr>
        <w:spacing w:after="0" w:line="360" w:lineRule="auto"/>
        <w:ind w:firstLine="413" w:firstLineChars="196"/>
        <w:rPr>
          <w:rFonts w:ascii="宋体" w:hAnsi="宋体" w:eastAsia="宋体"/>
          <w:bCs/>
          <w:color w:val="auto"/>
          <w:sz w:val="21"/>
          <w:szCs w:val="21"/>
          <w:highlight w:val="none"/>
        </w:rPr>
      </w:pPr>
      <w:r>
        <w:rPr>
          <w:rFonts w:hint="eastAsia" w:ascii="宋体" w:hAnsi="宋体" w:eastAsia="宋体"/>
          <w:b/>
          <w:color w:val="auto"/>
          <w:sz w:val="21"/>
          <w:szCs w:val="21"/>
          <w:highlight w:val="none"/>
        </w:rPr>
        <w:t>五、采购人及采购代理机构的名称、地址和联系方法：</w:t>
      </w:r>
    </w:p>
    <w:p>
      <w:pPr>
        <w:spacing w:after="0" w:line="360" w:lineRule="auto"/>
        <w:ind w:firstLine="420" w:firstLineChars="200"/>
        <w:rPr>
          <w:rFonts w:hint="default"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采购人联系人：</w:t>
      </w:r>
      <w:r>
        <w:rPr>
          <w:rFonts w:hint="eastAsia" w:ascii="宋体" w:hAnsi="宋体" w:eastAsia="宋体"/>
          <w:bCs/>
          <w:color w:val="auto"/>
          <w:sz w:val="21"/>
          <w:szCs w:val="21"/>
          <w:highlight w:val="none"/>
          <w:lang w:val="en-US" w:eastAsia="zh-CN"/>
        </w:rPr>
        <w:t>叶工</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地址：东莞市横沥镇村尾村德兴路118号</w:t>
      </w:r>
    </w:p>
    <w:p>
      <w:pPr>
        <w:spacing w:after="0" w:line="360" w:lineRule="auto"/>
        <w:ind w:firstLine="420" w:firstLineChars="200"/>
        <w:rPr>
          <w:rFonts w:hint="default"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联系电话：</w:t>
      </w:r>
      <w:r>
        <w:rPr>
          <w:rFonts w:hint="eastAsia" w:ascii="宋体" w:hAnsi="宋体" w:eastAsia="宋体"/>
          <w:bCs/>
          <w:color w:val="auto"/>
          <w:sz w:val="21"/>
          <w:szCs w:val="21"/>
          <w:highlight w:val="none"/>
          <w:lang w:val="en-US" w:eastAsia="zh-CN"/>
        </w:rPr>
        <w:t>0769-82806038</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采购代理机构名称：</w:t>
      </w:r>
      <w:r>
        <w:rPr>
          <w:rFonts w:hint="eastAsia" w:ascii="宋体" w:hAnsi="宋体" w:eastAsia="宋体"/>
          <w:color w:val="auto"/>
          <w:sz w:val="21"/>
          <w:szCs w:val="21"/>
          <w:highlight w:val="none"/>
          <w:lang w:eastAsia="zh-CN"/>
        </w:rPr>
        <w:t>广东政通招标有限公司</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地址：东莞市南城街道鸿福西路81号国际商会大厦</w:t>
      </w:r>
      <w:r>
        <w:rPr>
          <w:rFonts w:hint="eastAsia" w:ascii="宋体" w:hAnsi="宋体" w:eastAsia="宋体"/>
          <w:color w:val="auto"/>
          <w:sz w:val="21"/>
          <w:szCs w:val="21"/>
          <w:highlight w:val="none"/>
          <w:lang w:val="en-US" w:eastAsia="zh-CN"/>
        </w:rPr>
        <w:t>13A01</w:t>
      </w:r>
      <w:r>
        <w:rPr>
          <w:rFonts w:hint="eastAsia" w:ascii="宋体" w:hAnsi="宋体" w:eastAsia="宋体"/>
          <w:color w:val="auto"/>
          <w:sz w:val="21"/>
          <w:szCs w:val="21"/>
          <w:highlight w:val="none"/>
        </w:rPr>
        <w:t>室。</w:t>
      </w:r>
    </w:p>
    <w:p>
      <w:p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采购代理机构联系人：</w:t>
      </w:r>
      <w:r>
        <w:rPr>
          <w:rFonts w:hint="eastAsia" w:ascii="宋体" w:hAnsi="宋体" w:eastAsia="宋体"/>
          <w:color w:val="auto"/>
          <w:sz w:val="21"/>
          <w:szCs w:val="21"/>
          <w:highlight w:val="none"/>
          <w:lang w:val="en-US" w:eastAsia="zh-CN"/>
        </w:rPr>
        <w:t>杨俊平</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联系电话：0769-22881803</w:t>
      </w:r>
    </w:p>
    <w:p>
      <w:pPr>
        <w:spacing w:after="0" w:line="360" w:lineRule="auto"/>
        <w:ind w:firstLine="420" w:firstLineChars="200"/>
        <w:rPr>
          <w:rFonts w:hint="default" w:eastAsia="宋体"/>
          <w:color w:val="auto"/>
          <w:highlight w:val="none"/>
          <w:lang w:val="en-US" w:eastAsia="zh-CN"/>
        </w:rPr>
      </w:pPr>
      <w:r>
        <w:rPr>
          <w:rFonts w:hint="eastAsia" w:ascii="宋体" w:hAnsi="宋体" w:eastAsia="宋体"/>
          <w:color w:val="auto"/>
          <w:sz w:val="21"/>
          <w:szCs w:val="21"/>
          <w:highlight w:val="none"/>
        </w:rPr>
        <w:t>E－ mail：</w:t>
      </w:r>
      <w:r>
        <w:rPr>
          <w:rFonts w:hint="eastAsia" w:ascii="宋体" w:hAnsi="宋体" w:eastAsia="宋体"/>
          <w:color w:val="auto"/>
          <w:sz w:val="21"/>
          <w:szCs w:val="21"/>
          <w:highlight w:val="none"/>
          <w:lang w:val="en-US" w:eastAsia="zh-CN"/>
        </w:rPr>
        <w:t>471539976@qq.com</w:t>
      </w:r>
    </w:p>
    <w:p>
      <w:pPr>
        <w:ind w:right="788" w:rightChars="358"/>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广东政通招标有限公司</w:t>
      </w:r>
    </w:p>
    <w:p>
      <w:pPr>
        <w:ind w:left="6481" w:leftChars="2755" w:hanging="420" w:hanging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2021</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月</w:t>
      </w:r>
    </w:p>
    <w:p>
      <w:pPr>
        <w:ind w:left="6481" w:leftChars="2755" w:hanging="420" w:hangingChars="200"/>
        <w:rPr>
          <w:rFonts w:ascii="黑体" w:hAnsi="宋体" w:eastAsia="黑体"/>
          <w:color w:val="auto"/>
          <w:highlight w:val="none"/>
        </w:rPr>
      </w:pPr>
      <w:r>
        <w:rPr>
          <w:rFonts w:hint="eastAsia" w:ascii="宋体" w:hAnsi="宋体" w:eastAsia="宋体" w:cs="宋体"/>
          <w:color w:val="auto"/>
          <w:sz w:val="21"/>
          <w:szCs w:val="21"/>
          <w:highlight w:val="none"/>
        </w:rPr>
        <w:br w:type="page"/>
      </w:r>
    </w:p>
    <w:p>
      <w:pPr>
        <w:pStyle w:val="4"/>
        <w:spacing w:before="0" w:after="0" w:line="240" w:lineRule="auto"/>
        <w:rPr>
          <w:color w:val="auto"/>
          <w:sz w:val="28"/>
          <w:szCs w:val="28"/>
          <w:highlight w:val="none"/>
        </w:rPr>
      </w:pPr>
      <w:bookmarkStart w:id="1" w:name="_Toc14146"/>
      <w:r>
        <w:rPr>
          <w:rFonts w:hint="eastAsia"/>
          <w:color w:val="auto"/>
          <w:sz w:val="28"/>
          <w:szCs w:val="28"/>
          <w:highlight w:val="none"/>
        </w:rPr>
        <w:t>第二部分 相关资料表格</w:t>
      </w:r>
      <w:bookmarkEnd w:id="1"/>
    </w:p>
    <w:p>
      <w:pPr>
        <w:pStyle w:val="5"/>
        <w:spacing w:before="0" w:after="0" w:line="240" w:lineRule="auto"/>
        <w:jc w:val="center"/>
        <w:rPr>
          <w:rFonts w:ascii="宋体" w:hAnsi="宋体" w:eastAsia="宋体" w:cs="宋体"/>
          <w:color w:val="auto"/>
          <w:sz w:val="24"/>
          <w:szCs w:val="24"/>
          <w:highlight w:val="none"/>
        </w:rPr>
      </w:pPr>
      <w:bookmarkStart w:id="2" w:name="_Toc20683"/>
      <w:r>
        <w:rPr>
          <w:rFonts w:hint="eastAsia" w:ascii="宋体" w:hAnsi="宋体" w:eastAsia="宋体" w:cs="宋体"/>
          <w:color w:val="auto"/>
          <w:sz w:val="24"/>
          <w:szCs w:val="24"/>
          <w:highlight w:val="none"/>
        </w:rPr>
        <w:t>附表一：投标资料表</w:t>
      </w:r>
      <w:bookmarkEnd w:id="2"/>
    </w:p>
    <w:tbl>
      <w:tblPr>
        <w:tblStyle w:val="21"/>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eastAsia"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货物</w:t>
            </w:r>
            <w:r>
              <w:rPr>
                <w:rFonts w:hint="eastAsia" w:ascii="宋体" w:hAnsi="宋体" w:eastAsia="宋体"/>
                <w:bCs/>
                <w:color w:val="auto"/>
                <w:sz w:val="21"/>
                <w:szCs w:val="21"/>
                <w:highlight w:val="none"/>
              </w:rPr>
              <w:sym w:font="Wingdings" w:char="00FE"/>
            </w:r>
            <w:r>
              <w:rPr>
                <w:rFonts w:hint="eastAsia" w:ascii="宋体" w:hAnsi="宋体" w:eastAsia="宋体"/>
                <w:bCs/>
                <w:color w:val="auto"/>
                <w:sz w:val="21"/>
                <w:szCs w:val="21"/>
                <w:highlight w:val="none"/>
                <w:lang w:val="en-US" w:eastAsia="zh-CN"/>
              </w:rPr>
              <w:t xml:space="preserve">   工程</w:t>
            </w:r>
            <w:r>
              <w:rPr>
                <w:rFonts w:hint="eastAsia" w:ascii="宋体" w:hAnsi="宋体" w:eastAsia="宋体"/>
                <w:bCs/>
                <w:color w:val="auto"/>
                <w:sz w:val="21"/>
                <w:szCs w:val="21"/>
                <w:highlight w:val="none"/>
                <w:lang w:val="en-US" w:eastAsia="zh-CN"/>
              </w:rPr>
              <w:sym w:font="Wingdings" w:char="00A8"/>
            </w:r>
            <w:r>
              <w:rPr>
                <w:rFonts w:hint="eastAsia" w:ascii="宋体" w:hAnsi="宋体" w:eastAsia="宋体"/>
                <w:bCs/>
                <w:color w:val="auto"/>
                <w:sz w:val="21"/>
                <w:szCs w:val="21"/>
                <w:highlight w:val="none"/>
                <w:lang w:val="en-US" w:eastAsia="zh-CN"/>
              </w:rPr>
              <w:t xml:space="preserve">   服务</w:t>
            </w:r>
            <w:r>
              <w:rPr>
                <w:rFonts w:hint="eastAsia" w:ascii="宋体" w:hAnsi="宋体" w:eastAsia="宋体"/>
                <w:bCs/>
                <w:color w:val="auto"/>
                <w:sz w:val="21"/>
                <w:szCs w:val="21"/>
                <w:highlight w:val="none"/>
                <w:lang w:val="en-US" w:eastAsia="zh-CN"/>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eastAsia" w:ascii="宋体" w:hAnsi="宋体" w:eastAsia="宋体"/>
                <w:b/>
                <w:bCs/>
                <w:color w:val="auto"/>
                <w:sz w:val="21"/>
                <w:szCs w:val="21"/>
                <w:highlight w:val="none"/>
              </w:rPr>
            </w:pPr>
            <w:r>
              <w:rPr>
                <w:rFonts w:hint="eastAsia" w:ascii="宋体" w:hAnsi="宋体" w:eastAsia="宋体"/>
                <w:bCs/>
                <w:color w:val="auto"/>
                <w:sz w:val="21"/>
                <w:szCs w:val="21"/>
                <w:highlight w:val="none"/>
                <w:lang w:val="en-US" w:eastAsia="zh-CN"/>
              </w:rPr>
              <w:t>所属行业：软件和信息技术服务业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2</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color w:val="auto"/>
                <w:sz w:val="21"/>
                <w:szCs w:val="21"/>
                <w:highlight w:val="none"/>
              </w:rPr>
              <w:t>财政性资金。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3</w:t>
            </w:r>
          </w:p>
        </w:tc>
        <w:tc>
          <w:tcPr>
            <w:tcW w:w="7532" w:type="dxa"/>
            <w:gridSpan w:val="4"/>
            <w:vAlign w:val="center"/>
          </w:tcPr>
          <w:p>
            <w:pPr>
              <w:spacing w:after="0"/>
              <w:rPr>
                <w:rFonts w:hint="eastAsia" w:ascii="宋体" w:hAnsi="宋体" w:eastAsia="宋体"/>
                <w:b/>
                <w:color w:val="auto"/>
                <w:sz w:val="21"/>
                <w:szCs w:val="21"/>
                <w:highlight w:val="none"/>
                <w:lang w:eastAsia="zh-CN"/>
              </w:rPr>
            </w:pPr>
            <w:r>
              <w:rPr>
                <w:rFonts w:hint="eastAsia" w:ascii="宋体" w:hAnsi="宋体" w:eastAsia="宋体"/>
                <w:b/>
                <w:color w:val="auto"/>
                <w:sz w:val="21"/>
                <w:szCs w:val="21"/>
                <w:highlight w:val="none"/>
                <w:lang w:eastAsia="zh-CN"/>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default" w:ascii="宋体" w:hAnsi="宋体" w:eastAsia="宋体"/>
                <w:b/>
                <w:color w:val="auto"/>
                <w:sz w:val="21"/>
                <w:szCs w:val="21"/>
                <w:highlight w:val="none"/>
                <w:lang w:val="en-US" w:eastAsia="zh-CN"/>
              </w:rPr>
            </w:pPr>
            <w:r>
              <w:rPr>
                <w:rFonts w:hint="eastAsia" w:ascii="宋体" w:hAnsi="宋体" w:eastAsia="宋体"/>
                <w:bCs/>
                <w:color w:val="auto"/>
                <w:sz w:val="21"/>
                <w:szCs w:val="21"/>
                <w:highlight w:val="none"/>
                <w:lang w:eastAsia="zh-CN"/>
              </w:rPr>
              <w:t>是</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否</w:t>
            </w:r>
            <w:r>
              <w:rPr>
                <w:rFonts w:hint="eastAsia" w:ascii="宋体" w:hAnsi="宋体" w:eastAsia="宋体"/>
                <w:bCs/>
                <w:color w:val="auto"/>
                <w:sz w:val="21"/>
                <w:szCs w:val="21"/>
                <w:highlight w:val="none"/>
                <w:lang w:val="en-US" w:eastAsia="zh-CN"/>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4</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Cs/>
                <w:color w:val="auto"/>
                <w:sz w:val="21"/>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4</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政通招标网</w:t>
            </w:r>
          </w:p>
        </w:tc>
        <w:tc>
          <w:tcPr>
            <w:tcW w:w="3691"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color w:val="auto"/>
                <w:sz w:val="21"/>
                <w:szCs w:val="21"/>
                <w:highlight w:val="none"/>
              </w:rPr>
              <w:t>http://www.zttendering.com/</w:t>
            </w:r>
          </w:p>
        </w:tc>
        <w:tc>
          <w:tcPr>
            <w:tcW w:w="3691" w:type="dxa"/>
            <w:vAlign w:val="center"/>
          </w:tcPr>
          <w:p>
            <w:pPr>
              <w:spacing w:after="0"/>
              <w:jc w:val="center"/>
              <w:rPr>
                <w:rFonts w:ascii="宋体" w:hAnsi="宋体" w:eastAsia="宋体"/>
                <w:b/>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5</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color w:val="auto"/>
                <w:sz w:val="21"/>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6</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7</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8</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both"/>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9</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rPr>
              <w:t>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（1）投标保证金金额：人民币</w:t>
            </w:r>
            <w:r>
              <w:rPr>
                <w:rFonts w:hint="eastAsia" w:ascii="宋体" w:hAnsi="宋体" w:eastAsia="宋体"/>
                <w:color w:val="auto"/>
                <w:sz w:val="21"/>
                <w:szCs w:val="21"/>
                <w:highlight w:val="none"/>
                <w:lang w:val="en-US" w:eastAsia="zh-CN"/>
              </w:rPr>
              <w:t>伍仟肆佰</w:t>
            </w:r>
            <w:r>
              <w:rPr>
                <w:rFonts w:hint="eastAsia" w:ascii="宋体" w:hAnsi="宋体" w:eastAsia="宋体"/>
                <w:color w:val="auto"/>
                <w:sz w:val="21"/>
                <w:szCs w:val="21"/>
                <w:highlight w:val="none"/>
              </w:rPr>
              <w:t>元整（￥</w:t>
            </w:r>
            <w:r>
              <w:rPr>
                <w:rFonts w:hint="eastAsia" w:ascii="宋体" w:hAnsi="宋体" w:eastAsia="宋体"/>
                <w:b/>
                <w:color w:val="auto"/>
                <w:sz w:val="21"/>
                <w:szCs w:val="21"/>
                <w:highlight w:val="none"/>
                <w:lang w:val="en-US" w:eastAsia="zh-CN"/>
              </w:rPr>
              <w:t>5,400.00</w:t>
            </w:r>
            <w:r>
              <w:rPr>
                <w:rFonts w:hint="eastAsia" w:ascii="宋体" w:hAnsi="宋体" w:eastAsia="宋体"/>
                <w:color w:val="auto"/>
                <w:sz w:val="21"/>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（2）</w:t>
            </w:r>
            <w:r>
              <w:rPr>
                <w:rFonts w:hint="eastAsia" w:ascii="宋体" w:hAnsi="宋体" w:eastAsia="宋体"/>
                <w:color w:val="auto"/>
                <w:sz w:val="21"/>
                <w:szCs w:val="21"/>
                <w:highlight w:val="none"/>
                <w:lang w:val="zh-CN"/>
              </w:rPr>
              <w:t>投标保证金须严格按“招标文件第</w:t>
            </w:r>
            <w:r>
              <w:rPr>
                <w:rFonts w:hint="eastAsia" w:ascii="宋体" w:hAnsi="宋体" w:eastAsia="宋体"/>
                <w:color w:val="auto"/>
                <w:sz w:val="21"/>
                <w:szCs w:val="21"/>
                <w:highlight w:val="none"/>
              </w:rPr>
              <w:t>四部分</w:t>
            </w:r>
            <w:r>
              <w:rPr>
                <w:rFonts w:hint="eastAsia" w:ascii="宋体" w:hAnsi="宋体" w:eastAsia="宋体"/>
                <w:color w:val="auto"/>
                <w:sz w:val="21"/>
                <w:szCs w:val="21"/>
                <w:highlight w:val="none"/>
                <w:lang w:val="en-US" w:eastAsia="zh-CN"/>
              </w:rPr>
              <w:t>投</w:t>
            </w:r>
            <w:r>
              <w:rPr>
                <w:rFonts w:hint="eastAsia" w:ascii="宋体" w:hAnsi="宋体" w:eastAsia="宋体"/>
                <w:color w:val="auto"/>
                <w:sz w:val="21"/>
                <w:szCs w:val="21"/>
                <w:highlight w:val="none"/>
                <w:lang w:val="zh-CN"/>
              </w:rPr>
              <w:t>标人须知”要求提交。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60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lang w:val="zh-CN"/>
              </w:rPr>
            </w:pPr>
            <w:r>
              <w:rPr>
                <w:rFonts w:hint="eastAsia" w:ascii="宋体" w:hAnsi="宋体" w:eastAsia="宋体"/>
                <w:color w:val="auto"/>
                <w:sz w:val="21"/>
                <w:szCs w:val="21"/>
                <w:highlight w:val="none"/>
                <w:lang w:val="zh-CN"/>
              </w:rPr>
              <w:t>（3）保证金递交账户：</w:t>
            </w:r>
          </w:p>
          <w:p>
            <w:pPr>
              <w:spacing w:after="0"/>
              <w:jc w:val="both"/>
              <w:rPr>
                <w:rFonts w:hint="eastAsia" w:ascii="宋体" w:hAnsi="宋体" w:eastAsia="宋体"/>
                <w:color w:val="auto"/>
                <w:sz w:val="21"/>
                <w:szCs w:val="21"/>
                <w:highlight w:val="none"/>
                <w:lang w:val="zh-CN"/>
              </w:rPr>
            </w:pPr>
            <w:r>
              <w:rPr>
                <w:rFonts w:hint="eastAsia" w:ascii="宋体" w:hAnsi="宋体" w:eastAsia="宋体"/>
                <w:color w:val="auto"/>
                <w:sz w:val="21"/>
                <w:szCs w:val="21"/>
                <w:highlight w:val="none"/>
                <w:lang w:val="zh-CN"/>
              </w:rPr>
              <w:t>收款人：广东政通招标有限公司</w:t>
            </w:r>
          </w:p>
          <w:p>
            <w:pPr>
              <w:spacing w:after="0"/>
              <w:jc w:val="both"/>
              <w:rPr>
                <w:rFonts w:hint="eastAsia" w:ascii="宋体" w:hAnsi="宋体" w:eastAsia="宋体"/>
                <w:color w:val="auto"/>
                <w:sz w:val="21"/>
                <w:szCs w:val="21"/>
                <w:highlight w:val="none"/>
                <w:lang w:val="zh-CN"/>
              </w:rPr>
            </w:pPr>
            <w:r>
              <w:rPr>
                <w:rFonts w:hint="eastAsia" w:ascii="宋体" w:hAnsi="宋体" w:eastAsia="宋体"/>
                <w:color w:val="auto"/>
                <w:sz w:val="21"/>
                <w:szCs w:val="21"/>
                <w:highlight w:val="none"/>
                <w:lang w:val="zh-CN"/>
              </w:rPr>
              <w:t>开户行：广发银行股份有限公司东莞新城支行</w:t>
            </w:r>
          </w:p>
          <w:p>
            <w:pPr>
              <w:spacing w:after="0"/>
              <w:jc w:val="both"/>
              <w:rPr>
                <w:rFonts w:ascii="宋体" w:hAnsi="宋体" w:eastAsia="宋体"/>
                <w:color w:val="auto"/>
                <w:sz w:val="21"/>
                <w:szCs w:val="21"/>
                <w:highlight w:val="none"/>
                <w:lang w:val="zh-CN"/>
              </w:rPr>
            </w:pPr>
            <w:r>
              <w:rPr>
                <w:rFonts w:hint="eastAsia" w:ascii="宋体" w:hAnsi="宋体" w:eastAsia="宋体"/>
                <w:color w:val="auto"/>
                <w:sz w:val="21"/>
                <w:szCs w:val="21"/>
                <w:highlight w:val="none"/>
                <w:lang w:val="zh-CN"/>
              </w:rPr>
              <w:t>帐  号：6232590699050035086</w:t>
            </w:r>
          </w:p>
          <w:p>
            <w:pPr>
              <w:spacing w:after="0"/>
              <w:jc w:val="both"/>
              <w:rPr>
                <w:color w:val="auto"/>
                <w:highlight w:val="none"/>
              </w:rPr>
            </w:pPr>
            <w:r>
              <w:rPr>
                <w:rFonts w:hint="eastAsia" w:ascii="宋体" w:hAnsi="宋体" w:eastAsia="宋体"/>
                <w:color w:val="auto"/>
                <w:sz w:val="21"/>
                <w:szCs w:val="21"/>
                <w:highlight w:val="none"/>
                <w:lang w:val="zh-CN"/>
              </w:rPr>
              <w:t>（各投标人在转帐或电汇时须在用途栏上写明采购项目编号）。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20"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10</w:t>
            </w:r>
          </w:p>
        </w:tc>
        <w:tc>
          <w:tcPr>
            <w:tcW w:w="7532" w:type="dxa"/>
            <w:gridSpan w:val="4"/>
            <w:vAlign w:val="center"/>
          </w:tcPr>
          <w:p>
            <w:pPr>
              <w:spacing w:after="0"/>
              <w:jc w:val="both"/>
              <w:rPr>
                <w:rFonts w:ascii="宋体" w:hAnsi="宋体" w:eastAsia="宋体"/>
                <w:b/>
                <w:bCs/>
                <w:color w:val="auto"/>
                <w:sz w:val="21"/>
                <w:szCs w:val="21"/>
                <w:highlight w:val="none"/>
                <w:lang w:val="zh-CN"/>
              </w:rPr>
            </w:pPr>
            <w:r>
              <w:rPr>
                <w:rFonts w:hint="eastAsia" w:ascii="宋体" w:hAnsi="宋体" w:eastAsia="宋体"/>
                <w:b/>
                <w:bCs/>
                <w:color w:val="auto"/>
                <w:sz w:val="21"/>
                <w:szCs w:val="21"/>
                <w:highlight w:val="none"/>
                <w:lang w:val="zh-CN"/>
              </w:rPr>
              <w:t>投标保证金退还</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535"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lang w:val="zh-CN"/>
              </w:rPr>
            </w:pPr>
            <w:r>
              <w:rPr>
                <w:rFonts w:hint="eastAsia" w:ascii="宋体" w:hAnsi="宋体" w:eastAsia="宋体"/>
                <w:color w:val="auto"/>
                <w:sz w:val="21"/>
                <w:szCs w:val="21"/>
                <w:highlight w:val="none"/>
                <w:lang w:val="zh-CN"/>
              </w:rPr>
              <w:t>（</w:t>
            </w: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val="zh-CN"/>
              </w:rPr>
              <w:t>）未中标的投标人的保证金在采购结果公示发出后5个工作日内退还，中标投标人的保证金在采购合同签订后5个工作日内退还。</w:t>
            </w:r>
          </w:p>
          <w:p>
            <w:pPr>
              <w:spacing w:after="0"/>
              <w:jc w:val="both"/>
              <w:rPr>
                <w:rFonts w:ascii="宋体" w:hAnsi="宋体" w:eastAsia="宋体"/>
                <w:color w:val="auto"/>
                <w:sz w:val="21"/>
                <w:szCs w:val="21"/>
                <w:highlight w:val="none"/>
                <w:lang w:val="zh-CN"/>
              </w:rPr>
            </w:pPr>
            <w:r>
              <w:rPr>
                <w:rFonts w:hint="eastAsia" w:ascii="宋体" w:hAnsi="宋体" w:eastAsia="宋体"/>
                <w:color w:val="auto"/>
                <w:sz w:val="21"/>
                <w:szCs w:val="21"/>
                <w:highlight w:val="none"/>
                <w:lang w:val="zh-CN"/>
              </w:rPr>
              <w:t>（</w:t>
            </w:r>
            <w:r>
              <w:rPr>
                <w:rFonts w:hint="eastAsia" w:ascii="宋体" w:hAnsi="宋体" w:eastAsia="宋体"/>
                <w:color w:val="auto"/>
                <w:sz w:val="21"/>
                <w:szCs w:val="21"/>
                <w:highlight w:val="none"/>
              </w:rPr>
              <w:t>2</w:t>
            </w:r>
            <w:r>
              <w:rPr>
                <w:rFonts w:hint="eastAsia" w:ascii="宋体" w:hAnsi="宋体" w:eastAsia="宋体"/>
                <w:color w:val="auto"/>
                <w:sz w:val="21"/>
                <w:szCs w:val="21"/>
                <w:highlight w:val="none"/>
                <w:lang w:val="zh-CN"/>
              </w:rPr>
              <w:t>）为方便退还未中标的投保人的保证金，投标人应制作《投标保证金汇入情况说明》随开标文件一并递交。</w:t>
            </w:r>
          </w:p>
          <w:p>
            <w:pPr>
              <w:spacing w:after="0"/>
              <w:jc w:val="both"/>
              <w:rPr>
                <w:rFonts w:eastAsia="宋体"/>
                <w:color w:val="auto"/>
                <w:highlight w:val="none"/>
              </w:rPr>
            </w:pPr>
            <w:r>
              <w:rPr>
                <w:rFonts w:hint="eastAsia" w:ascii="宋体" w:hAnsi="宋体" w:eastAsia="宋体"/>
                <w:color w:val="auto"/>
                <w:sz w:val="21"/>
                <w:szCs w:val="21"/>
                <w:highlight w:val="none"/>
                <w:lang w:val="zh-CN"/>
              </w:rPr>
              <w:t>（</w:t>
            </w:r>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zh-CN"/>
              </w:rPr>
              <w:t>）投标保证金退还联系电话：</w:t>
            </w:r>
            <w:r>
              <w:rPr>
                <w:rFonts w:hint="eastAsia" w:ascii="宋体" w:hAnsi="宋体" w:eastAsia="宋体"/>
                <w:color w:val="auto"/>
                <w:sz w:val="21"/>
                <w:szCs w:val="21"/>
                <w:highlight w:val="none"/>
              </w:rPr>
              <w:t>0769-22881803。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11</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12</w:t>
            </w:r>
          </w:p>
        </w:tc>
        <w:tc>
          <w:tcPr>
            <w:tcW w:w="7532" w:type="dxa"/>
            <w:gridSpan w:val="4"/>
            <w:vAlign w:val="center"/>
          </w:tcPr>
          <w:p>
            <w:pPr>
              <w:spacing w:after="0"/>
              <w:jc w:val="center"/>
              <w:rPr>
                <w:rFonts w:ascii="宋体" w:hAnsi="宋体" w:eastAsia="宋体"/>
                <w:color w:val="auto"/>
                <w:sz w:val="21"/>
                <w:szCs w:val="21"/>
                <w:highlight w:val="none"/>
              </w:rPr>
            </w:pPr>
            <w:r>
              <w:rPr>
                <w:rFonts w:hint="eastAsia" w:ascii="宋体" w:hAnsi="宋体" w:eastAsia="宋体"/>
                <w:b/>
                <w:color w:val="auto"/>
                <w:sz w:val="21"/>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信用中国</w:t>
            </w: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https://www.creditchina.gov.cn/</w:t>
            </w:r>
          </w:p>
        </w:tc>
        <w:tc>
          <w:tcPr>
            <w:tcW w:w="3766" w:type="dxa"/>
            <w:gridSpan w:val="2"/>
            <w:vAlign w:val="center"/>
          </w:tcPr>
          <w:p>
            <w:pPr>
              <w:spacing w:after="0"/>
              <w:jc w:val="center"/>
              <w:rPr>
                <w:rFonts w:ascii="宋体" w:hAnsi="宋体" w:eastAsia="宋体"/>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13</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投标文件类型</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开标文件</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投标文件正本</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投标文件副本</w:t>
            </w:r>
          </w:p>
        </w:tc>
        <w:tc>
          <w:tcPr>
            <w:tcW w:w="4924" w:type="dxa"/>
            <w:gridSpan w:val="3"/>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eastAsia="宋体"/>
                <w:b/>
                <w:color w:val="auto"/>
                <w:sz w:val="21"/>
                <w:szCs w:val="21"/>
                <w:highlight w:val="none"/>
                <w:lang w:val="en-US" w:eastAsia="zh-CN"/>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电子文档</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14</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15</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综合评分法评分因素和权重分值</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见附表二。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16（仅适用于政府采购项目）</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6%。</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对于联合协议或者分包意向协议约定小微企业的合同份额占到合同总金额30%以上的，报价给予</w:t>
            </w:r>
            <w:r>
              <w:rPr>
                <w:rFonts w:hint="default" w:ascii="宋体" w:hAnsi="宋体" w:eastAsia="宋体"/>
                <w:b/>
                <w:bCs/>
                <w:color w:val="auto"/>
                <w:sz w:val="21"/>
                <w:szCs w:val="21"/>
                <w:highlight w:val="none"/>
                <w:u w:val="single"/>
              </w:rPr>
              <w:t>2%</w:t>
            </w:r>
            <w:r>
              <w:rPr>
                <w:rFonts w:hint="eastAsia" w:ascii="宋体" w:hAnsi="宋体" w:eastAsia="宋体"/>
                <w:color w:val="auto"/>
                <w:sz w:val="21"/>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bCs/>
                <w:color w:val="auto"/>
                <w:sz w:val="21"/>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17</w:t>
            </w: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履约保证金的数额为采购合同金额的5%。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18</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伍仟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（2）中标服务费以转账或现金的形式支付。采购代理机构服务费汇入账号：</w:t>
            </w:r>
          </w:p>
          <w:p>
            <w:pPr>
              <w:widowControl w:val="0"/>
              <w:tabs>
                <w:tab w:val="left" w:pos="907"/>
              </w:tabs>
              <w:adjustRightInd/>
              <w:snapToGrid/>
              <w:spacing w:after="0" w:line="360" w:lineRule="exact"/>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收 款 人：</w:t>
            </w:r>
            <w:r>
              <w:rPr>
                <w:rFonts w:hint="eastAsia" w:ascii="宋体" w:hAnsi="宋体" w:eastAsia="宋体"/>
                <w:color w:val="auto"/>
                <w:sz w:val="21"/>
                <w:szCs w:val="21"/>
                <w:highlight w:val="none"/>
                <w:lang w:eastAsia="zh-CN"/>
              </w:rPr>
              <w:t>广东政通招标有限公司</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spacing w:after="0"/>
              <w:ind w:firstLine="420" w:firstLineChars="20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注：本表关于要采购项目的具体资料，是对投标人须知的具体补充和修改，如有矛盾，应以本资料表为准。</w:t>
            </w:r>
          </w:p>
        </w:tc>
      </w:tr>
    </w:tbl>
    <w:p>
      <w:pPr>
        <w:jc w:val="center"/>
        <w:rPr>
          <w:color w:val="auto"/>
          <w:highlight w:val="none"/>
        </w:rPr>
      </w:pPr>
      <w:r>
        <w:rPr>
          <w:rFonts w:hint="eastAsia"/>
          <w:color w:val="auto"/>
          <w:highlight w:val="none"/>
        </w:rPr>
        <w:br w:type="page"/>
      </w:r>
    </w:p>
    <w:p>
      <w:pPr>
        <w:pStyle w:val="5"/>
        <w:spacing w:before="0" w:after="0" w:line="24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附表二：商务技术评分及价格权重表</w:t>
      </w:r>
    </w:p>
    <w:tbl>
      <w:tblPr>
        <w:tblStyle w:val="2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762"/>
        <w:gridCol w:w="5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3"/>
              <w:spacing w:line="340" w:lineRule="exact"/>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序号</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33"/>
              <w:spacing w:line="340" w:lineRule="exact"/>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评审项目</w:t>
            </w:r>
          </w:p>
        </w:tc>
        <w:tc>
          <w:tcPr>
            <w:tcW w:w="762" w:type="dxa"/>
            <w:tcBorders>
              <w:top w:val="single" w:color="auto" w:sz="4" w:space="0"/>
              <w:left w:val="single" w:color="auto" w:sz="4" w:space="0"/>
              <w:bottom w:val="single" w:color="auto" w:sz="4" w:space="0"/>
              <w:right w:val="single" w:color="auto" w:sz="4" w:space="0"/>
            </w:tcBorders>
            <w:noWrap w:val="0"/>
            <w:vAlign w:val="center"/>
          </w:tcPr>
          <w:p>
            <w:pPr>
              <w:pStyle w:val="33"/>
              <w:spacing w:line="340" w:lineRule="exact"/>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分值</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33"/>
              <w:spacing w:line="340" w:lineRule="exact"/>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4"/>
            <w:tcBorders>
              <w:top w:val="single" w:color="auto" w:sz="4" w:space="0"/>
              <w:left w:val="single" w:color="auto" w:sz="4" w:space="0"/>
              <w:bottom w:val="single" w:color="auto" w:sz="4" w:space="0"/>
              <w:right w:val="single" w:color="auto" w:sz="4" w:space="0"/>
            </w:tcBorders>
            <w:noWrap w:val="0"/>
            <w:vAlign w:val="center"/>
          </w:tcPr>
          <w:p>
            <w:pPr>
              <w:pStyle w:val="33"/>
              <w:spacing w:line="340" w:lineRule="exact"/>
              <w:ind w:firstLine="0" w:firstLineChars="0"/>
              <w:jc w:val="center"/>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rPr>
              <w:t>商务评审</w:t>
            </w:r>
            <w:r>
              <w:rPr>
                <w:rFonts w:hint="eastAsia" w:ascii="宋体" w:eastAsia="宋体" w:cs="宋体"/>
                <w:color w:val="auto"/>
                <w:sz w:val="21"/>
                <w:szCs w:val="21"/>
                <w:highlight w:val="none"/>
                <w:lang w:eastAsia="zh-CN"/>
              </w:rPr>
              <w:t>（</w:t>
            </w:r>
            <w:r>
              <w:rPr>
                <w:rFonts w:hint="eastAsia" w:ascii="宋体" w:eastAsia="宋体" w:cs="宋体"/>
                <w:color w:val="auto"/>
                <w:sz w:val="21"/>
                <w:szCs w:val="21"/>
                <w:highlight w:val="none"/>
                <w:lang w:val="en-US" w:eastAsia="zh-CN"/>
              </w:rPr>
              <w:t>17分）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1" w:hRule="atLeast"/>
          <w:jc w:val="center"/>
        </w:trPr>
        <w:tc>
          <w:tcPr>
            <w:tcW w:w="690" w:type="dxa"/>
            <w:vMerge w:val="restart"/>
            <w:tcBorders>
              <w:left w:val="single" w:color="auto" w:sz="4" w:space="0"/>
              <w:right w:val="single" w:color="auto" w:sz="4" w:space="0"/>
            </w:tcBorders>
            <w:noWrap w:val="0"/>
            <w:vAlign w:val="center"/>
          </w:tcPr>
          <w:p>
            <w:pPr>
              <w:pStyle w:val="33"/>
              <w:spacing w:line="340" w:lineRule="exact"/>
              <w:ind w:firstLine="0" w:firstLineChars="0"/>
              <w:jc w:val="center"/>
              <w:rPr>
                <w:rFonts w:hint="eastAsia" w:asci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1</w:t>
            </w:r>
          </w:p>
        </w:tc>
        <w:tc>
          <w:tcPr>
            <w:tcW w:w="1607" w:type="dxa"/>
            <w:vMerge w:val="restart"/>
            <w:tcBorders>
              <w:left w:val="single" w:color="auto" w:sz="4" w:space="0"/>
              <w:right w:val="single" w:color="auto" w:sz="4" w:space="0"/>
            </w:tcBorders>
            <w:noWrap w:val="0"/>
            <w:vAlign w:val="center"/>
          </w:tcPr>
          <w:p>
            <w:pPr>
              <w:pStyle w:val="33"/>
              <w:spacing w:line="340" w:lineRule="exact"/>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投标人实力</w:t>
            </w:r>
          </w:p>
        </w:tc>
        <w:tc>
          <w:tcPr>
            <w:tcW w:w="762" w:type="dxa"/>
            <w:tcBorders>
              <w:top w:val="single" w:color="auto" w:sz="4" w:space="0"/>
              <w:left w:val="single" w:color="auto" w:sz="4" w:space="0"/>
              <w:bottom w:val="single" w:color="auto" w:sz="4" w:space="0"/>
              <w:right w:val="single" w:color="auto" w:sz="4" w:space="0"/>
            </w:tcBorders>
            <w:noWrap w:val="0"/>
            <w:vAlign w:val="center"/>
          </w:tcPr>
          <w:p>
            <w:pPr>
              <w:pStyle w:val="33"/>
              <w:spacing w:line="340" w:lineRule="exact"/>
              <w:ind w:firstLine="0" w:firstLineChars="0"/>
              <w:jc w:val="center"/>
              <w:rPr>
                <w:rFonts w:hint="eastAsia" w:asci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2</w:t>
            </w:r>
          </w:p>
        </w:tc>
        <w:tc>
          <w:tcPr>
            <w:tcW w:w="546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投标人</w:t>
            </w:r>
            <w:r>
              <w:rPr>
                <w:rFonts w:hint="eastAsia" w:ascii="宋体" w:eastAsia="宋体" w:cs="宋体"/>
                <w:bCs/>
                <w:color w:val="auto"/>
                <w:sz w:val="21"/>
                <w:szCs w:val="21"/>
                <w:highlight w:val="none"/>
                <w:lang w:val="zh-CN"/>
              </w:rPr>
              <w:t>（含其上级、</w:t>
            </w:r>
            <w:r>
              <w:rPr>
                <w:rFonts w:hint="eastAsia" w:ascii="宋体" w:eastAsia="宋体" w:cs="宋体"/>
                <w:bCs/>
                <w:color w:val="auto"/>
                <w:sz w:val="21"/>
                <w:szCs w:val="21"/>
                <w:highlight w:val="none"/>
                <w:lang w:val="en-US" w:eastAsia="zh-CN"/>
              </w:rPr>
              <w:t>下级</w:t>
            </w:r>
            <w:r>
              <w:rPr>
                <w:rFonts w:hint="eastAsia" w:ascii="宋体" w:eastAsia="宋体" w:cs="宋体"/>
                <w:bCs/>
                <w:color w:val="auto"/>
                <w:sz w:val="21"/>
                <w:szCs w:val="21"/>
                <w:highlight w:val="none"/>
                <w:lang w:val="zh-CN"/>
              </w:rPr>
              <w:t>分公司及总公司）</w:t>
            </w:r>
            <w:r>
              <w:rPr>
                <w:rFonts w:hint="eastAsia" w:ascii="宋体" w:hAnsi="宋体" w:eastAsia="宋体" w:cs="宋体"/>
                <w:bCs/>
                <w:color w:val="auto"/>
                <w:sz w:val="21"/>
                <w:szCs w:val="21"/>
                <w:highlight w:val="none"/>
              </w:rPr>
              <w:t>具有由国家认证认可监督管理部门批准设立的认证机构颁发并在有效期内的信息技术服务管理体系认证、信息安全管理体系认证证书，每具有一个得1分，最高</w:t>
            </w:r>
            <w:r>
              <w:rPr>
                <w:rFonts w:hint="eastAsia" w:ascii="宋体" w:hAnsi="宋体" w:eastAsia="宋体" w:cs="宋体"/>
                <w:bCs/>
                <w:color w:val="auto"/>
                <w:sz w:val="21"/>
                <w:szCs w:val="21"/>
                <w:highlight w:val="none"/>
                <w:lang w:val="en-US" w:eastAsia="zh-CN"/>
              </w:rPr>
              <w:t>得</w:t>
            </w:r>
            <w:r>
              <w:rPr>
                <w:rFonts w:hint="eastAsia" w:ascii="宋体" w:hAnsi="宋体" w:eastAsia="宋体" w:cs="宋体"/>
                <w:bCs/>
                <w:color w:val="auto"/>
                <w:sz w:val="21"/>
                <w:szCs w:val="21"/>
                <w:highlight w:val="none"/>
              </w:rPr>
              <w:t>2分</w:t>
            </w:r>
            <w:r>
              <w:rPr>
                <w:rFonts w:hint="eastAsia" w:ascii="宋体" w:hAnsi="宋体" w:eastAsia="宋体" w:cs="宋体"/>
                <w:bCs/>
                <w:color w:val="auto"/>
                <w:sz w:val="21"/>
                <w:szCs w:val="21"/>
                <w:highlight w:val="none"/>
                <w:lang w:eastAsia="zh-CN"/>
              </w:rPr>
              <w:t>。</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hAnsi="宋体" w:eastAsia="宋体" w:cs="宋体"/>
                <w:bCs/>
                <w:color w:val="auto"/>
                <w:sz w:val="21"/>
                <w:szCs w:val="21"/>
                <w:highlight w:val="none"/>
                <w:lang w:val="pt-BR"/>
              </w:rPr>
            </w:pPr>
            <w:r>
              <w:rPr>
                <w:rFonts w:hint="eastAsia" w:ascii="宋体" w:eastAsia="宋体" w:cs="宋体"/>
                <w:bCs/>
                <w:color w:val="auto"/>
                <w:sz w:val="21"/>
                <w:szCs w:val="21"/>
                <w:highlight w:val="none"/>
                <w:lang w:val="zh-CN"/>
              </w:rPr>
              <w:t>注：须提供有效证书复印件并加盖投标人公章，</w:t>
            </w:r>
            <w:r>
              <w:rPr>
                <w:rFonts w:hint="eastAsia" w:ascii="宋体" w:eastAsia="宋体" w:cs="宋体"/>
                <w:bCs/>
                <w:color w:val="auto"/>
                <w:sz w:val="21"/>
                <w:szCs w:val="21"/>
                <w:highlight w:val="none"/>
                <w:lang w:val="en-US" w:eastAsia="zh-CN"/>
              </w:rPr>
              <w:t>否则不得分</w:t>
            </w:r>
            <w:r>
              <w:rPr>
                <w:rFonts w:hint="eastAsia" w:ascii="宋体" w:eastAsia="宋体" w:cs="宋体"/>
                <w:bCs/>
                <w:color w:val="auto"/>
                <w:sz w:val="21"/>
                <w:szCs w:val="21"/>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90" w:type="dxa"/>
            <w:vMerge w:val="continue"/>
            <w:tcBorders>
              <w:left w:val="single" w:color="auto" w:sz="4" w:space="0"/>
              <w:right w:val="single" w:color="auto" w:sz="4" w:space="0"/>
            </w:tcBorders>
            <w:noWrap w:val="0"/>
            <w:vAlign w:val="center"/>
          </w:tcPr>
          <w:p>
            <w:pPr>
              <w:pStyle w:val="33"/>
              <w:spacing w:line="340" w:lineRule="exact"/>
              <w:ind w:firstLine="0" w:firstLineChars="0"/>
              <w:jc w:val="center"/>
              <w:rPr>
                <w:rFonts w:hint="eastAsia" w:ascii="宋体" w:eastAsia="宋体" w:cs="宋体"/>
                <w:color w:val="auto"/>
                <w:sz w:val="21"/>
                <w:szCs w:val="21"/>
                <w:highlight w:val="none"/>
                <w:lang w:val="en-US" w:eastAsia="zh-CN"/>
              </w:rPr>
            </w:pPr>
          </w:p>
        </w:tc>
        <w:tc>
          <w:tcPr>
            <w:tcW w:w="1607" w:type="dxa"/>
            <w:vMerge w:val="continue"/>
            <w:tcBorders>
              <w:left w:val="single" w:color="auto" w:sz="4" w:space="0"/>
              <w:right w:val="single" w:color="auto" w:sz="4" w:space="0"/>
            </w:tcBorders>
            <w:noWrap w:val="0"/>
            <w:vAlign w:val="center"/>
          </w:tcPr>
          <w:p>
            <w:pPr>
              <w:pStyle w:val="33"/>
              <w:spacing w:line="340" w:lineRule="exact"/>
              <w:ind w:firstLine="0" w:firstLineChars="0"/>
              <w:jc w:val="center"/>
              <w:rPr>
                <w:rFonts w:hint="eastAsia" w:ascii="宋体" w:eastAsia="宋体" w:cs="宋体"/>
                <w:color w:val="auto"/>
                <w:sz w:val="21"/>
                <w:szCs w:val="21"/>
                <w:highlight w:val="none"/>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pStyle w:val="33"/>
              <w:spacing w:line="340" w:lineRule="exact"/>
              <w:ind w:firstLine="0" w:firstLineChars="0"/>
              <w:jc w:val="center"/>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投标人</w:t>
            </w:r>
            <w:r>
              <w:rPr>
                <w:rFonts w:hint="eastAsia" w:ascii="宋体" w:eastAsia="宋体" w:cs="宋体"/>
                <w:bCs/>
                <w:color w:val="auto"/>
                <w:sz w:val="21"/>
                <w:szCs w:val="21"/>
                <w:highlight w:val="none"/>
                <w:lang w:val="zh-CN"/>
              </w:rPr>
              <w:t>（含其上级、</w:t>
            </w:r>
            <w:r>
              <w:rPr>
                <w:rFonts w:hint="eastAsia" w:ascii="宋体" w:eastAsia="宋体" w:cs="宋体"/>
                <w:bCs/>
                <w:color w:val="auto"/>
                <w:sz w:val="21"/>
                <w:szCs w:val="21"/>
                <w:highlight w:val="none"/>
                <w:lang w:val="en-US" w:eastAsia="zh-CN"/>
              </w:rPr>
              <w:t>下级</w:t>
            </w:r>
            <w:r>
              <w:rPr>
                <w:rFonts w:hint="eastAsia" w:ascii="宋体" w:eastAsia="宋体" w:cs="宋体"/>
                <w:bCs/>
                <w:color w:val="auto"/>
                <w:sz w:val="21"/>
                <w:szCs w:val="21"/>
                <w:highlight w:val="none"/>
                <w:lang w:val="zh-CN"/>
              </w:rPr>
              <w:t>分公司及总公司）</w:t>
            </w:r>
            <w:r>
              <w:rPr>
                <w:rFonts w:hint="eastAsia" w:ascii="宋体" w:hAnsi="宋体" w:eastAsia="宋体" w:cs="宋体"/>
                <w:bCs/>
                <w:color w:val="auto"/>
                <w:sz w:val="21"/>
                <w:szCs w:val="21"/>
                <w:highlight w:val="none"/>
              </w:rPr>
              <w:t>具有由国家认证认可监督管理部门批准设立的认证机构颁发并在有效期内的售后服务认证证书，五星级得</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r>
              <w:rPr>
                <w:rFonts w:hint="eastAsia" w:ascii="宋体" w:hAnsi="宋体" w:eastAsia="宋体" w:cs="宋体"/>
                <w:bCs/>
                <w:color w:val="auto"/>
                <w:sz w:val="21"/>
                <w:szCs w:val="21"/>
                <w:highlight w:val="none"/>
                <w:lang w:val="en-US" w:eastAsia="zh-CN"/>
              </w:rPr>
              <w:t>四</w:t>
            </w:r>
            <w:r>
              <w:rPr>
                <w:rFonts w:hint="eastAsia" w:ascii="宋体" w:hAnsi="宋体" w:eastAsia="宋体" w:cs="宋体"/>
                <w:bCs/>
                <w:color w:val="auto"/>
                <w:sz w:val="21"/>
                <w:szCs w:val="21"/>
                <w:highlight w:val="none"/>
              </w:rPr>
              <w:t>星级得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三</w:t>
            </w:r>
            <w:r>
              <w:rPr>
                <w:rFonts w:hint="eastAsia" w:ascii="宋体" w:hAnsi="宋体" w:eastAsia="宋体" w:cs="宋体"/>
                <w:bCs/>
                <w:color w:val="auto"/>
                <w:sz w:val="21"/>
                <w:szCs w:val="21"/>
                <w:highlight w:val="none"/>
              </w:rPr>
              <w:t>星级得</w:t>
            </w:r>
            <w:r>
              <w:rPr>
                <w:rFonts w:hint="eastAsia" w:ascii="宋体" w:hAnsi="宋体" w:eastAsia="宋体" w:cs="宋体"/>
                <w:bCs/>
                <w:color w:val="auto"/>
                <w:sz w:val="21"/>
                <w:szCs w:val="21"/>
                <w:highlight w:val="none"/>
                <w:lang w:val="en-US" w:eastAsia="zh-CN"/>
              </w:rPr>
              <w:t>0.5</w:t>
            </w:r>
            <w:r>
              <w:rPr>
                <w:rFonts w:hint="eastAsia" w:ascii="宋体" w:hAnsi="宋体" w:eastAsia="宋体" w:cs="宋体"/>
                <w:bCs/>
                <w:color w:val="auto"/>
                <w:sz w:val="21"/>
                <w:szCs w:val="21"/>
                <w:highlight w:val="none"/>
              </w:rPr>
              <w:t>分</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无不得分。</w:t>
            </w:r>
          </w:p>
          <w:p>
            <w:pPr>
              <w:pStyle w:val="8"/>
              <w:ind w:firstLine="420" w:firstLineChars="200"/>
              <w:rPr>
                <w:rFonts w:hint="eastAsia"/>
                <w:color w:val="auto"/>
                <w:highlight w:val="none"/>
                <w:lang w:val="zh-CN" w:eastAsia="zh-CN"/>
              </w:rPr>
            </w:pPr>
            <w:r>
              <w:rPr>
                <w:rFonts w:hint="eastAsia" w:ascii="宋体" w:eastAsia="宋体" w:cs="宋体"/>
                <w:bCs/>
                <w:color w:val="auto"/>
                <w:sz w:val="21"/>
                <w:szCs w:val="21"/>
                <w:highlight w:val="none"/>
                <w:lang w:val="zh-CN"/>
              </w:rPr>
              <w:t>注：须提供有效证书复印件并加盖投标人公章，</w:t>
            </w:r>
            <w:r>
              <w:rPr>
                <w:rFonts w:hint="eastAsia" w:ascii="宋体" w:eastAsia="宋体" w:cs="宋体"/>
                <w:bCs/>
                <w:color w:val="auto"/>
                <w:sz w:val="21"/>
                <w:szCs w:val="21"/>
                <w:highlight w:val="none"/>
                <w:lang w:val="en-US" w:eastAsia="zh-CN"/>
              </w:rPr>
              <w:t>否则不得分</w:t>
            </w:r>
            <w:r>
              <w:rPr>
                <w:rFonts w:hint="eastAsia" w:ascii="宋体" w:eastAsia="宋体" w:cs="宋体"/>
                <w:bCs/>
                <w:color w:val="auto"/>
                <w:sz w:val="21"/>
                <w:szCs w:val="21"/>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90" w:type="dxa"/>
            <w:vMerge w:val="continue"/>
            <w:tcBorders>
              <w:left w:val="single" w:color="auto" w:sz="4" w:space="0"/>
              <w:right w:val="single" w:color="auto" w:sz="4" w:space="0"/>
            </w:tcBorders>
            <w:noWrap w:val="0"/>
            <w:vAlign w:val="center"/>
          </w:tcPr>
          <w:p>
            <w:pPr>
              <w:pStyle w:val="33"/>
              <w:spacing w:line="340" w:lineRule="exact"/>
              <w:ind w:firstLine="0" w:firstLineChars="0"/>
              <w:jc w:val="center"/>
              <w:rPr>
                <w:rFonts w:hint="eastAsia" w:ascii="宋体" w:eastAsia="宋体" w:cs="宋体"/>
                <w:color w:val="auto"/>
                <w:sz w:val="21"/>
                <w:szCs w:val="21"/>
                <w:highlight w:val="none"/>
                <w:lang w:val="en-US" w:eastAsia="zh-CN"/>
              </w:rPr>
            </w:pPr>
          </w:p>
        </w:tc>
        <w:tc>
          <w:tcPr>
            <w:tcW w:w="1607" w:type="dxa"/>
            <w:vMerge w:val="continue"/>
            <w:tcBorders>
              <w:left w:val="single" w:color="auto" w:sz="4" w:space="0"/>
              <w:right w:val="single" w:color="auto" w:sz="4" w:space="0"/>
            </w:tcBorders>
            <w:noWrap w:val="0"/>
            <w:vAlign w:val="center"/>
          </w:tcPr>
          <w:p>
            <w:pPr>
              <w:pStyle w:val="33"/>
              <w:spacing w:line="340" w:lineRule="exact"/>
              <w:ind w:firstLine="0" w:firstLineChars="0"/>
              <w:jc w:val="center"/>
              <w:rPr>
                <w:rFonts w:hint="eastAsia" w:ascii="宋体" w:eastAsia="宋体" w:cs="宋体"/>
                <w:color w:val="auto"/>
                <w:sz w:val="21"/>
                <w:szCs w:val="21"/>
                <w:highlight w:val="none"/>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pStyle w:val="33"/>
              <w:spacing w:line="340" w:lineRule="exact"/>
              <w:ind w:firstLine="0" w:firstLineChars="0"/>
              <w:jc w:val="center"/>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投标人</w:t>
            </w:r>
            <w:r>
              <w:rPr>
                <w:rFonts w:hint="eastAsia" w:ascii="宋体" w:eastAsia="宋体" w:cs="宋体"/>
                <w:bCs/>
                <w:color w:val="auto"/>
                <w:sz w:val="21"/>
                <w:szCs w:val="21"/>
                <w:highlight w:val="none"/>
                <w:lang w:val="zh-CN"/>
              </w:rPr>
              <w:t>（含其上级、</w:t>
            </w:r>
            <w:r>
              <w:rPr>
                <w:rFonts w:hint="eastAsia" w:ascii="宋体" w:eastAsia="宋体" w:cs="宋体"/>
                <w:bCs/>
                <w:color w:val="auto"/>
                <w:sz w:val="21"/>
                <w:szCs w:val="21"/>
                <w:highlight w:val="none"/>
                <w:lang w:val="en-US" w:eastAsia="zh-CN"/>
              </w:rPr>
              <w:t>下级</w:t>
            </w:r>
            <w:r>
              <w:rPr>
                <w:rFonts w:hint="eastAsia" w:ascii="宋体" w:eastAsia="宋体" w:cs="宋体"/>
                <w:bCs/>
                <w:color w:val="auto"/>
                <w:sz w:val="21"/>
                <w:szCs w:val="21"/>
                <w:highlight w:val="none"/>
                <w:lang w:val="zh-CN"/>
              </w:rPr>
              <w:t>分公司及总公司）</w:t>
            </w:r>
            <w:r>
              <w:rPr>
                <w:rFonts w:hint="eastAsia" w:ascii="宋体" w:hAnsi="宋体" w:eastAsia="宋体" w:cs="宋体"/>
                <w:bCs/>
                <w:color w:val="auto"/>
                <w:sz w:val="21"/>
                <w:szCs w:val="21"/>
                <w:highlight w:val="none"/>
              </w:rPr>
              <w:t>有获得省级及以上政府部门或安防协会颁发的“智慧城市建设”</w:t>
            </w:r>
            <w:r>
              <w:rPr>
                <w:rFonts w:hint="eastAsia" w:ascii="宋体" w:eastAsia="宋体" w:cs="宋体"/>
                <w:bCs/>
                <w:color w:val="auto"/>
                <w:sz w:val="21"/>
                <w:szCs w:val="21"/>
                <w:highlight w:val="none"/>
                <w:lang w:val="en-US" w:eastAsia="zh-CN"/>
              </w:rPr>
              <w:t>荣誉证书</w:t>
            </w:r>
            <w:r>
              <w:rPr>
                <w:rFonts w:hint="eastAsia" w:ascii="宋体" w:eastAsia="宋体" w:cs="宋体"/>
                <w:bCs/>
                <w:color w:val="auto"/>
                <w:sz w:val="21"/>
                <w:szCs w:val="21"/>
                <w:highlight w:val="none"/>
                <w:lang w:val="zh-CN" w:eastAsia="zh-CN"/>
              </w:rPr>
              <w:t>的</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得2分，最高</w:t>
            </w:r>
            <w:r>
              <w:rPr>
                <w:rFonts w:hint="eastAsia" w:ascii="宋体" w:hAnsi="宋体" w:eastAsia="宋体" w:cs="宋体"/>
                <w:bCs/>
                <w:color w:val="auto"/>
                <w:sz w:val="21"/>
                <w:szCs w:val="21"/>
                <w:highlight w:val="none"/>
                <w:lang w:val="en-US" w:eastAsia="zh-CN"/>
              </w:rPr>
              <w:t>得</w:t>
            </w:r>
            <w:r>
              <w:rPr>
                <w:rFonts w:hint="eastAsia" w:ascii="宋体" w:hAnsi="宋体" w:eastAsia="宋体" w:cs="宋体"/>
                <w:bCs/>
                <w:color w:val="auto"/>
                <w:sz w:val="21"/>
                <w:szCs w:val="21"/>
                <w:highlight w:val="none"/>
              </w:rPr>
              <w:t>2分</w:t>
            </w:r>
            <w:r>
              <w:rPr>
                <w:rFonts w:hint="eastAsia" w:ascii="宋体" w:hAnsi="宋体" w:eastAsia="宋体" w:cs="宋体"/>
                <w:bCs/>
                <w:color w:val="auto"/>
                <w:sz w:val="21"/>
                <w:szCs w:val="21"/>
                <w:highlight w:val="none"/>
                <w:lang w:eastAsia="zh-CN"/>
              </w:rPr>
              <w:t>。</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hAnsi="宋体" w:eastAsia="宋体" w:cs="宋体"/>
                <w:bCs/>
                <w:color w:val="auto"/>
                <w:sz w:val="21"/>
                <w:szCs w:val="21"/>
                <w:highlight w:val="none"/>
              </w:rPr>
            </w:pPr>
            <w:r>
              <w:rPr>
                <w:rFonts w:hint="eastAsia" w:ascii="宋体" w:eastAsia="宋体" w:cs="宋体"/>
                <w:bCs/>
                <w:color w:val="auto"/>
                <w:sz w:val="21"/>
                <w:szCs w:val="21"/>
                <w:highlight w:val="none"/>
                <w:lang w:val="zh-CN" w:eastAsia="zh-CN"/>
              </w:rPr>
              <w:t>注：须提供有效</w:t>
            </w:r>
            <w:r>
              <w:rPr>
                <w:rFonts w:hint="eastAsia" w:ascii="宋体" w:eastAsia="宋体" w:cs="宋体"/>
                <w:bCs/>
                <w:color w:val="auto"/>
                <w:sz w:val="21"/>
                <w:szCs w:val="21"/>
                <w:highlight w:val="none"/>
                <w:lang w:val="en-US" w:eastAsia="zh-CN"/>
              </w:rPr>
              <w:t>荣誉</w:t>
            </w:r>
            <w:r>
              <w:rPr>
                <w:rFonts w:hint="eastAsia" w:ascii="宋体" w:eastAsia="宋体" w:cs="宋体"/>
                <w:bCs/>
                <w:color w:val="auto"/>
                <w:sz w:val="21"/>
                <w:szCs w:val="21"/>
                <w:highlight w:val="none"/>
                <w:lang w:val="zh-CN" w:eastAsia="zh-CN"/>
              </w:rPr>
              <w:t>证书复印件加盖投标人公章，</w:t>
            </w:r>
            <w:r>
              <w:rPr>
                <w:rFonts w:hint="eastAsia" w:ascii="宋体" w:eastAsia="宋体" w:cs="宋体"/>
                <w:bCs/>
                <w:color w:val="auto"/>
                <w:sz w:val="21"/>
                <w:szCs w:val="21"/>
                <w:highlight w:val="none"/>
                <w:lang w:val="en-US" w:eastAsia="zh-CN"/>
              </w:rPr>
              <w:t>否则不得分</w:t>
            </w:r>
            <w:r>
              <w:rPr>
                <w:rFonts w:hint="eastAsia" w:ascii="宋体" w:eastAsia="宋体" w:cs="宋体"/>
                <w:bCs/>
                <w:color w:val="auto"/>
                <w:sz w:val="21"/>
                <w:szCs w:val="21"/>
                <w:highlight w:val="none"/>
                <w:lang w:val="zh-CN" w:eastAsia="zh-CN"/>
              </w:rPr>
              <w:t>。</w:t>
            </w:r>
            <w:r>
              <w:rPr>
                <w:rFonts w:hint="eastAsia" w:ascii="宋体" w:hAnsi="宋体" w:eastAsia="宋体" w:cs="宋体"/>
                <w:bCs/>
                <w:color w:val="auto"/>
                <w:sz w:val="21"/>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90" w:type="dxa"/>
            <w:vMerge w:val="continue"/>
            <w:tcBorders>
              <w:left w:val="single" w:color="auto" w:sz="4" w:space="0"/>
              <w:right w:val="single" w:color="auto" w:sz="4" w:space="0"/>
            </w:tcBorders>
            <w:noWrap w:val="0"/>
            <w:vAlign w:val="center"/>
          </w:tcPr>
          <w:p>
            <w:pPr>
              <w:pStyle w:val="33"/>
              <w:spacing w:line="340" w:lineRule="exact"/>
              <w:ind w:firstLine="0" w:firstLineChars="0"/>
              <w:jc w:val="center"/>
              <w:rPr>
                <w:rFonts w:hint="eastAsia" w:ascii="宋体" w:eastAsia="宋体" w:cs="宋体"/>
                <w:color w:val="auto"/>
                <w:sz w:val="21"/>
                <w:szCs w:val="21"/>
                <w:highlight w:val="none"/>
                <w:lang w:val="en-US" w:eastAsia="zh-CN"/>
              </w:rPr>
            </w:pPr>
          </w:p>
        </w:tc>
        <w:tc>
          <w:tcPr>
            <w:tcW w:w="1607" w:type="dxa"/>
            <w:vMerge w:val="continue"/>
            <w:tcBorders>
              <w:left w:val="single" w:color="auto" w:sz="4" w:space="0"/>
              <w:right w:val="single" w:color="auto" w:sz="4" w:space="0"/>
            </w:tcBorders>
            <w:noWrap w:val="0"/>
            <w:vAlign w:val="center"/>
          </w:tcPr>
          <w:p>
            <w:pPr>
              <w:pStyle w:val="33"/>
              <w:spacing w:line="340" w:lineRule="exact"/>
              <w:ind w:firstLine="0" w:firstLineChars="0"/>
              <w:jc w:val="center"/>
              <w:rPr>
                <w:rFonts w:hint="eastAsia" w:ascii="宋体" w:eastAsia="宋体" w:cs="宋体"/>
                <w:color w:val="auto"/>
                <w:sz w:val="21"/>
                <w:szCs w:val="21"/>
                <w:highlight w:val="none"/>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pStyle w:val="33"/>
              <w:spacing w:line="340" w:lineRule="exact"/>
              <w:ind w:firstLine="0" w:firstLineChars="0"/>
              <w:jc w:val="center"/>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投标人</w:t>
            </w:r>
            <w:r>
              <w:rPr>
                <w:rFonts w:hint="eastAsia" w:ascii="宋体" w:eastAsia="宋体" w:cs="宋体"/>
                <w:bCs/>
                <w:color w:val="auto"/>
                <w:sz w:val="21"/>
                <w:szCs w:val="21"/>
                <w:highlight w:val="none"/>
                <w:lang w:val="zh-CN"/>
              </w:rPr>
              <w:t>（含其上级、</w:t>
            </w:r>
            <w:r>
              <w:rPr>
                <w:rFonts w:hint="eastAsia" w:ascii="宋体" w:eastAsia="宋体" w:cs="宋体"/>
                <w:bCs/>
                <w:color w:val="auto"/>
                <w:sz w:val="21"/>
                <w:szCs w:val="21"/>
                <w:highlight w:val="none"/>
                <w:lang w:val="en-US" w:eastAsia="zh-CN"/>
              </w:rPr>
              <w:t>下级</w:t>
            </w:r>
            <w:r>
              <w:rPr>
                <w:rFonts w:hint="eastAsia" w:ascii="宋体" w:eastAsia="宋体" w:cs="宋体"/>
                <w:bCs/>
                <w:color w:val="auto"/>
                <w:sz w:val="21"/>
                <w:szCs w:val="21"/>
                <w:highlight w:val="none"/>
                <w:lang w:val="zh-CN"/>
              </w:rPr>
              <w:t>分公司及总公司）</w:t>
            </w:r>
            <w:r>
              <w:rPr>
                <w:rFonts w:hint="eastAsia" w:ascii="宋体" w:hAnsi="宋体" w:eastAsia="宋体" w:cs="宋体"/>
                <w:bCs/>
                <w:color w:val="auto"/>
                <w:sz w:val="21"/>
                <w:szCs w:val="21"/>
                <w:highlight w:val="none"/>
              </w:rPr>
              <w:t>所完成视频监控项目有获得省级及以上政府部门或安防协会颁发的“典范工程”</w:t>
            </w:r>
            <w:r>
              <w:rPr>
                <w:rFonts w:hint="eastAsia" w:ascii="宋体" w:eastAsia="宋体" w:cs="宋体"/>
                <w:bCs/>
                <w:color w:val="auto"/>
                <w:sz w:val="21"/>
                <w:szCs w:val="21"/>
                <w:highlight w:val="none"/>
                <w:lang w:val="en-US" w:eastAsia="zh-CN"/>
              </w:rPr>
              <w:t>荣誉证书</w:t>
            </w:r>
            <w:r>
              <w:rPr>
                <w:rFonts w:hint="eastAsia" w:ascii="宋体" w:eastAsia="宋体" w:cs="宋体"/>
                <w:bCs/>
                <w:color w:val="auto"/>
                <w:sz w:val="21"/>
                <w:szCs w:val="21"/>
                <w:highlight w:val="none"/>
                <w:lang w:val="zh-CN" w:eastAsia="zh-CN"/>
              </w:rPr>
              <w:t>的</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得2分，最高</w:t>
            </w:r>
            <w:r>
              <w:rPr>
                <w:rFonts w:hint="eastAsia" w:ascii="宋体" w:hAnsi="宋体" w:eastAsia="宋体" w:cs="宋体"/>
                <w:bCs/>
                <w:color w:val="auto"/>
                <w:sz w:val="21"/>
                <w:szCs w:val="21"/>
                <w:highlight w:val="none"/>
                <w:lang w:val="en-US" w:eastAsia="zh-CN"/>
              </w:rPr>
              <w:t>得</w:t>
            </w:r>
            <w:r>
              <w:rPr>
                <w:rFonts w:hint="eastAsia" w:ascii="宋体" w:hAnsi="宋体" w:eastAsia="宋体" w:cs="宋体"/>
                <w:bCs/>
                <w:color w:val="auto"/>
                <w:sz w:val="21"/>
                <w:szCs w:val="21"/>
                <w:highlight w:val="none"/>
              </w:rPr>
              <w:t>2分</w:t>
            </w:r>
            <w:r>
              <w:rPr>
                <w:rFonts w:hint="eastAsia" w:ascii="宋体" w:hAnsi="宋体" w:eastAsia="宋体" w:cs="宋体"/>
                <w:bCs/>
                <w:color w:val="auto"/>
                <w:sz w:val="21"/>
                <w:szCs w:val="21"/>
                <w:highlight w:val="none"/>
                <w:lang w:eastAsia="zh-CN"/>
              </w:rPr>
              <w:t>。</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hAnsi="宋体" w:eastAsia="宋体" w:cs="宋体"/>
                <w:bCs/>
                <w:color w:val="auto"/>
                <w:sz w:val="21"/>
                <w:szCs w:val="21"/>
                <w:highlight w:val="none"/>
              </w:rPr>
            </w:pPr>
            <w:r>
              <w:rPr>
                <w:rFonts w:hint="eastAsia" w:ascii="宋体" w:eastAsia="宋体" w:cs="宋体"/>
                <w:bCs/>
                <w:color w:val="auto"/>
                <w:sz w:val="21"/>
                <w:szCs w:val="21"/>
                <w:highlight w:val="none"/>
                <w:lang w:val="zh-CN" w:eastAsia="zh-CN"/>
              </w:rPr>
              <w:t>注：须提供有效</w:t>
            </w:r>
            <w:r>
              <w:rPr>
                <w:rFonts w:hint="eastAsia" w:ascii="宋体" w:eastAsia="宋体" w:cs="宋体"/>
                <w:bCs/>
                <w:color w:val="auto"/>
                <w:sz w:val="21"/>
                <w:szCs w:val="21"/>
                <w:highlight w:val="none"/>
                <w:lang w:val="en-US" w:eastAsia="zh-CN"/>
              </w:rPr>
              <w:t>荣誉</w:t>
            </w:r>
            <w:r>
              <w:rPr>
                <w:rFonts w:hint="eastAsia" w:ascii="宋体" w:eastAsia="宋体" w:cs="宋体"/>
                <w:bCs/>
                <w:color w:val="auto"/>
                <w:sz w:val="21"/>
                <w:szCs w:val="21"/>
                <w:highlight w:val="none"/>
                <w:lang w:val="zh-CN" w:eastAsia="zh-CN"/>
              </w:rPr>
              <w:t>证书复印件加盖投标人公章，</w:t>
            </w:r>
            <w:r>
              <w:rPr>
                <w:rFonts w:hint="eastAsia" w:ascii="宋体" w:eastAsia="宋体" w:cs="宋体"/>
                <w:bCs/>
                <w:color w:val="auto"/>
                <w:sz w:val="21"/>
                <w:szCs w:val="21"/>
                <w:highlight w:val="none"/>
                <w:lang w:val="en-US" w:eastAsia="zh-CN"/>
              </w:rPr>
              <w:t>否则不得分</w:t>
            </w:r>
            <w:r>
              <w:rPr>
                <w:rFonts w:hint="eastAsia" w:ascii="宋体" w:eastAsia="宋体" w:cs="宋体"/>
                <w:bCs/>
                <w:color w:val="auto"/>
                <w:sz w:val="21"/>
                <w:szCs w:val="21"/>
                <w:highlight w:val="none"/>
                <w:lang w:val="zh-CN" w:eastAsia="zh-CN"/>
              </w:rPr>
              <w:t>。</w:t>
            </w:r>
            <w:r>
              <w:rPr>
                <w:rFonts w:hint="eastAsia" w:ascii="宋体" w:hAnsi="宋体" w:eastAsia="宋体" w:cs="宋体"/>
                <w:bCs/>
                <w:color w:val="auto"/>
                <w:sz w:val="21"/>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90" w:type="dxa"/>
            <w:vMerge w:val="continue"/>
            <w:tcBorders>
              <w:left w:val="single" w:color="auto" w:sz="4" w:space="0"/>
              <w:right w:val="single" w:color="auto" w:sz="4" w:space="0"/>
            </w:tcBorders>
            <w:noWrap w:val="0"/>
            <w:vAlign w:val="center"/>
          </w:tcPr>
          <w:p>
            <w:pPr>
              <w:pStyle w:val="33"/>
              <w:spacing w:line="340" w:lineRule="exact"/>
              <w:ind w:firstLine="0" w:firstLineChars="0"/>
              <w:jc w:val="center"/>
              <w:rPr>
                <w:rFonts w:hint="eastAsia" w:ascii="宋体" w:eastAsia="宋体" w:cs="宋体"/>
                <w:color w:val="auto"/>
                <w:sz w:val="21"/>
                <w:szCs w:val="21"/>
                <w:highlight w:val="none"/>
                <w:lang w:val="en-US" w:eastAsia="zh-CN"/>
              </w:rPr>
            </w:pPr>
          </w:p>
        </w:tc>
        <w:tc>
          <w:tcPr>
            <w:tcW w:w="1607" w:type="dxa"/>
            <w:vMerge w:val="continue"/>
            <w:tcBorders>
              <w:left w:val="single" w:color="auto" w:sz="4" w:space="0"/>
              <w:right w:val="single" w:color="auto" w:sz="4" w:space="0"/>
            </w:tcBorders>
            <w:noWrap w:val="0"/>
            <w:vAlign w:val="center"/>
          </w:tcPr>
          <w:p>
            <w:pPr>
              <w:pStyle w:val="33"/>
              <w:spacing w:line="340" w:lineRule="exact"/>
              <w:ind w:firstLine="0" w:firstLineChars="0"/>
              <w:jc w:val="center"/>
              <w:rPr>
                <w:rFonts w:hint="eastAsia" w:ascii="宋体" w:eastAsia="宋体" w:cs="宋体"/>
                <w:color w:val="auto"/>
                <w:sz w:val="21"/>
                <w:szCs w:val="21"/>
                <w:highlight w:val="none"/>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pStyle w:val="33"/>
              <w:spacing w:line="340" w:lineRule="exact"/>
              <w:ind w:firstLine="0" w:firstLineChars="0"/>
              <w:jc w:val="center"/>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投标人</w:t>
            </w:r>
            <w:r>
              <w:rPr>
                <w:rFonts w:hint="eastAsia" w:ascii="宋体" w:eastAsia="宋体" w:cs="宋体"/>
                <w:bCs/>
                <w:color w:val="auto"/>
                <w:sz w:val="21"/>
                <w:szCs w:val="21"/>
                <w:highlight w:val="none"/>
                <w:lang w:val="zh-CN"/>
              </w:rPr>
              <w:t>（含其上级、</w:t>
            </w:r>
            <w:r>
              <w:rPr>
                <w:rFonts w:hint="eastAsia" w:ascii="宋体" w:eastAsia="宋体" w:cs="宋体"/>
                <w:bCs/>
                <w:color w:val="auto"/>
                <w:sz w:val="21"/>
                <w:szCs w:val="21"/>
                <w:highlight w:val="none"/>
                <w:lang w:val="en-US" w:eastAsia="zh-CN"/>
              </w:rPr>
              <w:t>下级</w:t>
            </w:r>
            <w:r>
              <w:rPr>
                <w:rFonts w:hint="eastAsia" w:ascii="宋体" w:eastAsia="宋体" w:cs="宋体"/>
                <w:bCs/>
                <w:color w:val="auto"/>
                <w:sz w:val="21"/>
                <w:szCs w:val="21"/>
                <w:highlight w:val="none"/>
                <w:lang w:val="zh-CN"/>
              </w:rPr>
              <w:t>分公司及总公司）</w:t>
            </w:r>
            <w:r>
              <w:rPr>
                <w:rFonts w:hint="eastAsia" w:ascii="宋体" w:hAnsi="宋体" w:eastAsia="宋体" w:cs="宋体"/>
                <w:bCs/>
                <w:color w:val="auto"/>
                <w:sz w:val="21"/>
                <w:szCs w:val="21"/>
                <w:highlight w:val="none"/>
              </w:rPr>
              <w:t>具有中国中小企业协会或银行或行政部门颁发的信用等级证书的（有效期内），AAA级得2分,AA级得0.5分；AA级以下不得分。</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hAnsi="宋体" w:eastAsia="宋体" w:cs="宋体"/>
                <w:bCs/>
                <w:color w:val="auto"/>
                <w:sz w:val="21"/>
                <w:szCs w:val="21"/>
                <w:highlight w:val="none"/>
              </w:rPr>
            </w:pPr>
            <w:r>
              <w:rPr>
                <w:rFonts w:hint="eastAsia" w:ascii="宋体" w:eastAsia="宋体" w:cs="宋体"/>
                <w:bCs/>
                <w:color w:val="auto"/>
                <w:sz w:val="21"/>
                <w:szCs w:val="21"/>
                <w:highlight w:val="none"/>
                <w:lang w:val="zh-CN"/>
              </w:rPr>
              <w:t>注：须提供有效证书复印件并加盖投标人公章，</w:t>
            </w:r>
            <w:r>
              <w:rPr>
                <w:rFonts w:hint="eastAsia" w:ascii="宋体" w:eastAsia="宋体" w:cs="宋体"/>
                <w:bCs/>
                <w:color w:val="auto"/>
                <w:sz w:val="21"/>
                <w:szCs w:val="21"/>
                <w:highlight w:val="none"/>
                <w:lang w:val="en-US" w:eastAsia="zh-CN"/>
              </w:rPr>
              <w:t>否则不得分</w:t>
            </w:r>
            <w:r>
              <w:rPr>
                <w:rFonts w:hint="eastAsia" w:ascii="宋体" w:eastAsia="宋体" w:cs="宋体"/>
                <w:bCs/>
                <w:color w:val="auto"/>
                <w:sz w:val="21"/>
                <w:szCs w:val="21"/>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90" w:type="dxa"/>
            <w:vMerge w:val="continue"/>
            <w:tcBorders>
              <w:left w:val="single" w:color="auto" w:sz="4" w:space="0"/>
              <w:bottom w:val="single" w:color="auto" w:sz="4" w:space="0"/>
              <w:right w:val="single" w:color="auto" w:sz="4" w:space="0"/>
            </w:tcBorders>
            <w:noWrap w:val="0"/>
            <w:vAlign w:val="center"/>
          </w:tcPr>
          <w:p>
            <w:pPr>
              <w:pStyle w:val="33"/>
              <w:spacing w:line="340" w:lineRule="exact"/>
              <w:ind w:firstLine="0" w:firstLineChars="0"/>
              <w:jc w:val="center"/>
              <w:rPr>
                <w:rFonts w:hint="eastAsia" w:ascii="宋体" w:eastAsia="宋体" w:cs="宋体"/>
                <w:color w:val="auto"/>
                <w:sz w:val="21"/>
                <w:szCs w:val="21"/>
                <w:highlight w:val="none"/>
                <w:lang w:val="en-US" w:eastAsia="zh-CN"/>
              </w:rPr>
            </w:pPr>
          </w:p>
        </w:tc>
        <w:tc>
          <w:tcPr>
            <w:tcW w:w="1607" w:type="dxa"/>
            <w:vMerge w:val="continue"/>
            <w:tcBorders>
              <w:left w:val="single" w:color="auto" w:sz="4" w:space="0"/>
              <w:bottom w:val="single" w:color="auto" w:sz="4" w:space="0"/>
              <w:right w:val="single" w:color="auto" w:sz="4" w:space="0"/>
            </w:tcBorders>
            <w:noWrap w:val="0"/>
            <w:vAlign w:val="center"/>
          </w:tcPr>
          <w:p>
            <w:pPr>
              <w:pStyle w:val="33"/>
              <w:spacing w:line="340" w:lineRule="exact"/>
              <w:ind w:firstLine="0" w:firstLineChars="0"/>
              <w:jc w:val="center"/>
              <w:rPr>
                <w:rFonts w:hint="eastAsia" w:ascii="宋体" w:eastAsia="宋体" w:cs="宋体"/>
                <w:color w:val="auto"/>
                <w:sz w:val="21"/>
                <w:szCs w:val="21"/>
                <w:highlight w:val="none"/>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pStyle w:val="33"/>
              <w:spacing w:line="340" w:lineRule="exact"/>
              <w:ind w:firstLine="0" w:firstLineChars="0"/>
              <w:jc w:val="center"/>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投</w:t>
            </w:r>
            <w:r>
              <w:rPr>
                <w:rFonts w:hint="eastAsia" w:ascii="宋体" w:hAnsi="宋体" w:eastAsia="宋体" w:cs="宋体"/>
                <w:bCs/>
                <w:color w:val="auto"/>
                <w:sz w:val="21"/>
                <w:szCs w:val="21"/>
                <w:highlight w:val="none"/>
              </w:rPr>
              <w:t>标人</w:t>
            </w:r>
            <w:r>
              <w:rPr>
                <w:rFonts w:hint="eastAsia" w:ascii="宋体" w:eastAsia="宋体" w:cs="宋体"/>
                <w:bCs/>
                <w:color w:val="auto"/>
                <w:sz w:val="21"/>
                <w:szCs w:val="21"/>
                <w:highlight w:val="none"/>
                <w:lang w:val="zh-CN"/>
              </w:rPr>
              <w:t>（含其上级分公司及总公司）</w:t>
            </w:r>
            <w:r>
              <w:rPr>
                <w:rFonts w:hint="eastAsia" w:ascii="宋体" w:hAnsi="宋体" w:eastAsia="宋体" w:cs="宋体"/>
                <w:bCs/>
                <w:color w:val="auto"/>
                <w:sz w:val="21"/>
                <w:szCs w:val="21"/>
                <w:highlight w:val="none"/>
              </w:rPr>
              <w:t>具有中国网络安全审查技术与认证中心颁发的“信息安全服务资质认证证书”（二级或以上）得2分，三级得1分，无不得分。</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hAnsi="宋体" w:eastAsia="宋体" w:cs="宋体"/>
                <w:bCs/>
                <w:color w:val="auto"/>
                <w:sz w:val="21"/>
                <w:szCs w:val="21"/>
                <w:highlight w:val="none"/>
              </w:rPr>
            </w:pPr>
            <w:r>
              <w:rPr>
                <w:rFonts w:hint="eastAsia" w:ascii="宋体" w:eastAsia="宋体" w:cs="宋体"/>
                <w:bCs/>
                <w:color w:val="auto"/>
                <w:sz w:val="21"/>
                <w:szCs w:val="21"/>
                <w:highlight w:val="none"/>
                <w:lang w:val="zh-CN"/>
              </w:rPr>
              <w:t>注：须提供有效证书复印件并加盖投标人公章，</w:t>
            </w:r>
            <w:r>
              <w:rPr>
                <w:rFonts w:hint="eastAsia" w:ascii="宋体" w:eastAsia="宋体" w:cs="宋体"/>
                <w:bCs/>
                <w:color w:val="auto"/>
                <w:sz w:val="21"/>
                <w:szCs w:val="21"/>
                <w:highlight w:val="none"/>
                <w:lang w:val="en-US" w:eastAsia="zh-CN"/>
              </w:rPr>
              <w:t>否则不得分</w:t>
            </w:r>
            <w:r>
              <w:rPr>
                <w:rFonts w:hint="eastAsia" w:ascii="宋体" w:eastAsia="宋体" w:cs="宋体"/>
                <w:bCs/>
                <w:color w:val="auto"/>
                <w:sz w:val="21"/>
                <w:szCs w:val="21"/>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3"/>
              <w:spacing w:line="340" w:lineRule="exact"/>
              <w:ind w:firstLine="0" w:firstLineChars="0"/>
              <w:jc w:val="center"/>
              <w:rPr>
                <w:rFonts w:hint="eastAsia" w:asci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2</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33"/>
              <w:spacing w:line="340" w:lineRule="exact"/>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同类项目</w:t>
            </w:r>
          </w:p>
          <w:p>
            <w:pPr>
              <w:pStyle w:val="33"/>
              <w:spacing w:line="340" w:lineRule="exact"/>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业绩</w:t>
            </w:r>
          </w:p>
        </w:tc>
        <w:tc>
          <w:tcPr>
            <w:tcW w:w="762" w:type="dxa"/>
            <w:tcBorders>
              <w:top w:val="single" w:color="auto" w:sz="4" w:space="0"/>
              <w:left w:val="single" w:color="auto" w:sz="4" w:space="0"/>
              <w:bottom w:val="single" w:color="auto" w:sz="4" w:space="0"/>
              <w:right w:val="single" w:color="auto" w:sz="4" w:space="0"/>
            </w:tcBorders>
            <w:noWrap w:val="0"/>
            <w:vAlign w:val="center"/>
          </w:tcPr>
          <w:p>
            <w:pPr>
              <w:pStyle w:val="33"/>
              <w:spacing w:line="340" w:lineRule="exact"/>
              <w:ind w:firstLine="0" w:firstLineChars="0"/>
              <w:jc w:val="center"/>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5</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投标人</w:t>
            </w:r>
            <w:r>
              <w:rPr>
                <w:rFonts w:hint="eastAsia" w:ascii="宋体" w:eastAsia="宋体" w:cs="宋体"/>
                <w:bCs/>
                <w:color w:val="auto"/>
                <w:sz w:val="21"/>
                <w:szCs w:val="21"/>
                <w:highlight w:val="none"/>
                <w:lang w:val="zh-CN"/>
              </w:rPr>
              <w:t>（含其上级、</w:t>
            </w:r>
            <w:r>
              <w:rPr>
                <w:rFonts w:hint="eastAsia" w:ascii="宋体" w:eastAsia="宋体" w:cs="宋体"/>
                <w:bCs/>
                <w:color w:val="auto"/>
                <w:sz w:val="21"/>
                <w:szCs w:val="21"/>
                <w:highlight w:val="none"/>
                <w:lang w:val="en-US" w:eastAsia="zh-CN"/>
              </w:rPr>
              <w:t>下级</w:t>
            </w:r>
            <w:r>
              <w:rPr>
                <w:rFonts w:hint="eastAsia" w:ascii="宋体" w:eastAsia="宋体" w:cs="宋体"/>
                <w:bCs/>
                <w:color w:val="auto"/>
                <w:sz w:val="21"/>
                <w:szCs w:val="21"/>
                <w:highlight w:val="none"/>
                <w:lang w:val="zh-CN"/>
              </w:rPr>
              <w:t>分公司及总公司）</w:t>
            </w:r>
            <w:r>
              <w:rPr>
                <w:rFonts w:hint="eastAsia" w:ascii="宋体" w:eastAsia="宋体" w:cs="宋体"/>
                <w:bCs/>
                <w:color w:val="auto"/>
                <w:sz w:val="21"/>
                <w:szCs w:val="21"/>
                <w:highlight w:val="none"/>
                <w:lang w:val="en-US" w:eastAsia="zh-CN"/>
              </w:rPr>
              <w:t>自</w:t>
            </w:r>
            <w:r>
              <w:rPr>
                <w:rFonts w:hint="eastAsia" w:ascii="宋体" w:hAnsi="宋体" w:eastAsia="宋体" w:cs="宋体"/>
                <w:bCs/>
                <w:color w:val="auto"/>
                <w:sz w:val="21"/>
                <w:szCs w:val="21"/>
                <w:highlight w:val="none"/>
              </w:rPr>
              <w:t>2018年以来具有含停车场管理系统建设项目业绩</w:t>
            </w:r>
            <w:r>
              <w:rPr>
                <w:rFonts w:hint="eastAsia" w:ascii="宋体" w:hAnsi="宋体" w:eastAsia="宋体" w:cs="宋体"/>
                <w:bCs/>
                <w:color w:val="auto"/>
                <w:sz w:val="21"/>
                <w:szCs w:val="21"/>
                <w:highlight w:val="none"/>
                <w:lang w:val="en-US" w:eastAsia="zh-CN"/>
              </w:rPr>
              <w:t>的</w:t>
            </w:r>
            <w:r>
              <w:rPr>
                <w:rFonts w:hint="eastAsia" w:ascii="宋体" w:hAnsi="宋体" w:eastAsia="宋体" w:cs="宋体"/>
                <w:bCs/>
                <w:color w:val="auto"/>
                <w:sz w:val="21"/>
                <w:szCs w:val="21"/>
                <w:highlight w:val="none"/>
              </w:rPr>
              <w:t>，每个得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分，最高得</w:t>
            </w:r>
            <w:r>
              <w:rPr>
                <w:rFonts w:hint="eastAsia" w:ascii="宋体" w:hAnsi="宋体" w:eastAsia="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w:t>
            </w:r>
            <w:r>
              <w:rPr>
                <w:rFonts w:hint="eastAsia" w:ascii="宋体" w:hAnsi="宋体" w:eastAsia="宋体" w:cs="宋体"/>
                <w:bCs/>
                <w:color w:val="auto"/>
                <w:sz w:val="21"/>
                <w:szCs w:val="21"/>
                <w:highlight w:val="none"/>
                <w:lang w:eastAsia="zh-CN"/>
              </w:rPr>
              <w:t>。</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en-US" w:eastAsia="zh-CN"/>
              </w:rPr>
              <w:t>注：</w:t>
            </w:r>
            <w:r>
              <w:rPr>
                <w:rFonts w:hint="eastAsia" w:ascii="宋体" w:hAnsi="宋体" w:eastAsia="宋体" w:cs="宋体"/>
                <w:bCs/>
                <w:color w:val="auto"/>
                <w:sz w:val="21"/>
                <w:szCs w:val="21"/>
                <w:highlight w:val="none"/>
              </w:rPr>
              <w:t>须提供中标</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成交</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通知书复印件及合同复印件加盖公章，</w:t>
            </w:r>
            <w:r>
              <w:rPr>
                <w:rFonts w:hint="eastAsia" w:ascii="宋体" w:hAnsi="宋体" w:eastAsia="宋体" w:cs="宋体"/>
                <w:bCs/>
                <w:color w:val="auto"/>
                <w:sz w:val="21"/>
                <w:szCs w:val="21"/>
                <w:highlight w:val="none"/>
                <w:lang w:val="en-US" w:eastAsia="zh-CN"/>
              </w:rPr>
              <w:t>否则不得分，</w:t>
            </w:r>
            <w:r>
              <w:rPr>
                <w:rFonts w:hint="eastAsia" w:ascii="宋体" w:hAnsi="宋体" w:eastAsia="宋体" w:cs="宋体"/>
                <w:bCs/>
                <w:color w:val="auto"/>
                <w:sz w:val="21"/>
                <w:szCs w:val="21"/>
                <w:highlight w:val="none"/>
              </w:rPr>
              <w:t>时间以合同签订时间为准</w:t>
            </w:r>
            <w:r>
              <w:rPr>
                <w:rFonts w:hint="eastAsia" w:ascii="宋体" w:hAnsi="宋体" w:eastAsia="宋体" w:cs="宋体"/>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4"/>
            <w:tcBorders>
              <w:top w:val="single" w:color="auto" w:sz="4" w:space="0"/>
              <w:left w:val="single" w:color="auto" w:sz="4" w:space="0"/>
              <w:bottom w:val="single" w:color="auto" w:sz="4" w:space="0"/>
              <w:right w:val="single" w:color="auto" w:sz="4" w:space="0"/>
            </w:tcBorders>
            <w:noWrap w:val="0"/>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rPr>
              <w:t>技术评审</w:t>
            </w:r>
            <w:r>
              <w:rPr>
                <w:rFonts w:hint="eastAsia" w:ascii="宋体" w:eastAsia="宋体" w:cs="宋体"/>
                <w:color w:val="auto"/>
                <w:sz w:val="21"/>
                <w:szCs w:val="21"/>
                <w:highlight w:val="none"/>
                <w:lang w:eastAsia="zh-CN"/>
              </w:rPr>
              <w:t>（</w:t>
            </w:r>
            <w:r>
              <w:rPr>
                <w:rFonts w:hint="eastAsia" w:ascii="宋体" w:eastAsia="宋体" w:cs="宋体"/>
                <w:color w:val="auto"/>
                <w:sz w:val="21"/>
                <w:szCs w:val="21"/>
                <w:highlight w:val="none"/>
                <w:lang w:val="en-US" w:eastAsia="zh-CN"/>
              </w:rPr>
              <w:t>53分）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3"/>
              <w:spacing w:line="340" w:lineRule="exact"/>
              <w:ind w:firstLine="0" w:firstLineChars="0"/>
              <w:jc w:val="center"/>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33"/>
              <w:spacing w:line="340" w:lineRule="exact"/>
              <w:ind w:firstLine="0" w:firstLineChars="0"/>
              <w:jc w:val="center"/>
              <w:rPr>
                <w:rFonts w:hint="eastAsia" w:ascii="宋体" w:eastAsia="宋体" w:cs="宋体"/>
                <w:color w:val="auto"/>
                <w:sz w:val="21"/>
                <w:szCs w:val="21"/>
                <w:highlight w:val="none"/>
              </w:rPr>
            </w:pPr>
            <w:r>
              <w:rPr>
                <w:rFonts w:hint="eastAsia" w:ascii="宋体" w:eastAsia="宋体" w:cs="宋体"/>
                <w:color w:val="auto"/>
                <w:sz w:val="21"/>
                <w:szCs w:val="21"/>
                <w:highlight w:val="none"/>
              </w:rPr>
              <w:t>技术内容响应情况</w:t>
            </w:r>
          </w:p>
        </w:tc>
        <w:tc>
          <w:tcPr>
            <w:tcW w:w="762" w:type="dxa"/>
            <w:tcBorders>
              <w:top w:val="single" w:color="auto" w:sz="4" w:space="0"/>
              <w:left w:val="single" w:color="auto" w:sz="4" w:space="0"/>
              <w:bottom w:val="single" w:color="auto" w:sz="4" w:space="0"/>
              <w:right w:val="single" w:color="auto" w:sz="4" w:space="0"/>
            </w:tcBorders>
            <w:noWrap w:val="0"/>
            <w:vAlign w:val="center"/>
          </w:tcPr>
          <w:p>
            <w:pPr>
              <w:pStyle w:val="33"/>
              <w:spacing w:line="340" w:lineRule="exact"/>
              <w:ind w:firstLine="0" w:firstLineChars="0"/>
              <w:jc w:val="center"/>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rPr>
              <w:t>1</w:t>
            </w:r>
            <w:r>
              <w:rPr>
                <w:rFonts w:hint="eastAsia" w:ascii="宋体" w:eastAsia="宋体" w:cs="宋体"/>
                <w:color w:val="auto"/>
                <w:sz w:val="21"/>
                <w:szCs w:val="21"/>
                <w:highlight w:val="none"/>
                <w:lang w:val="en-US" w:eastAsia="zh-CN"/>
              </w:rPr>
              <w:t>0</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对用户需求书中带“▲”技术要求条款的技术指标进行响应，若全部响应为满足或优于的得</w:t>
            </w: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lang w:val="zh-CN"/>
              </w:rPr>
              <w:t>分，不满足或者不响应的每一个扣</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zh-CN"/>
              </w:rPr>
              <w:t>分，扣完为止，本项最低得0分。</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①对用户需求中的带“▲”技术指标条款，用户需求书要求提供证明资料的，则投标文件中须提供对应产品参数的证明资料并加盖投标人公章；</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②对用户需求书中带“▲”技术指标条款，用户需求书未要求提供证明资料的，则投标文件中须提供所投产品彩页原件或原厂商的官方技术白皮书或原厂商所作的技术参数说明等详细技术资料并加盖投标人公章。</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（投标人必须按所投产品实际参数进行响应，否则视为提供虚假材料谋取中标资格。）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3"/>
              <w:spacing w:line="340" w:lineRule="exact"/>
              <w:ind w:firstLine="0" w:firstLineChars="0"/>
              <w:jc w:val="center"/>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33"/>
              <w:spacing w:line="340" w:lineRule="exact"/>
              <w:ind w:firstLine="0" w:firstLineChars="0"/>
              <w:jc w:val="center"/>
              <w:rPr>
                <w:rFonts w:hint="eastAsia" w:ascii="宋体" w:eastAsia="宋体" w:cs="宋体"/>
                <w:color w:val="auto"/>
                <w:sz w:val="21"/>
                <w:szCs w:val="21"/>
                <w:highlight w:val="none"/>
              </w:rPr>
            </w:pPr>
            <w:r>
              <w:rPr>
                <w:rFonts w:hint="eastAsia" w:ascii="宋体" w:eastAsia="宋体" w:cs="宋体"/>
                <w:color w:val="auto"/>
                <w:sz w:val="21"/>
                <w:szCs w:val="21"/>
                <w:highlight w:val="none"/>
              </w:rPr>
              <w:t>人员配置情况</w:t>
            </w:r>
          </w:p>
        </w:tc>
        <w:tc>
          <w:tcPr>
            <w:tcW w:w="762" w:type="dxa"/>
            <w:tcBorders>
              <w:top w:val="single" w:color="auto" w:sz="4" w:space="0"/>
              <w:left w:val="single" w:color="auto" w:sz="4" w:space="0"/>
              <w:bottom w:val="single" w:color="auto" w:sz="4" w:space="0"/>
              <w:right w:val="single" w:color="auto" w:sz="4" w:space="0"/>
            </w:tcBorders>
            <w:noWrap w:val="0"/>
            <w:vAlign w:val="center"/>
          </w:tcPr>
          <w:p>
            <w:pPr>
              <w:pStyle w:val="33"/>
              <w:spacing w:line="340" w:lineRule="exact"/>
              <w:ind w:firstLine="0" w:firstLineChars="0"/>
              <w:jc w:val="center"/>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8</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after="0" w:line="360" w:lineRule="auto"/>
              <w:ind w:firstLine="420" w:firstLineChars="200"/>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对</w:t>
            </w:r>
            <w:r>
              <w:rPr>
                <w:rFonts w:hint="eastAsia" w:ascii="宋体" w:eastAsia="宋体" w:cs="宋体"/>
                <w:bCs/>
                <w:color w:val="auto"/>
                <w:sz w:val="21"/>
                <w:szCs w:val="21"/>
                <w:highlight w:val="none"/>
                <w:lang w:val="zh-CN"/>
              </w:rPr>
              <w:t>拟投入</w:t>
            </w:r>
            <w:r>
              <w:rPr>
                <w:rFonts w:hint="eastAsia" w:ascii="宋体" w:eastAsia="宋体" w:cs="宋体"/>
                <w:bCs/>
                <w:color w:val="auto"/>
                <w:sz w:val="21"/>
                <w:szCs w:val="21"/>
                <w:highlight w:val="none"/>
                <w:lang w:val="en-US" w:eastAsia="zh-CN"/>
              </w:rPr>
              <w:t>项目</w:t>
            </w:r>
            <w:r>
              <w:rPr>
                <w:rFonts w:hint="eastAsia" w:ascii="宋体" w:eastAsia="宋体" w:cs="宋体"/>
                <w:bCs/>
                <w:color w:val="auto"/>
                <w:sz w:val="21"/>
                <w:szCs w:val="21"/>
                <w:highlight w:val="none"/>
                <w:lang w:val="zh-CN"/>
              </w:rPr>
              <w:t>的技术人员（含其上级、</w:t>
            </w:r>
            <w:r>
              <w:rPr>
                <w:rFonts w:hint="eastAsia" w:ascii="宋体" w:eastAsia="宋体" w:cs="宋体"/>
                <w:bCs/>
                <w:color w:val="auto"/>
                <w:sz w:val="21"/>
                <w:szCs w:val="21"/>
                <w:highlight w:val="none"/>
                <w:lang w:val="en-US" w:eastAsia="zh-CN"/>
              </w:rPr>
              <w:t>下级</w:t>
            </w:r>
            <w:r>
              <w:rPr>
                <w:rFonts w:hint="eastAsia" w:ascii="宋体" w:eastAsia="宋体" w:cs="宋体"/>
                <w:bCs/>
                <w:color w:val="auto"/>
                <w:sz w:val="21"/>
                <w:szCs w:val="21"/>
                <w:highlight w:val="none"/>
                <w:lang w:val="zh-CN"/>
              </w:rPr>
              <w:t>分公司及总公司）</w:t>
            </w:r>
            <w:r>
              <w:rPr>
                <w:rFonts w:hint="eastAsia" w:ascii="宋体" w:eastAsia="宋体" w:cs="宋体"/>
                <w:bCs/>
                <w:color w:val="auto"/>
                <w:sz w:val="21"/>
                <w:szCs w:val="21"/>
                <w:highlight w:val="none"/>
                <w:lang w:val="en-US" w:eastAsia="zh-CN"/>
              </w:rPr>
              <w:t>进行评审：</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技术人员具有由省级公共安全技术防范协会颁发的安防从业人员证书，每提供一个得0.5分，最高得1.5分；</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技术人员具有信息安全保障人员认证证书（ISCCC）或注册信息安全员（CISM），每提供一个得</w:t>
            </w:r>
            <w:r>
              <w:rPr>
                <w:rFonts w:hint="eastAsia" w:ascii="宋体" w:hAnsi="宋体" w:eastAsia="宋体" w:cs="宋体"/>
                <w:bCs/>
                <w:color w:val="auto"/>
                <w:sz w:val="21"/>
                <w:szCs w:val="21"/>
                <w:highlight w:val="none"/>
                <w:lang w:val="en-US" w:eastAsia="zh-CN"/>
              </w:rPr>
              <w:t>0.5</w:t>
            </w:r>
            <w:r>
              <w:rPr>
                <w:rFonts w:hint="eastAsia" w:ascii="宋体" w:hAnsi="宋体" w:eastAsia="宋体" w:cs="宋体"/>
                <w:bCs/>
                <w:color w:val="auto"/>
                <w:sz w:val="21"/>
                <w:szCs w:val="21"/>
                <w:highlight w:val="none"/>
              </w:rPr>
              <w:t>分，最高得</w:t>
            </w:r>
            <w:r>
              <w:rPr>
                <w:rFonts w:hint="eastAsia" w:ascii="宋体" w:hAnsi="宋体" w:eastAsia="宋体" w:cs="宋体"/>
                <w:bCs/>
                <w:color w:val="auto"/>
                <w:sz w:val="21"/>
                <w:szCs w:val="21"/>
                <w:highlight w:val="none"/>
                <w:lang w:val="en-US" w:eastAsia="zh-CN"/>
              </w:rPr>
              <w:t>1.5</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技术</w:t>
            </w:r>
            <w:r>
              <w:rPr>
                <w:rFonts w:hint="eastAsia" w:ascii="宋体" w:hAnsi="宋体" w:eastAsia="宋体" w:cs="宋体"/>
                <w:bCs/>
                <w:color w:val="auto"/>
                <w:sz w:val="21"/>
                <w:szCs w:val="21"/>
                <w:highlight w:val="none"/>
                <w:lang w:val="en-US" w:eastAsia="zh-CN"/>
              </w:rPr>
              <w:t>人员</w:t>
            </w:r>
            <w:r>
              <w:rPr>
                <w:rFonts w:hint="eastAsia" w:ascii="宋体" w:hAnsi="宋体" w:eastAsia="宋体" w:cs="宋体"/>
                <w:bCs/>
                <w:color w:val="auto"/>
                <w:sz w:val="21"/>
                <w:szCs w:val="21"/>
                <w:highlight w:val="none"/>
              </w:rPr>
              <w:t>具有信息产业部或省人力资源和社会保障厅颁发的高级职称证书（数据库类）得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分，最高得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技术人员具有国家工业和信息化部颁发的网络规划设计师（高级）得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分，最高得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5、</w:t>
            </w:r>
            <w:r>
              <w:rPr>
                <w:rFonts w:hint="eastAsia" w:ascii="宋体" w:hAnsi="宋体" w:eastAsia="宋体" w:cs="宋体"/>
                <w:bCs/>
                <w:color w:val="auto"/>
                <w:sz w:val="21"/>
                <w:szCs w:val="21"/>
                <w:highlight w:val="none"/>
              </w:rPr>
              <w:t>技术人员具有国家工业和信息化部颁发的信息系统项目管理师证书（高级）</w:t>
            </w:r>
            <w:r>
              <w:rPr>
                <w:rFonts w:hint="eastAsia" w:ascii="宋体" w:hAnsi="宋体" w:eastAsia="宋体" w:cs="宋体"/>
                <w:bCs/>
                <w:color w:val="auto"/>
                <w:sz w:val="21"/>
                <w:szCs w:val="21"/>
                <w:highlight w:val="none"/>
                <w:lang w:val="en-US" w:eastAsia="zh-CN"/>
              </w:rPr>
              <w:t>的</w:t>
            </w:r>
            <w:r>
              <w:rPr>
                <w:rFonts w:hint="eastAsia" w:ascii="宋体" w:hAnsi="宋体" w:eastAsia="宋体" w:cs="宋体"/>
                <w:bCs/>
                <w:color w:val="auto"/>
                <w:sz w:val="21"/>
                <w:szCs w:val="21"/>
                <w:highlight w:val="none"/>
              </w:rPr>
              <w:t>，每提供一个得</w:t>
            </w:r>
            <w:r>
              <w:rPr>
                <w:rFonts w:hint="eastAsia" w:ascii="宋体" w:hAnsi="宋体" w:eastAsia="宋体" w:cs="宋体"/>
                <w:bCs/>
                <w:color w:val="auto"/>
                <w:sz w:val="21"/>
                <w:szCs w:val="21"/>
                <w:highlight w:val="none"/>
                <w:lang w:val="en-US" w:eastAsia="zh-CN"/>
              </w:rPr>
              <w:t>0.5</w:t>
            </w:r>
            <w:r>
              <w:rPr>
                <w:rFonts w:hint="eastAsia" w:ascii="宋体" w:hAnsi="宋体" w:eastAsia="宋体" w:cs="宋体"/>
                <w:bCs/>
                <w:color w:val="auto"/>
                <w:sz w:val="21"/>
                <w:szCs w:val="21"/>
                <w:highlight w:val="none"/>
              </w:rPr>
              <w:t>分，最高得</w:t>
            </w:r>
            <w:r>
              <w:rPr>
                <w:rFonts w:hint="eastAsia" w:ascii="宋体" w:hAnsi="宋体" w:eastAsia="宋体" w:cs="宋体"/>
                <w:bCs/>
                <w:color w:val="auto"/>
                <w:sz w:val="21"/>
                <w:szCs w:val="21"/>
                <w:highlight w:val="none"/>
                <w:lang w:val="en-US" w:eastAsia="zh-CN"/>
              </w:rPr>
              <w:t>1.5</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rPr>
              <w:t>技术人员具有中级工程师职称证书（证书类别为软件、通信、网络、电子类中的任意一类），每提供一个得</w:t>
            </w:r>
            <w:r>
              <w:rPr>
                <w:rFonts w:hint="eastAsia" w:ascii="宋体" w:hAnsi="宋体" w:eastAsia="宋体" w:cs="宋体"/>
                <w:bCs/>
                <w:color w:val="auto"/>
                <w:sz w:val="21"/>
                <w:szCs w:val="21"/>
                <w:highlight w:val="none"/>
                <w:lang w:val="en-US" w:eastAsia="zh-CN"/>
              </w:rPr>
              <w:t>0.5</w:t>
            </w:r>
            <w:r>
              <w:rPr>
                <w:rFonts w:hint="eastAsia" w:ascii="宋体" w:hAnsi="宋体" w:eastAsia="宋体" w:cs="宋体"/>
                <w:bCs/>
                <w:color w:val="auto"/>
                <w:sz w:val="21"/>
                <w:szCs w:val="21"/>
                <w:highlight w:val="none"/>
              </w:rPr>
              <w:t>分，最高得</w:t>
            </w:r>
            <w:r>
              <w:rPr>
                <w:rFonts w:hint="eastAsia" w:ascii="宋体" w:hAnsi="宋体" w:eastAsia="宋体" w:cs="宋体"/>
                <w:bCs/>
                <w:color w:val="auto"/>
                <w:sz w:val="21"/>
                <w:szCs w:val="21"/>
                <w:highlight w:val="none"/>
                <w:lang w:val="en-US" w:eastAsia="zh-CN"/>
              </w:rPr>
              <w:t>1.5</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bCs/>
                <w:color w:val="auto"/>
                <w:sz w:val="21"/>
                <w:szCs w:val="21"/>
                <w:highlight w:val="none"/>
                <w:lang w:val="zh-CN"/>
              </w:rPr>
            </w:pPr>
            <w:r>
              <w:rPr>
                <w:rFonts w:hint="eastAsia" w:ascii="宋体" w:eastAsia="宋体" w:cs="宋体"/>
                <w:bCs/>
                <w:color w:val="auto"/>
                <w:sz w:val="21"/>
                <w:szCs w:val="21"/>
                <w:highlight w:val="none"/>
              </w:rPr>
              <w:t>注：</w:t>
            </w:r>
            <w:r>
              <w:rPr>
                <w:rFonts w:hint="eastAsia" w:ascii="宋体" w:eastAsia="宋体" w:cs="宋体"/>
                <w:bCs/>
                <w:color w:val="auto"/>
                <w:sz w:val="21"/>
                <w:szCs w:val="21"/>
                <w:highlight w:val="none"/>
                <w:lang w:val="zh-CN"/>
              </w:rPr>
              <w:t>（1）以上技术人员的名单不得重复，</w:t>
            </w:r>
            <w:r>
              <w:rPr>
                <w:rFonts w:hint="eastAsia" w:ascii="宋体" w:eastAsia="宋体" w:cs="宋体"/>
                <w:bCs/>
                <w:color w:val="auto"/>
                <w:sz w:val="21"/>
                <w:szCs w:val="21"/>
                <w:highlight w:val="none"/>
                <w:lang w:val="en-US" w:eastAsia="zh-CN"/>
              </w:rPr>
              <w:t>同一人员不得重复计分</w:t>
            </w:r>
            <w:r>
              <w:rPr>
                <w:rFonts w:hint="eastAsia" w:ascii="宋体" w:eastAsia="宋体" w:cs="宋体"/>
                <w:bCs/>
                <w:color w:val="auto"/>
                <w:sz w:val="21"/>
                <w:szCs w:val="21"/>
                <w:highlight w:val="none"/>
                <w:lang w:val="zh-CN"/>
              </w:rPr>
              <w:t>。</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eastAsia="宋体" w:cs="宋体"/>
                <w:bCs/>
                <w:color w:val="auto"/>
                <w:sz w:val="21"/>
                <w:szCs w:val="21"/>
                <w:highlight w:val="none"/>
                <w:lang w:val="zh-CN"/>
              </w:rPr>
              <w:t>（2）须提供以上人员有效证书及</w:t>
            </w:r>
            <w:r>
              <w:rPr>
                <w:rFonts w:hint="eastAsia" w:ascii="宋体" w:eastAsia="宋体" w:cs="宋体"/>
                <w:bCs/>
                <w:color w:val="auto"/>
                <w:sz w:val="21"/>
                <w:szCs w:val="21"/>
                <w:highlight w:val="none"/>
              </w:rPr>
              <w:t>投标人</w:t>
            </w:r>
            <w:r>
              <w:rPr>
                <w:rFonts w:hint="eastAsia" w:ascii="宋体" w:eastAsia="宋体" w:cs="宋体"/>
                <w:bCs/>
                <w:color w:val="auto"/>
                <w:sz w:val="21"/>
                <w:szCs w:val="21"/>
                <w:highlight w:val="none"/>
                <w:lang w:val="zh-CN"/>
              </w:rPr>
              <w:t>为其缴纳的距开标时间近3个月（不含当月）</w:t>
            </w:r>
            <w:r>
              <w:rPr>
                <w:rFonts w:hint="eastAsia" w:ascii="宋体" w:eastAsia="宋体" w:cs="宋体"/>
                <w:bCs/>
                <w:color w:val="auto"/>
                <w:sz w:val="21"/>
                <w:szCs w:val="21"/>
                <w:highlight w:val="none"/>
              </w:rPr>
              <w:t>投标人</w:t>
            </w:r>
            <w:r>
              <w:rPr>
                <w:rFonts w:hint="eastAsia" w:ascii="宋体" w:eastAsia="宋体" w:cs="宋体"/>
                <w:bCs/>
                <w:color w:val="auto"/>
                <w:sz w:val="21"/>
                <w:szCs w:val="21"/>
                <w:highlight w:val="none"/>
                <w:lang w:val="zh-CN"/>
              </w:rPr>
              <w:t>为其购买的社保证明复印件加盖</w:t>
            </w:r>
            <w:r>
              <w:rPr>
                <w:rFonts w:hint="eastAsia" w:ascii="宋体" w:eastAsia="宋体" w:cs="宋体"/>
                <w:bCs/>
                <w:color w:val="auto"/>
                <w:sz w:val="21"/>
                <w:szCs w:val="21"/>
                <w:highlight w:val="none"/>
              </w:rPr>
              <w:t>投标人</w:t>
            </w:r>
            <w:r>
              <w:rPr>
                <w:rFonts w:hint="eastAsia" w:ascii="宋体" w:eastAsia="宋体" w:cs="宋体"/>
                <w:bCs/>
                <w:color w:val="auto"/>
                <w:sz w:val="21"/>
                <w:szCs w:val="21"/>
                <w:highlight w:val="none"/>
                <w:lang w:val="zh-CN"/>
              </w:rPr>
              <w:t>公章，若因疫情原因暂缓统一托收或阶段性减免社会保险费而导致无法打印社保缴费证明的需提供书面说明并加盖</w:t>
            </w:r>
            <w:r>
              <w:rPr>
                <w:rFonts w:hint="eastAsia" w:ascii="宋体" w:eastAsia="宋体" w:cs="宋体"/>
                <w:bCs/>
                <w:color w:val="auto"/>
                <w:sz w:val="21"/>
                <w:szCs w:val="21"/>
                <w:highlight w:val="none"/>
              </w:rPr>
              <w:t>投标人</w:t>
            </w:r>
            <w:r>
              <w:rPr>
                <w:rFonts w:hint="eastAsia" w:ascii="宋体" w:eastAsia="宋体" w:cs="宋体"/>
                <w:bCs/>
                <w:color w:val="auto"/>
                <w:sz w:val="21"/>
                <w:szCs w:val="21"/>
                <w:highlight w:val="none"/>
                <w:lang w:val="zh-CN"/>
              </w:rPr>
              <w:t>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3"/>
              <w:spacing w:line="340" w:lineRule="exact"/>
              <w:ind w:firstLine="0" w:firstLineChars="0"/>
              <w:jc w:val="center"/>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3</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33"/>
              <w:spacing w:line="340" w:lineRule="exact"/>
              <w:ind w:firstLine="0" w:firstLineChars="0"/>
              <w:jc w:val="center"/>
              <w:rPr>
                <w:rFonts w:hint="eastAsia" w:ascii="宋体" w:eastAsia="宋体" w:cs="宋体"/>
                <w:color w:val="auto"/>
                <w:sz w:val="21"/>
                <w:szCs w:val="21"/>
                <w:highlight w:val="none"/>
              </w:rPr>
            </w:pPr>
            <w:r>
              <w:rPr>
                <w:rFonts w:hint="eastAsia" w:ascii="宋体" w:eastAsia="宋体" w:cs="宋体"/>
                <w:color w:val="auto"/>
                <w:sz w:val="21"/>
                <w:szCs w:val="21"/>
                <w:highlight w:val="none"/>
                <w:lang w:val="en-US" w:eastAsia="zh-CN"/>
              </w:rPr>
              <w:t>技术支持</w:t>
            </w:r>
          </w:p>
        </w:tc>
        <w:tc>
          <w:tcPr>
            <w:tcW w:w="762" w:type="dxa"/>
            <w:tcBorders>
              <w:top w:val="single" w:color="auto" w:sz="4" w:space="0"/>
              <w:left w:val="single" w:color="auto" w:sz="4" w:space="0"/>
              <w:bottom w:val="single" w:color="auto" w:sz="4" w:space="0"/>
              <w:right w:val="single" w:color="auto" w:sz="4" w:space="0"/>
            </w:tcBorders>
            <w:noWrap w:val="0"/>
            <w:vAlign w:val="center"/>
          </w:tcPr>
          <w:p>
            <w:pPr>
              <w:pStyle w:val="33"/>
              <w:spacing w:line="340" w:lineRule="exact"/>
              <w:ind w:firstLine="0" w:firstLineChars="0"/>
              <w:jc w:val="center"/>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5</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根据投标人</w:t>
            </w:r>
            <w:r>
              <w:rPr>
                <w:rFonts w:hint="eastAsia" w:ascii="宋体" w:eastAsia="宋体" w:cs="宋体"/>
                <w:bCs/>
                <w:color w:val="auto"/>
                <w:sz w:val="21"/>
                <w:szCs w:val="21"/>
                <w:highlight w:val="none"/>
                <w:lang w:val="zh-CN"/>
              </w:rPr>
              <w:t>（含其上级、</w:t>
            </w:r>
            <w:r>
              <w:rPr>
                <w:rFonts w:hint="eastAsia" w:ascii="宋体" w:eastAsia="宋体" w:cs="宋体"/>
                <w:bCs/>
                <w:color w:val="auto"/>
                <w:sz w:val="21"/>
                <w:szCs w:val="21"/>
                <w:highlight w:val="none"/>
                <w:lang w:val="en-US" w:eastAsia="zh-CN"/>
              </w:rPr>
              <w:t>下级</w:t>
            </w:r>
            <w:r>
              <w:rPr>
                <w:rFonts w:hint="eastAsia" w:ascii="宋体" w:eastAsia="宋体" w:cs="宋体"/>
                <w:bCs/>
                <w:color w:val="auto"/>
                <w:sz w:val="21"/>
                <w:szCs w:val="21"/>
                <w:highlight w:val="none"/>
                <w:lang w:val="zh-CN"/>
              </w:rPr>
              <w:t>分公司及总公司）</w:t>
            </w:r>
            <w:r>
              <w:rPr>
                <w:rFonts w:hint="eastAsia" w:ascii="宋体" w:hAnsi="宋体" w:eastAsia="宋体" w:cs="宋体"/>
                <w:bCs/>
                <w:color w:val="auto"/>
                <w:sz w:val="21"/>
                <w:szCs w:val="21"/>
                <w:highlight w:val="none"/>
              </w:rPr>
              <w:t>提供的日常巡查维护车，每提供一辆自有车辆的得</w:t>
            </w:r>
            <w:r>
              <w:rPr>
                <w:rFonts w:hint="eastAsia" w:ascii="宋体" w:hAnsi="宋体" w:eastAsia="宋体" w:cs="宋体"/>
                <w:bCs/>
                <w:color w:val="auto"/>
                <w:sz w:val="21"/>
                <w:szCs w:val="21"/>
                <w:highlight w:val="none"/>
                <w:lang w:val="en-US" w:eastAsia="zh-CN"/>
              </w:rPr>
              <w:t>0.5</w:t>
            </w:r>
            <w:r>
              <w:rPr>
                <w:rFonts w:hint="eastAsia" w:ascii="宋体" w:hAnsi="宋体" w:eastAsia="宋体" w:cs="宋体"/>
                <w:bCs/>
                <w:color w:val="auto"/>
                <w:sz w:val="21"/>
                <w:szCs w:val="21"/>
                <w:highlight w:val="none"/>
              </w:rPr>
              <w:t>分，每提供一辆租赁车辆的得</w:t>
            </w:r>
            <w:r>
              <w:rPr>
                <w:rFonts w:hint="eastAsia" w:ascii="宋体" w:hAnsi="宋体" w:eastAsia="宋体" w:cs="宋体"/>
                <w:bCs/>
                <w:color w:val="auto"/>
                <w:sz w:val="21"/>
                <w:szCs w:val="21"/>
                <w:highlight w:val="none"/>
                <w:lang w:val="en-US" w:eastAsia="zh-CN"/>
              </w:rPr>
              <w:t>0.2</w:t>
            </w:r>
            <w:r>
              <w:rPr>
                <w:rFonts w:hint="eastAsia" w:ascii="宋体" w:hAnsi="宋体" w:eastAsia="宋体" w:cs="宋体"/>
                <w:bCs/>
                <w:color w:val="auto"/>
                <w:sz w:val="21"/>
                <w:szCs w:val="21"/>
                <w:highlight w:val="none"/>
              </w:rPr>
              <w:t>分，最高得</w:t>
            </w:r>
            <w:r>
              <w:rPr>
                <w:rFonts w:hint="eastAsia" w:ascii="宋体" w:hAnsi="宋体" w:eastAsia="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分。要求投标人提供的日常巡查维护车中至少有一辆为中型专项作业车辆，否则不予计分。</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（注：所投入的车辆须提供清晰车辆照片、有效的车辆行驶证复印件，租赁车辆的还须同时提供不少于一年有效期租赁合同复印件加盖投标人公章）。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3"/>
              <w:spacing w:line="340" w:lineRule="exact"/>
              <w:ind w:firstLine="0" w:firstLineChars="0"/>
              <w:jc w:val="center"/>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4</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33"/>
              <w:spacing w:line="340" w:lineRule="exact"/>
              <w:ind w:firstLine="0" w:firstLineChars="0"/>
              <w:jc w:val="center"/>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rPr>
              <w:t>项目</w:t>
            </w:r>
            <w:r>
              <w:rPr>
                <w:rFonts w:hint="eastAsia" w:ascii="宋体" w:eastAsia="宋体" w:cs="宋体"/>
                <w:color w:val="auto"/>
                <w:sz w:val="21"/>
                <w:szCs w:val="21"/>
                <w:highlight w:val="none"/>
                <w:lang w:val="en-US" w:eastAsia="zh-CN"/>
              </w:rPr>
              <w:t>理解情况</w:t>
            </w:r>
          </w:p>
        </w:tc>
        <w:tc>
          <w:tcPr>
            <w:tcW w:w="762" w:type="dxa"/>
            <w:tcBorders>
              <w:top w:val="single" w:color="auto" w:sz="4" w:space="0"/>
              <w:left w:val="single" w:color="auto" w:sz="4" w:space="0"/>
              <w:bottom w:val="single" w:color="auto" w:sz="4" w:space="0"/>
              <w:right w:val="single" w:color="auto" w:sz="4" w:space="0"/>
            </w:tcBorders>
            <w:noWrap w:val="0"/>
            <w:vAlign w:val="center"/>
          </w:tcPr>
          <w:p>
            <w:pPr>
              <w:pStyle w:val="33"/>
              <w:spacing w:line="340" w:lineRule="exact"/>
              <w:ind w:firstLine="0" w:firstLineChars="0"/>
              <w:jc w:val="center"/>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根据投标人针对本项目建设提出的</w:t>
            </w:r>
            <w:r>
              <w:rPr>
                <w:rFonts w:hint="eastAsia" w:ascii="宋体" w:hAnsi="宋体" w:eastAsia="宋体" w:cs="宋体"/>
                <w:bCs/>
                <w:color w:val="auto"/>
                <w:sz w:val="21"/>
                <w:szCs w:val="21"/>
                <w:highlight w:val="none"/>
                <w:lang w:val="en-US" w:eastAsia="zh-CN"/>
              </w:rPr>
              <w:t>项目理解</w:t>
            </w:r>
            <w:r>
              <w:rPr>
                <w:rFonts w:hint="eastAsia" w:ascii="宋体" w:hAnsi="宋体" w:eastAsia="宋体" w:cs="宋体"/>
                <w:bCs/>
                <w:color w:val="auto"/>
                <w:sz w:val="21"/>
                <w:szCs w:val="21"/>
                <w:highlight w:val="none"/>
              </w:rPr>
              <w:t>、指挥系统情况，进行</w:t>
            </w:r>
            <w:r>
              <w:rPr>
                <w:rFonts w:hint="eastAsia" w:ascii="宋体" w:hAnsi="宋体" w:eastAsia="宋体" w:cs="宋体"/>
                <w:bCs/>
                <w:color w:val="auto"/>
                <w:sz w:val="21"/>
                <w:szCs w:val="21"/>
                <w:highlight w:val="none"/>
                <w:lang w:val="en-US" w:eastAsia="zh-CN"/>
              </w:rPr>
              <w:t>综合</w:t>
            </w:r>
            <w:r>
              <w:rPr>
                <w:rFonts w:hint="eastAsia" w:ascii="宋体" w:hAnsi="宋体" w:eastAsia="宋体" w:cs="宋体"/>
                <w:bCs/>
                <w:color w:val="auto"/>
                <w:sz w:val="21"/>
                <w:szCs w:val="21"/>
                <w:highlight w:val="none"/>
              </w:rPr>
              <w:t>评分：</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项目理解、指挥系统情况</w:t>
            </w:r>
            <w:r>
              <w:rPr>
                <w:rFonts w:hint="eastAsia" w:ascii="宋体" w:hAnsi="宋体" w:eastAsia="宋体" w:cs="宋体"/>
                <w:bCs/>
                <w:color w:val="auto"/>
                <w:sz w:val="21"/>
                <w:szCs w:val="21"/>
                <w:highlight w:val="none"/>
              </w:rPr>
              <w:t>科学合理、可行性高；指挥系统最符合项目实际情况的，得</w:t>
            </w: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项目理解、指挥系统情况比较科学合理、可行性一般；指挥系统比较符合项目实际情况的，得</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项目理解、指挥系统情况不够科学合理、可行性差；指挥系统未能符合项目实际情况的，得</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 xml:space="preserve">未提供方案不得分。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3"/>
              <w:spacing w:line="340" w:lineRule="exact"/>
              <w:ind w:firstLine="0" w:firstLineChars="0"/>
              <w:jc w:val="center"/>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5</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项目实</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pt-BR"/>
              </w:rPr>
              <w:t>施方案</w:t>
            </w:r>
          </w:p>
        </w:tc>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根据投标人针对本项目制定的项目实施方案进行</w:t>
            </w:r>
            <w:r>
              <w:rPr>
                <w:rFonts w:hint="eastAsia" w:ascii="宋体" w:hAnsi="宋体" w:eastAsia="宋体" w:cs="宋体"/>
                <w:bCs/>
                <w:color w:val="auto"/>
                <w:sz w:val="21"/>
                <w:szCs w:val="21"/>
                <w:highlight w:val="none"/>
                <w:lang w:val="en-US" w:eastAsia="zh-CN"/>
              </w:rPr>
              <w:t>综合</w:t>
            </w:r>
            <w:r>
              <w:rPr>
                <w:rFonts w:hint="eastAsia" w:ascii="宋体" w:hAnsi="宋体" w:eastAsia="宋体" w:cs="宋体"/>
                <w:bCs/>
                <w:color w:val="auto"/>
                <w:sz w:val="21"/>
                <w:szCs w:val="21"/>
                <w:highlight w:val="none"/>
                <w:lang w:val="pt-BR"/>
              </w:rPr>
              <w:t>评分：</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方案完整、</w:t>
            </w:r>
            <w:r>
              <w:rPr>
                <w:rFonts w:hint="eastAsia" w:ascii="宋体" w:hAnsi="宋体" w:eastAsia="宋体" w:cs="宋体"/>
                <w:bCs/>
                <w:color w:val="auto"/>
                <w:sz w:val="21"/>
                <w:szCs w:val="21"/>
                <w:highlight w:val="none"/>
                <w:lang w:val="pt-BR" w:eastAsia="zh-CN"/>
              </w:rPr>
              <w:t>内容丰富、有详细的实施计划与流程，针对性、</w:t>
            </w:r>
            <w:r>
              <w:rPr>
                <w:rFonts w:hint="eastAsia" w:ascii="宋体" w:hAnsi="宋体" w:eastAsia="宋体" w:cs="宋体"/>
                <w:bCs/>
                <w:color w:val="auto"/>
                <w:sz w:val="21"/>
                <w:szCs w:val="21"/>
                <w:highlight w:val="none"/>
                <w:lang w:val="pt-BR"/>
              </w:rPr>
              <w:t>可行性强的，得</w:t>
            </w: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lang w:val="pt-BR"/>
              </w:rPr>
              <w:t>分；</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方案完整，</w:t>
            </w:r>
            <w:r>
              <w:rPr>
                <w:rFonts w:hint="eastAsia" w:ascii="宋体" w:hAnsi="宋体" w:eastAsia="宋体" w:cs="宋体"/>
                <w:bCs/>
                <w:color w:val="auto"/>
                <w:sz w:val="21"/>
                <w:szCs w:val="21"/>
                <w:highlight w:val="none"/>
                <w:lang w:val="pt-BR" w:eastAsia="zh-CN"/>
              </w:rPr>
              <w:t>内容简略</w:t>
            </w:r>
            <w:r>
              <w:rPr>
                <w:rFonts w:hint="eastAsia" w:ascii="宋体" w:hAnsi="宋体" w:eastAsia="宋体" w:cs="宋体"/>
                <w:bCs/>
                <w:color w:val="auto"/>
                <w:sz w:val="21"/>
                <w:szCs w:val="21"/>
                <w:highlight w:val="none"/>
                <w:lang w:val="pt-BR"/>
              </w:rPr>
              <w:t>、</w:t>
            </w:r>
            <w:r>
              <w:rPr>
                <w:rFonts w:hint="eastAsia" w:ascii="宋体" w:hAnsi="宋体" w:eastAsia="宋体" w:cs="宋体"/>
                <w:bCs/>
                <w:color w:val="auto"/>
                <w:sz w:val="21"/>
                <w:szCs w:val="21"/>
                <w:highlight w:val="none"/>
                <w:lang w:val="pt-BR" w:eastAsia="zh-CN"/>
              </w:rPr>
              <w:t>有简单的实施计划与流程，</w:t>
            </w:r>
            <w:r>
              <w:rPr>
                <w:rFonts w:hint="eastAsia" w:ascii="宋体" w:hAnsi="宋体" w:eastAsia="宋体" w:cs="宋体"/>
                <w:bCs/>
                <w:color w:val="auto"/>
                <w:sz w:val="21"/>
                <w:szCs w:val="21"/>
                <w:highlight w:val="none"/>
                <w:lang w:val="pt-BR"/>
              </w:rPr>
              <w:t>针对性、可行性一般，</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lang w:val="pt-BR"/>
              </w:rPr>
              <w:t>分；</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方案存在缺漏</w:t>
            </w:r>
            <w:r>
              <w:rPr>
                <w:rFonts w:hint="eastAsia" w:ascii="宋体" w:hAnsi="宋体" w:eastAsia="宋体" w:cs="宋体"/>
                <w:bCs/>
                <w:color w:val="auto"/>
                <w:sz w:val="21"/>
                <w:szCs w:val="21"/>
                <w:highlight w:val="none"/>
                <w:lang w:val="pt-BR" w:eastAsia="zh-CN"/>
              </w:rPr>
              <w:t>、无实施计划与流程、</w:t>
            </w:r>
            <w:r>
              <w:rPr>
                <w:rFonts w:hint="eastAsia" w:ascii="宋体" w:hAnsi="宋体" w:eastAsia="宋体" w:cs="宋体"/>
                <w:bCs/>
                <w:color w:val="auto"/>
                <w:sz w:val="21"/>
                <w:szCs w:val="21"/>
                <w:highlight w:val="none"/>
                <w:lang w:val="pt-BR"/>
              </w:rPr>
              <w:t>针对性、可行性差，得</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pt-BR"/>
              </w:rPr>
              <w:t>分。</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pt-BR"/>
              </w:rPr>
              <w:t xml:space="preserve">未提供方案不得分。 </w:t>
            </w:r>
            <w:r>
              <w:rPr>
                <w:rFonts w:hint="eastAsia" w:ascii="宋体" w:hAnsi="宋体" w:eastAsia="宋体" w:cs="宋体"/>
                <w:b/>
                <w:color w:val="auto"/>
                <w:sz w:val="21"/>
                <w:szCs w:val="21"/>
                <w:highlight w:val="none"/>
                <w:lang w:val="pt-B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3"/>
              <w:spacing w:line="340" w:lineRule="exact"/>
              <w:ind w:firstLine="0" w:firstLineChars="0"/>
              <w:jc w:val="center"/>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6</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售后服务</w:t>
            </w:r>
            <w:r>
              <w:rPr>
                <w:rFonts w:hint="eastAsia" w:ascii="宋体" w:hAnsi="宋体" w:eastAsia="宋体" w:cs="宋体"/>
                <w:bCs/>
                <w:color w:val="auto"/>
                <w:sz w:val="21"/>
                <w:szCs w:val="21"/>
                <w:highlight w:val="none"/>
                <w:lang w:val="en-US" w:eastAsia="zh-CN"/>
              </w:rPr>
              <w:t>与服务便利性</w:t>
            </w:r>
            <w:r>
              <w:rPr>
                <w:rFonts w:hint="eastAsia" w:ascii="宋体" w:hAnsi="宋体" w:eastAsia="宋体" w:cs="宋体"/>
                <w:bCs/>
                <w:color w:val="auto"/>
                <w:sz w:val="21"/>
                <w:szCs w:val="21"/>
                <w:highlight w:val="none"/>
              </w:rPr>
              <w:t>方案</w:t>
            </w:r>
          </w:p>
        </w:tc>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根据投标人针对本项目提供的售后服务与服务便利性方案进行</w:t>
            </w:r>
            <w:r>
              <w:rPr>
                <w:rFonts w:hint="eastAsia" w:ascii="宋体" w:hAnsi="宋体" w:eastAsia="宋体" w:cs="宋体"/>
                <w:bCs/>
                <w:color w:val="auto"/>
                <w:sz w:val="21"/>
                <w:szCs w:val="21"/>
                <w:highlight w:val="none"/>
                <w:lang w:val="en-US" w:eastAsia="zh-CN"/>
              </w:rPr>
              <w:t>综合</w:t>
            </w:r>
            <w:r>
              <w:rPr>
                <w:rFonts w:hint="eastAsia" w:ascii="宋体" w:hAnsi="宋体" w:eastAsia="宋体" w:cs="宋体"/>
                <w:bCs/>
                <w:color w:val="auto"/>
                <w:sz w:val="21"/>
                <w:szCs w:val="21"/>
                <w:highlight w:val="none"/>
                <w:lang w:val="pt-BR"/>
              </w:rPr>
              <w:t>评分：</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方案完整</w:t>
            </w:r>
            <w:r>
              <w:rPr>
                <w:rFonts w:hint="eastAsia" w:ascii="宋体" w:hAnsi="宋体" w:eastAsia="宋体" w:cs="宋体"/>
                <w:bCs/>
                <w:color w:val="auto"/>
                <w:sz w:val="21"/>
                <w:szCs w:val="21"/>
                <w:highlight w:val="none"/>
                <w:lang w:val="pt-BR" w:eastAsia="zh-CN"/>
              </w:rPr>
              <w:t>合理且有详细的售后服务与服务便利性标准</w:t>
            </w:r>
            <w:r>
              <w:rPr>
                <w:rFonts w:hint="eastAsia" w:ascii="宋体" w:hAnsi="宋体" w:eastAsia="宋体" w:cs="宋体"/>
                <w:bCs/>
                <w:color w:val="auto"/>
                <w:sz w:val="21"/>
                <w:szCs w:val="21"/>
                <w:highlight w:val="none"/>
                <w:lang w:val="pt-BR"/>
              </w:rPr>
              <w:t>，满足用户要求，得</w:t>
            </w: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lang w:val="pt-BR"/>
              </w:rPr>
              <w:t>分；</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方案完整、</w:t>
            </w:r>
            <w:r>
              <w:rPr>
                <w:rFonts w:hint="eastAsia" w:ascii="宋体" w:hAnsi="宋体" w:eastAsia="宋体" w:cs="宋体"/>
                <w:bCs/>
                <w:color w:val="auto"/>
                <w:sz w:val="21"/>
                <w:szCs w:val="21"/>
                <w:highlight w:val="none"/>
                <w:lang w:val="pt-BR" w:eastAsia="zh-CN"/>
              </w:rPr>
              <w:t>有简单的服务标准与服务便利性</w:t>
            </w:r>
            <w:r>
              <w:rPr>
                <w:rFonts w:hint="eastAsia" w:ascii="宋体" w:hAnsi="宋体" w:eastAsia="宋体" w:cs="宋体"/>
                <w:bCs/>
                <w:color w:val="auto"/>
                <w:sz w:val="21"/>
                <w:szCs w:val="21"/>
                <w:highlight w:val="none"/>
                <w:lang w:val="en-US" w:eastAsia="zh-CN"/>
              </w:rPr>
              <w:t>标准</w:t>
            </w:r>
            <w:r>
              <w:rPr>
                <w:rFonts w:hint="eastAsia" w:ascii="宋体" w:hAnsi="宋体" w:eastAsia="宋体" w:cs="宋体"/>
                <w:bCs/>
                <w:color w:val="auto"/>
                <w:sz w:val="21"/>
                <w:szCs w:val="21"/>
                <w:highlight w:val="none"/>
                <w:lang w:val="pt-BR" w:eastAsia="zh-CN"/>
              </w:rPr>
              <w:t>、合理性一般</w:t>
            </w:r>
            <w:r>
              <w:rPr>
                <w:rFonts w:hint="eastAsia" w:ascii="宋体" w:hAnsi="宋体" w:eastAsia="宋体" w:cs="宋体"/>
                <w:bCs/>
                <w:color w:val="auto"/>
                <w:sz w:val="21"/>
                <w:szCs w:val="21"/>
                <w:highlight w:val="none"/>
                <w:lang w:val="pt-BR"/>
              </w:rPr>
              <w:t>，基本符合用户要求，得</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lang w:val="pt-BR"/>
              </w:rPr>
              <w:t>分；</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方案不完整、</w:t>
            </w:r>
            <w:r>
              <w:rPr>
                <w:rFonts w:hint="eastAsia" w:ascii="宋体" w:hAnsi="宋体" w:eastAsia="宋体" w:cs="宋体"/>
                <w:bCs/>
                <w:color w:val="auto"/>
                <w:sz w:val="21"/>
                <w:szCs w:val="21"/>
                <w:highlight w:val="none"/>
                <w:lang w:val="pt-BR" w:eastAsia="zh-CN"/>
              </w:rPr>
              <w:t>不合理、</w:t>
            </w:r>
            <w:r>
              <w:rPr>
                <w:rFonts w:hint="eastAsia" w:ascii="宋体" w:hAnsi="宋体" w:eastAsia="宋体" w:cs="宋体"/>
                <w:bCs/>
                <w:color w:val="auto"/>
                <w:sz w:val="21"/>
                <w:szCs w:val="21"/>
                <w:highlight w:val="none"/>
                <w:lang w:val="pt-BR"/>
              </w:rPr>
              <w:t>不符合招标文件要求，得</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pt-BR"/>
              </w:rPr>
              <w:t>分；</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pt-BR"/>
              </w:rPr>
              <w:t>未提供方案不得分。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9" w:hRule="atLeast"/>
          <w:jc w:val="center"/>
        </w:trPr>
        <w:tc>
          <w:tcPr>
            <w:tcW w:w="8522" w:type="dxa"/>
            <w:gridSpan w:val="4"/>
            <w:tcBorders>
              <w:top w:val="single" w:color="auto" w:sz="4" w:space="0"/>
              <w:left w:val="single" w:color="auto" w:sz="4" w:space="0"/>
              <w:bottom w:val="single" w:color="auto" w:sz="4" w:space="0"/>
              <w:right w:val="single" w:color="auto" w:sz="4" w:space="0"/>
            </w:tcBorders>
            <w:noWrap w:val="0"/>
            <w:vAlign w:val="center"/>
          </w:tcPr>
          <w:p>
            <w:pPr>
              <w:widowControl w:val="0"/>
              <w:tabs>
                <w:tab w:val="left" w:pos="907"/>
              </w:tabs>
              <w:adjustRightInd/>
              <w:snapToGrid/>
              <w:spacing w:after="0" w:line="360" w:lineRule="exact"/>
              <w:ind w:firstLine="422" w:firstLineChars="200"/>
              <w:jc w:val="both"/>
              <w:rPr>
                <w:rFonts w:hint="eastAsia" w:ascii="宋体" w:hAnsi="宋体" w:eastAsia="宋体"/>
                <w:b/>
                <w:color w:val="auto"/>
                <w:sz w:val="21"/>
                <w:szCs w:val="21"/>
                <w:highlight w:val="none"/>
              </w:rPr>
            </w:pPr>
            <w:r>
              <w:rPr>
                <w:rFonts w:hint="eastAsia" w:ascii="宋体" w:hAnsi="宋体" w:eastAsia="宋体"/>
                <w:b/>
                <w:color w:val="auto"/>
                <w:sz w:val="21"/>
                <w:szCs w:val="21"/>
                <w:highlight w:val="none"/>
              </w:rPr>
              <w:t>注：</w:t>
            </w:r>
          </w:p>
          <w:p>
            <w:pPr>
              <w:widowControl w:val="0"/>
              <w:tabs>
                <w:tab w:val="left" w:pos="907"/>
              </w:tabs>
              <w:adjustRightInd/>
              <w:snapToGrid/>
              <w:spacing w:after="0" w:line="360" w:lineRule="exact"/>
              <w:ind w:firstLine="422" w:firstLineChars="200"/>
              <w:jc w:val="both"/>
              <w:rPr>
                <w:rFonts w:hint="eastAsia" w:ascii="宋体" w:hAnsi="宋体" w:eastAsia="宋体"/>
                <w:b/>
                <w:color w:val="auto"/>
                <w:sz w:val="21"/>
                <w:szCs w:val="21"/>
                <w:highlight w:val="none"/>
              </w:rPr>
            </w:pPr>
            <w:r>
              <w:rPr>
                <w:rFonts w:hint="eastAsia" w:ascii="宋体" w:hAnsi="宋体" w:eastAsia="宋体"/>
                <w:b/>
                <w:color w:val="auto"/>
                <w:sz w:val="21"/>
                <w:szCs w:val="21"/>
                <w:highlight w:val="none"/>
              </w:rPr>
              <w:t>（1）无特殊说明外，以上评审项，同一证明文件不重复计分。</w:t>
            </w:r>
          </w:p>
          <w:p>
            <w:pPr>
              <w:widowControl w:val="0"/>
              <w:tabs>
                <w:tab w:val="left" w:pos="907"/>
              </w:tabs>
              <w:adjustRightInd/>
              <w:snapToGrid/>
              <w:spacing w:after="0" w:line="360" w:lineRule="exact"/>
              <w:ind w:firstLine="422" w:firstLineChars="200"/>
              <w:jc w:val="both"/>
              <w:rPr>
                <w:rFonts w:hint="eastAsia" w:ascii="宋体" w:eastAsia="宋体" w:cs="宋体"/>
                <w:color w:val="auto"/>
                <w:sz w:val="21"/>
                <w:szCs w:val="21"/>
                <w:highlight w:val="none"/>
              </w:rPr>
            </w:pPr>
            <w:r>
              <w:rPr>
                <w:rFonts w:hint="eastAsia" w:ascii="宋体" w:hAnsi="宋体" w:eastAsia="宋体"/>
                <w:b/>
                <w:color w:val="auto"/>
                <w:sz w:val="21"/>
                <w:szCs w:val="21"/>
                <w:highlight w:val="none"/>
              </w:rPr>
              <w:t>（2）投标人根据以上评分要求提供的</w:t>
            </w:r>
            <w:r>
              <w:rPr>
                <w:rFonts w:hint="eastAsia" w:ascii="宋体" w:hAnsi="宋体" w:eastAsia="宋体"/>
                <w:b/>
                <w:color w:val="auto"/>
                <w:sz w:val="21"/>
                <w:szCs w:val="21"/>
                <w:highlight w:val="none"/>
                <w:lang w:eastAsia="zh-CN"/>
              </w:rPr>
              <w:t>投标材料</w:t>
            </w:r>
            <w:r>
              <w:rPr>
                <w:rFonts w:hint="eastAsia" w:ascii="宋体" w:hAnsi="宋体" w:eastAsia="宋体"/>
                <w:b/>
                <w:color w:val="auto"/>
                <w:sz w:val="21"/>
                <w:szCs w:val="21"/>
                <w:highlight w:val="none"/>
              </w:rPr>
              <w:t>因模糊不清导致评标委员会无法清晰辨认进行评审的，</w:t>
            </w:r>
            <w:r>
              <w:rPr>
                <w:rFonts w:hint="eastAsia" w:ascii="宋体" w:hAnsi="宋体" w:eastAsia="宋体"/>
                <w:b/>
                <w:color w:val="auto"/>
                <w:sz w:val="21"/>
                <w:szCs w:val="21"/>
                <w:highlight w:val="none"/>
                <w:lang w:eastAsia="zh-CN"/>
              </w:rPr>
              <w:t>视为无效材料</w:t>
            </w:r>
            <w:r>
              <w:rPr>
                <w:rFonts w:hint="eastAsia" w:ascii="宋体" w:hAnsi="宋体" w:eastAsia="宋体"/>
                <w:b/>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4"/>
            <w:tcBorders>
              <w:top w:val="single" w:color="auto" w:sz="4" w:space="0"/>
              <w:left w:val="single" w:color="auto" w:sz="4" w:space="0"/>
              <w:bottom w:val="single" w:color="auto" w:sz="4" w:space="0"/>
              <w:right w:val="single" w:color="auto" w:sz="4" w:space="0"/>
            </w:tcBorders>
            <w:noWrap w:val="0"/>
            <w:vAlign w:val="center"/>
          </w:tcPr>
          <w:p>
            <w:pPr>
              <w:pStyle w:val="33"/>
              <w:spacing w:line="340" w:lineRule="exact"/>
              <w:ind w:firstLine="0" w:firstLineChars="0"/>
              <w:jc w:val="center"/>
              <w:rPr>
                <w:rFonts w:hint="eastAsia" w:ascii="宋体" w:eastAsia="宋体" w:cs="宋体"/>
                <w:color w:val="auto"/>
                <w:sz w:val="21"/>
                <w:szCs w:val="21"/>
                <w:highlight w:val="none"/>
                <w:lang w:val="zh-CN" w:eastAsia="zh-CN"/>
              </w:rPr>
            </w:pPr>
            <w:r>
              <w:rPr>
                <w:rFonts w:hint="eastAsia" w:ascii="宋体" w:eastAsia="宋体" w:cs="宋体"/>
                <w:color w:val="auto"/>
                <w:sz w:val="21"/>
                <w:szCs w:val="21"/>
                <w:highlight w:val="none"/>
              </w:rPr>
              <w:t>价格评审</w:t>
            </w:r>
            <w:r>
              <w:rPr>
                <w:rFonts w:hint="eastAsia" w:ascii="宋体" w:eastAsia="宋体" w:cs="宋体"/>
                <w:color w:val="auto"/>
                <w:sz w:val="21"/>
                <w:szCs w:val="21"/>
                <w:highlight w:val="none"/>
                <w:lang w:eastAsia="zh-CN"/>
              </w:rPr>
              <w:t>（</w:t>
            </w:r>
            <w:r>
              <w:rPr>
                <w:rFonts w:hint="eastAsia" w:ascii="宋体" w:eastAsia="宋体" w:cs="宋体"/>
                <w:color w:val="auto"/>
                <w:sz w:val="21"/>
                <w:szCs w:val="21"/>
                <w:highlight w:val="none"/>
                <w:lang w:val="en-US" w:eastAsia="zh-CN"/>
              </w:rPr>
              <w:t>30</w:t>
            </w:r>
            <w:r>
              <w:rPr>
                <w:rFonts w:hint="eastAsia" w:ascii="宋体" w:eastAsia="宋体" w:cs="宋体"/>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3"/>
              <w:spacing w:line="340" w:lineRule="exact"/>
              <w:ind w:firstLine="0" w:firstLineChars="0"/>
              <w:jc w:val="center"/>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7832" w:type="dxa"/>
            <w:gridSpan w:val="3"/>
            <w:tcBorders>
              <w:top w:val="single" w:color="auto" w:sz="4" w:space="0"/>
              <w:left w:val="single" w:color="auto" w:sz="4" w:space="0"/>
              <w:bottom w:val="single" w:color="auto" w:sz="4" w:space="0"/>
              <w:right w:val="single" w:color="auto" w:sz="4" w:space="0"/>
            </w:tcBorders>
            <w:noWrap w:val="0"/>
            <w:vAlign w:val="center"/>
          </w:tcPr>
          <w:p>
            <w:pPr>
              <w:widowControl w:val="0"/>
              <w:tabs>
                <w:tab w:val="left" w:pos="907"/>
              </w:tabs>
              <w:adjustRightInd/>
              <w:snapToGrid/>
              <w:spacing w:after="0" w:line="360" w:lineRule="auto"/>
              <w:ind w:firstLine="420" w:firstLineChars="20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价格分计算方法：满足招标文件要求且投标价格最低的投标报价为评标基准价，其价格分为满分。其他投标人的价格分统一按照下列公式计算：</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投标报价得分=(评标基准价／投标报价)×价格权值</w:t>
            </w:r>
          </w:p>
        </w:tc>
      </w:tr>
    </w:tbl>
    <w:p>
      <w:pPr>
        <w:pStyle w:val="4"/>
        <w:spacing w:before="0" w:after="0" w:line="240" w:lineRule="auto"/>
        <w:rPr>
          <w:color w:val="auto"/>
          <w:sz w:val="36"/>
          <w:szCs w:val="36"/>
          <w:highlight w:val="none"/>
        </w:rPr>
      </w:pPr>
      <w:r>
        <w:rPr>
          <w:rFonts w:hint="eastAsia"/>
          <w:color w:val="auto"/>
          <w:sz w:val="28"/>
          <w:szCs w:val="28"/>
          <w:highlight w:val="none"/>
        </w:rPr>
        <w:br w:type="page"/>
      </w:r>
      <w:bookmarkStart w:id="3" w:name="_Toc31854"/>
      <w:r>
        <w:rPr>
          <w:rFonts w:hint="eastAsia"/>
          <w:color w:val="auto"/>
          <w:sz w:val="28"/>
          <w:szCs w:val="28"/>
          <w:highlight w:val="none"/>
        </w:rPr>
        <w:t>第三部分 用户需求书</w:t>
      </w:r>
      <w:bookmarkEnd w:id="3"/>
    </w:p>
    <w:p>
      <w:pPr>
        <w:pStyle w:val="30"/>
        <w:numPr>
          <w:ilvl w:val="0"/>
          <w:numId w:val="0"/>
        </w:numPr>
        <w:spacing w:after="0" w:line="360" w:lineRule="auto"/>
        <w:ind w:leftChars="0"/>
        <w:jc w:val="center"/>
        <w:rPr>
          <w:rFonts w:hint="default" w:ascii="宋体" w:hAnsi="宋体" w:eastAsia="宋体" w:cs="宋体"/>
          <w:b/>
          <w:color w:val="auto"/>
          <w:sz w:val="28"/>
          <w:szCs w:val="28"/>
          <w:highlight w:val="none"/>
          <w:lang w:val="en-US" w:eastAsia="zh-CN"/>
        </w:rPr>
      </w:pPr>
      <w:bookmarkStart w:id="4" w:name="_Toc24679"/>
      <w:bookmarkStart w:id="5" w:name="_Toc13112"/>
      <w:bookmarkStart w:id="6" w:name="_Toc14462"/>
      <w:bookmarkStart w:id="7" w:name="_Toc31278"/>
      <w:r>
        <w:rPr>
          <w:rFonts w:hint="eastAsia" w:ascii="宋体" w:hAnsi="宋体" w:eastAsia="宋体" w:cs="宋体"/>
          <w:b/>
          <w:color w:val="auto"/>
          <w:sz w:val="28"/>
          <w:szCs w:val="28"/>
          <w:highlight w:val="none"/>
          <w:lang w:val="en-US" w:eastAsia="zh-CN"/>
        </w:rPr>
        <w:t>用户需求明细</w:t>
      </w:r>
    </w:p>
    <w:p>
      <w:pPr>
        <w:pStyle w:val="5"/>
        <w:keepNext/>
        <w:keepLines/>
        <w:pageBreakBefore w:val="0"/>
        <w:widowControl/>
        <w:kinsoku/>
        <w:wordWrap/>
        <w:overflowPunct/>
        <w:topLinePunct w:val="0"/>
        <w:autoSpaceDE/>
        <w:autoSpaceDN/>
        <w:bidi w:val="0"/>
        <w:adjustRightInd w:val="0"/>
        <w:snapToGrid w:val="0"/>
        <w:spacing w:after="0"/>
        <w:textAlignment w:val="auto"/>
        <w:rPr>
          <w:rFonts w:hint="eastAsia"/>
          <w:color w:val="auto"/>
          <w:highlight w:val="none"/>
        </w:rPr>
      </w:pPr>
      <w:r>
        <w:rPr>
          <w:rFonts w:hint="eastAsia"/>
          <w:color w:val="auto"/>
          <w:highlight w:val="none"/>
          <w:lang w:val="en-US" w:eastAsia="zh-CN"/>
        </w:rPr>
        <w:t>一、项目背景</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国内汽车保有量的不断攀升以及国内停车位仍然存在极大缺口的背景下，“停车难、停车乱”已成为交通拥堵的主要原因之一，当前除限行、限牌外，智能停车是解决交通拥堵的重要手段。同时，根据“国家畅通工程”（公交管[2005]173 号）的考评要求，每 100 辆机动车应拥有 45 个公共停车位；而国际通行标准城市的机动车保有量与停车位总数之比最低应为 1：1.2；所以国内停车位数量不论按何种标准都存在极大的缺口，大型城市需求尤其明显。</w:t>
      </w:r>
    </w:p>
    <w:p>
      <w:pPr>
        <w:spacing w:after="0" w:line="360" w:lineRule="auto"/>
        <w:ind w:firstLine="420" w:firstLineChars="200"/>
        <w:rPr>
          <w:rFonts w:hint="eastAsia" w:ascii="宋体" w:hAnsi="宋体" w:eastAsia="宋体" w:cs="宋体"/>
          <w:color w:val="auto"/>
          <w:sz w:val="21"/>
          <w:szCs w:val="21"/>
          <w:highlight w:val="none"/>
        </w:rPr>
      </w:pPr>
    </w:p>
    <w:p>
      <w:pPr>
        <w:pStyle w:val="5"/>
        <w:keepNext/>
        <w:keepLines/>
        <w:pageBreakBefore w:val="0"/>
        <w:widowControl/>
        <w:kinsoku/>
        <w:wordWrap/>
        <w:overflowPunct/>
        <w:topLinePunct w:val="0"/>
        <w:autoSpaceDE/>
        <w:autoSpaceDN/>
        <w:bidi w:val="0"/>
        <w:adjustRightInd w:val="0"/>
        <w:snapToGrid w:val="0"/>
        <w:spacing w:after="0"/>
        <w:textAlignment w:val="auto"/>
        <w:rPr>
          <w:rFonts w:hint="eastAsia" w:eastAsia="宋体"/>
          <w:color w:val="auto"/>
          <w:highlight w:val="none"/>
          <w:lang w:val="en-US" w:eastAsia="zh-CN"/>
        </w:rPr>
      </w:pPr>
      <w:r>
        <w:rPr>
          <w:rFonts w:hint="eastAsia" w:eastAsia="宋体"/>
          <w:color w:val="auto"/>
          <w:highlight w:val="none"/>
          <w:lang w:val="en-US" w:eastAsia="zh-CN"/>
        </w:rPr>
        <w:t>二、项目概况</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横沥镇村尾村位于横沥镇的东南部，地理位置优越。辖区总共面积为2.6平方公里，下辖3个村民小组，户籍人口及外来人口近万人。目前该村拥有多家企业，包括外资企业和民营企业。辖区内城市化建设规划合理，绿化率高，营造了良好的投资环境和生活环境，是集商业、工业、教育、医疗、居住为一体的现代化新农村。</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村尾村在大力发展经济同时，更致力于大量投入建设基础设施、交通、水电、通信等基础设施配套完善，创造良好投资环境，经济稳步发展的同时提高村民的生活水平，具体体现如下：</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拥有发达的交通，拥有市联网路、镇主干道等枢纽，到镇中心只需要5分钟车程，距东莞站（即原常平火车站）只需要十分钟车程，而且位置靠近东部快速路出入口，是投资、置业的好地方。镇新汽车总站位于我村振兴路，站内设有长短途客运线路，交通十分便捷。</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、村内设有多个医疗站点，为群众提供便捷、优质的服务。</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、镇政府已在我村设立中心文化区，并设有幼儿园、镇第二小学，新横沥中学也计划在今年内落成，不久我村将具有幼儿教育、小学、中学完善的教育设施。</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、村尾村具备一支有组织纪律的治安队伍，24小时轮班巡逻，夜间路口对车辆及行为设卡站岗，全力保障群众的生产、生活安全。</w:t>
      </w:r>
    </w:p>
    <w:p>
      <w:pPr>
        <w:spacing w:after="0"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5、村尾村原来已经建设的具体情况：1.蓓蕾路口、双岔路口、龙子路、振兴路、振兴二路等路口共计五进五出车牌自动识别的车辆出入管理系统；2.路侧及部分停车区域的车位划线及通道划线。具体点位图如下：</w:t>
      </w:r>
    </w:p>
    <w:p>
      <w:pPr>
        <w:pStyle w:val="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5206365" cy="3432175"/>
            <wp:effectExtent l="0" t="0" r="13335" b="1587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0"/>
                    <a:stretch>
                      <a:fillRect/>
                    </a:stretch>
                  </pic:blipFill>
                  <pic:spPr>
                    <a:xfrm>
                      <a:off x="0" y="0"/>
                      <a:ext cx="5206365" cy="3432175"/>
                    </a:xfrm>
                    <a:prstGeom prst="rect">
                      <a:avLst/>
                    </a:prstGeom>
                    <a:noFill/>
                    <a:ln>
                      <a:noFill/>
                    </a:ln>
                  </pic:spPr>
                </pic:pic>
              </a:graphicData>
            </a:graphic>
          </wp:inline>
        </w:drawing>
      </w:r>
    </w:p>
    <w:p>
      <w:pPr>
        <w:pStyle w:val="8"/>
        <w:rPr>
          <w:rFonts w:hint="eastAsia" w:ascii="宋体" w:hAnsi="宋体" w:eastAsia="宋体" w:cs="宋体"/>
          <w:color w:val="auto"/>
          <w:sz w:val="21"/>
          <w:szCs w:val="21"/>
          <w:highlight w:val="none"/>
        </w:rPr>
      </w:pPr>
    </w:p>
    <w:p>
      <w:pPr>
        <w:pStyle w:val="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5482590" cy="3662680"/>
            <wp:effectExtent l="0" t="0" r="3810" b="1397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1"/>
                    <a:stretch>
                      <a:fillRect/>
                    </a:stretch>
                  </pic:blipFill>
                  <pic:spPr>
                    <a:xfrm>
                      <a:off x="0" y="0"/>
                      <a:ext cx="5482590" cy="3662680"/>
                    </a:xfrm>
                    <a:prstGeom prst="rect">
                      <a:avLst/>
                    </a:prstGeom>
                    <a:noFill/>
                    <a:ln>
                      <a:noFill/>
                    </a:ln>
                  </pic:spPr>
                </pic:pic>
              </a:graphicData>
            </a:graphic>
          </wp:inline>
        </w:drawing>
      </w:r>
    </w:p>
    <w:p>
      <w:pPr>
        <w:pStyle w:val="8"/>
        <w:keepNext w:val="0"/>
        <w:keepLines w:val="0"/>
        <w:pageBreakBefore w:val="0"/>
        <w:widowControl/>
        <w:kinsoku/>
        <w:wordWrap/>
        <w:overflowPunct/>
        <w:topLinePunct w:val="0"/>
        <w:autoSpaceDE/>
        <w:autoSpaceDN/>
        <w:bidi w:val="0"/>
        <w:adjustRightInd w:val="0"/>
        <w:snapToGrid w:val="0"/>
        <w:spacing w:before="0" w:after="0" w:line="360" w:lineRule="auto"/>
        <w:ind w:lef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为保障本村村民车辆轻松、自由出入，且在本村有位可停，拟对本村停车位实行有偿使用。其中，本村村民车辆免费出入。</w:t>
      </w:r>
      <w:r>
        <w:rPr>
          <w:rFonts w:hint="eastAsia" w:ascii="宋体" w:hAnsi="宋体" w:eastAsia="宋体" w:cs="宋体"/>
          <w:color w:val="auto"/>
          <w:sz w:val="21"/>
          <w:szCs w:val="21"/>
          <w:highlight w:val="none"/>
          <w:lang w:val="en-US" w:eastAsia="zh-CN"/>
        </w:rPr>
        <w:t>因此现在对横沥村尾村增设三个重要出入路口，共增设4套车牌识别系统，具体分别在博诚堂药店路口增设无人值守一进一出的车牌识别系统、水边桥路口增设一套道闸同时进出的车牌识别系统，桃源路路口增设无人值守二进二出的车牌识别系统。具体点位图如下:</w:t>
      </w:r>
    </w:p>
    <w:p>
      <w:pPr>
        <w:pStyle w:val="8"/>
        <w:keepNext w:val="0"/>
        <w:keepLines w:val="0"/>
        <w:pageBreakBefore w:val="0"/>
        <w:widowControl/>
        <w:kinsoku/>
        <w:wordWrap/>
        <w:overflowPunct/>
        <w:topLinePunct w:val="0"/>
        <w:autoSpaceDE/>
        <w:autoSpaceDN/>
        <w:bidi w:val="0"/>
        <w:adjustRightInd w:val="0"/>
        <w:snapToGrid w:val="0"/>
        <w:spacing w:before="0" w:after="0" w:line="360" w:lineRule="auto"/>
        <w:ind w:lef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drawing>
          <wp:inline distT="0" distB="0" distL="114300" distR="114300">
            <wp:extent cx="4796790" cy="4893310"/>
            <wp:effectExtent l="0" t="0" r="3810" b="2540"/>
            <wp:docPr id="6" name="图片 3" descr="微信图片_2021062916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微信图片_20210629162527"/>
                    <pic:cNvPicPr>
                      <a:picLocks noChangeAspect="1"/>
                    </pic:cNvPicPr>
                  </pic:nvPicPr>
                  <pic:blipFill>
                    <a:blip r:embed="rId12"/>
                    <a:stretch>
                      <a:fillRect/>
                    </a:stretch>
                  </pic:blipFill>
                  <pic:spPr>
                    <a:xfrm>
                      <a:off x="0" y="0"/>
                      <a:ext cx="4796790" cy="4893310"/>
                    </a:xfrm>
                    <a:prstGeom prst="rect">
                      <a:avLst/>
                    </a:prstGeom>
                    <a:noFill/>
                    <a:ln>
                      <a:noFill/>
                    </a:ln>
                  </pic:spPr>
                </pic:pic>
              </a:graphicData>
            </a:graphic>
          </wp:inline>
        </w:drawing>
      </w:r>
    </w:p>
    <w:p>
      <w:pPr>
        <w:pStyle w:val="8"/>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drawing>
          <wp:inline distT="0" distB="0" distL="114300" distR="114300">
            <wp:extent cx="5263515" cy="3719830"/>
            <wp:effectExtent l="0" t="0" r="13335" b="13970"/>
            <wp:docPr id="4" name="图片 4" descr="村尾村新增(1)-模型.pdf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村尾村新增(1)-模型.pdf1_1"/>
                    <pic:cNvPicPr>
                      <a:picLocks noChangeAspect="1"/>
                    </pic:cNvPicPr>
                  </pic:nvPicPr>
                  <pic:blipFill>
                    <a:blip r:embed="rId13"/>
                    <a:stretch>
                      <a:fillRect/>
                    </a:stretch>
                  </pic:blipFill>
                  <pic:spPr>
                    <a:xfrm>
                      <a:off x="0" y="0"/>
                      <a:ext cx="5263515" cy="3719830"/>
                    </a:xfrm>
                    <a:prstGeom prst="rect">
                      <a:avLst/>
                    </a:prstGeom>
                    <a:noFill/>
                    <a:ln>
                      <a:noFill/>
                    </a:ln>
                  </pic:spPr>
                </pic:pic>
              </a:graphicData>
            </a:graphic>
          </wp:inline>
        </w:drawing>
      </w:r>
    </w:p>
    <w:p>
      <w:pPr>
        <w:pStyle w:val="8"/>
        <w:rPr>
          <w:rFonts w:hint="eastAsia" w:ascii="宋体" w:hAnsi="宋体" w:eastAsia="宋体" w:cs="宋体"/>
          <w:color w:val="auto"/>
          <w:sz w:val="21"/>
          <w:szCs w:val="21"/>
          <w:highlight w:val="none"/>
          <w:lang w:val="en-US" w:eastAsia="zh-CN"/>
        </w:rPr>
      </w:pPr>
    </w:p>
    <w:p>
      <w:pPr>
        <w:pStyle w:val="8"/>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drawing>
          <wp:inline distT="0" distB="0" distL="114300" distR="114300">
            <wp:extent cx="5263515" cy="3719830"/>
            <wp:effectExtent l="0" t="0" r="13335" b="13970"/>
            <wp:docPr id="7" name="图片 5" descr="村尾村新增(1)-模型.pdf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村尾村新增(1)-模型.pdf2_1"/>
                    <pic:cNvPicPr>
                      <a:picLocks noChangeAspect="1"/>
                    </pic:cNvPicPr>
                  </pic:nvPicPr>
                  <pic:blipFill>
                    <a:blip r:embed="rId14"/>
                    <a:stretch>
                      <a:fillRect/>
                    </a:stretch>
                  </pic:blipFill>
                  <pic:spPr>
                    <a:xfrm>
                      <a:off x="0" y="0"/>
                      <a:ext cx="5263515" cy="3719830"/>
                    </a:xfrm>
                    <a:prstGeom prst="rect">
                      <a:avLst/>
                    </a:prstGeom>
                    <a:noFill/>
                    <a:ln>
                      <a:noFill/>
                    </a:ln>
                  </pic:spPr>
                </pic:pic>
              </a:graphicData>
            </a:graphic>
          </wp:inline>
        </w:drawing>
      </w:r>
    </w:p>
    <w:p>
      <w:pPr>
        <w:pStyle w:val="8"/>
        <w:rPr>
          <w:rFonts w:hint="eastAsia" w:ascii="宋体" w:hAnsi="宋体" w:eastAsia="宋体" w:cs="宋体"/>
          <w:color w:val="auto"/>
          <w:sz w:val="21"/>
          <w:szCs w:val="21"/>
          <w:highlight w:val="none"/>
          <w:lang w:val="en-US" w:eastAsia="zh-CN"/>
        </w:rPr>
      </w:pPr>
    </w:p>
    <w:p>
      <w:pPr>
        <w:pStyle w:val="8"/>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drawing>
          <wp:inline distT="0" distB="0" distL="114300" distR="114300">
            <wp:extent cx="5263515" cy="3719830"/>
            <wp:effectExtent l="0" t="0" r="13335" b="13970"/>
            <wp:docPr id="5" name="图片 6" descr="村尾村新增(1)-模型.pdf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村尾村新增(1)-模型.pdf3_1"/>
                    <pic:cNvPicPr>
                      <a:picLocks noChangeAspect="1"/>
                    </pic:cNvPicPr>
                  </pic:nvPicPr>
                  <pic:blipFill>
                    <a:blip r:embed="rId15"/>
                    <a:stretch>
                      <a:fillRect/>
                    </a:stretch>
                  </pic:blipFill>
                  <pic:spPr>
                    <a:xfrm>
                      <a:off x="0" y="0"/>
                      <a:ext cx="5263515" cy="3719830"/>
                    </a:xfrm>
                    <a:prstGeom prst="rect">
                      <a:avLst/>
                    </a:prstGeom>
                    <a:noFill/>
                    <a:ln>
                      <a:noFill/>
                    </a:ln>
                  </pic:spPr>
                </pic:pic>
              </a:graphicData>
            </a:graphic>
          </wp:inline>
        </w:drawing>
      </w:r>
    </w:p>
    <w:p>
      <w:pPr>
        <w:bidi w:val="0"/>
        <w:rPr>
          <w:rFonts w:hint="eastAsia"/>
          <w:color w:val="auto"/>
          <w:highlight w:val="none"/>
          <w:lang w:val="en-US" w:eastAsia="zh-CN"/>
        </w:rPr>
      </w:pPr>
    </w:p>
    <w:p>
      <w:pPr>
        <w:pStyle w:val="5"/>
        <w:keepNext/>
        <w:keepLines/>
        <w:pageBreakBefore w:val="0"/>
        <w:widowControl/>
        <w:kinsoku/>
        <w:wordWrap/>
        <w:overflowPunct/>
        <w:topLinePunct w:val="0"/>
        <w:autoSpaceDE/>
        <w:autoSpaceDN/>
        <w:bidi w:val="0"/>
        <w:adjustRightInd w:val="0"/>
        <w:snapToGrid w:val="0"/>
        <w:spacing w:after="0"/>
        <w:textAlignment w:val="auto"/>
        <w:rPr>
          <w:rFonts w:hint="eastAsia"/>
          <w:color w:val="auto"/>
          <w:highlight w:val="none"/>
        </w:rPr>
      </w:pPr>
      <w:r>
        <w:rPr>
          <w:rFonts w:hint="eastAsia"/>
          <w:color w:val="auto"/>
          <w:highlight w:val="none"/>
          <w:lang w:val="en-US" w:eastAsia="zh-CN"/>
        </w:rPr>
        <w:t>三、建设依据</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国家和行业相关标准规范</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村尾村干道车辆管理系统安装工程的建设依据国家相关法律规章、国家和行业相关标准、相关研究成果等资料进行规划设计，具体如下：</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停车场系统设计方面：</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《停车库（场）安全管理系统技术要求》GA/T 761-2008</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《停车库（场）出入口控制设备技术要求》GA/T 992-2012</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城市联网监控报警系统设计方面：</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《城市监控报警联网系统技术标准》（GA/T669-2008）</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《跨区域视频监控联网共享技术规范》（DB33/T 629-2007）</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《安全防范视频监控联网系统信息传输、交换、控制技术要求》（GB/T28181-2011）</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安防视频监控系统设计方面：</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《视频安防监控系统技术要求》（GA/T367-2001）</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《民用闭路监视电视系统工程技术规范》（GB50198-2011）</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《工业电视系统工程设计规范》（GB50115-2009）</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《安全防范系统通用图形符号》（GA/T75-2000）</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《道路交通安全违法行为图像取证技术规范》（GA/T 832—2009）</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《机动车号牌图像自动识别技术规范》（GA/833-2009）</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《综合布线系统工程验收规范》（GB 50312-2007）</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《智能建筑施工及验收规范》（DG／TJ08-601-2009）</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视频监控图像质量方面：</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《电视视频通道测试方法》（GB3659-83）</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《彩色电视图像质量主观评价方法》（GB7401-1987）</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视频系统网络设计方面：</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《信息技术开放系统互连网络层安全协议》（GB/T 17963）</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《信息系统安全等级保护基本要求》（GB/T 22239-2008）</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《信息技术 软件生存周期过程》（GB/T 8566-2007）</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视频系统工程建设方面</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《安全防范工程程序与要求》（GA/T75-94）</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《安全防范工程技术规范》（GB 50348-2004）</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《电子计算机机房设计规范》（GB50174-2008）</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《建筑物防雷设计规范》（GB50057-2010）</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《建筑物电子信息系统防雷技术规范》（GB50343-2004）</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《安全防范系统雷电浪涌防护技术要求》（GA/T670-2006）</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《民用建筑电气设计规范》（JGJ/T16-2008）</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其它有关国家及地方的现行规程，规范及标准。</w:t>
      </w:r>
    </w:p>
    <w:p>
      <w:pPr>
        <w:spacing w:after="0" w:line="360" w:lineRule="auto"/>
        <w:ind w:firstLine="420" w:firstLineChars="200"/>
        <w:rPr>
          <w:rFonts w:hint="eastAsia" w:ascii="宋体" w:hAnsi="宋体" w:eastAsia="宋体" w:cs="宋体"/>
          <w:color w:val="auto"/>
          <w:sz w:val="21"/>
          <w:szCs w:val="21"/>
          <w:highlight w:val="none"/>
        </w:rPr>
      </w:pP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村尾村干道车辆管理系统安装工程需求依据</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经走访调研，结合村尾村的实际现状，村尾村的现有停车系统存在以下难题：</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繁华地带经常找不到车位</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停车收费信息无法事先知悉，容易产生纠纷</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场内找车位、找车难，耗燃油、费时间</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停车难/乱停车造成交通拥堵困扰</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b/>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依据村尾村干道车辆管理系统安装工程难题分析，结合东莞市横沥镇村尾村实际情况，经过走访调研，按照国家及行业相关标准，对村尾村干道车辆管理系统安装工程提出以下建设需求：</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停车无感支付，进出行云流水</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节人工、省成本</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防逃费漏费</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提升车位利用率、增加运营效益</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缓解城市拥堵</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协助公安、交警执法办案</w:t>
      </w:r>
    </w:p>
    <w:p>
      <w:pPr>
        <w:spacing w:after="0" w:line="360" w:lineRule="auto"/>
        <w:ind w:firstLine="420" w:firstLineChars="200"/>
        <w:rPr>
          <w:rFonts w:hint="eastAsia" w:ascii="宋体" w:hAnsi="宋体" w:eastAsia="宋体" w:cs="宋体"/>
          <w:color w:val="auto"/>
          <w:sz w:val="21"/>
          <w:szCs w:val="21"/>
          <w:highlight w:val="none"/>
        </w:rPr>
      </w:pPr>
    </w:p>
    <w:p>
      <w:pPr>
        <w:pStyle w:val="5"/>
        <w:keepNext/>
        <w:keepLines/>
        <w:pageBreakBefore w:val="0"/>
        <w:widowControl/>
        <w:kinsoku/>
        <w:wordWrap/>
        <w:overflowPunct/>
        <w:topLinePunct w:val="0"/>
        <w:autoSpaceDE/>
        <w:autoSpaceDN/>
        <w:bidi w:val="0"/>
        <w:adjustRightInd w:val="0"/>
        <w:snapToGrid w:val="0"/>
        <w:spacing w:after="0"/>
        <w:textAlignment w:val="auto"/>
        <w:rPr>
          <w:rFonts w:hint="eastAsia" w:eastAsia="宋体"/>
          <w:color w:val="auto"/>
          <w:highlight w:val="none"/>
          <w:lang w:val="en-US" w:eastAsia="zh-CN"/>
        </w:rPr>
      </w:pPr>
      <w:r>
        <w:rPr>
          <w:rFonts w:hint="eastAsia" w:eastAsia="宋体"/>
          <w:color w:val="auto"/>
          <w:highlight w:val="none"/>
          <w:lang w:val="en-US" w:eastAsia="zh-CN"/>
        </w:rPr>
        <w:t>四、设计原则</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实用原则</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以满足实际应用需求为原则，坚持先进，兼容传统，实现系统集成、系统互联、资源整合与信息共享。把实用性放在第一位，边建设边应用，把系统建设成“实用工程”。</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安全原则</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网络环境下信息传输和数据存储注重安全，保障系统网络的安全可靠性，避免遭到恶意攻击和数据被非法提取的现象出现。</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开放性原则</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系统建设必须按照开放性和标准性原则设计；提供全套的技术资料和全面的技术培训，以满足系统与其它系统协同运行以及系统功能扩展的需求。</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扩展性原则</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技术选型除了考虑先进、实用，还必须考虑系统的扩展性，系统容量应该有可持续发展的考虑。</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稳定性原则</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从系统结构、技术措施、设备性能、系统管理、厂商技术支持及维修能力等方面保障系统的可靠性和稳定性。</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易操作原则</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强调以人为本的设计思想，适应多功能、外向型的需求，对于来自内外的各种信息进行收集、处理、存储、传输、检索、查询，为实际使用者和管理者提供有效的信息服务和充分的决策依据，为用户和管理人员提供安全、舒适、方便、快捷、高效、节约的工作和办公环境。</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可维护性原则</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系统应具备自检、故障诊断及故障弱化功能，在出现故障时，应能得到及时、快速的修复。</w:t>
      </w:r>
    </w:p>
    <w:p>
      <w:pPr>
        <w:spacing w:after="0" w:line="360" w:lineRule="auto"/>
        <w:ind w:firstLine="420" w:firstLineChars="200"/>
        <w:rPr>
          <w:rFonts w:hint="eastAsia" w:ascii="宋体" w:hAnsi="宋体" w:eastAsia="宋体" w:cs="宋体"/>
          <w:color w:val="auto"/>
          <w:sz w:val="21"/>
          <w:szCs w:val="21"/>
          <w:highlight w:val="none"/>
        </w:rPr>
      </w:pPr>
      <w:bookmarkStart w:id="8" w:name="_Toc476309370"/>
      <w:bookmarkStart w:id="9" w:name="_Toc480982528"/>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经济</w:t>
      </w:r>
      <w:bookmarkEnd w:id="8"/>
      <w:bookmarkEnd w:id="9"/>
      <w:r>
        <w:rPr>
          <w:rFonts w:hint="eastAsia" w:ascii="宋体" w:hAnsi="宋体" w:eastAsia="宋体" w:cs="宋体"/>
          <w:color w:val="auto"/>
          <w:sz w:val="21"/>
          <w:szCs w:val="21"/>
          <w:highlight w:val="none"/>
        </w:rPr>
        <w:t>原则</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在实现先进性和可靠性的前提下，以经济优化的设计达到较高的性价比。在确保用户需求、系统集成要求的前提下充分考虑现有设备的利旧使用。</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先进性</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系统的架构和技术均符合高新技术的发展趋势，在满足功能的前提下，能够在今后一定时间内保持系统的先进性。</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标准性</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系统的标准化程度越高、开放性越好，则系统的生命周期越长。控制协议、传输协议、接口协议、视音频编解码、视音频文件格式等需要符合相关国家标准或行业标准的规定。</w:t>
      </w:r>
    </w:p>
    <w:p>
      <w:pPr>
        <w:spacing w:after="0" w:line="360" w:lineRule="auto"/>
        <w:ind w:firstLine="420" w:firstLineChars="200"/>
        <w:rPr>
          <w:rFonts w:hint="eastAsia" w:ascii="宋体" w:hAnsi="宋体" w:eastAsia="宋体" w:cs="宋体"/>
          <w:color w:val="auto"/>
          <w:sz w:val="21"/>
          <w:szCs w:val="21"/>
          <w:highlight w:val="none"/>
        </w:rPr>
      </w:pPr>
    </w:p>
    <w:p>
      <w:pPr>
        <w:pStyle w:val="5"/>
        <w:keepNext/>
        <w:keepLines/>
        <w:pageBreakBefore w:val="0"/>
        <w:widowControl/>
        <w:kinsoku/>
        <w:wordWrap/>
        <w:overflowPunct/>
        <w:topLinePunct w:val="0"/>
        <w:autoSpaceDE/>
        <w:autoSpaceDN/>
        <w:bidi w:val="0"/>
        <w:adjustRightInd w:val="0"/>
        <w:snapToGrid w:val="0"/>
        <w:spacing w:after="0"/>
        <w:textAlignment w:val="auto"/>
        <w:rPr>
          <w:rFonts w:hint="eastAsia" w:eastAsia="宋体"/>
          <w:color w:val="auto"/>
          <w:highlight w:val="none"/>
          <w:lang w:val="en-US" w:eastAsia="zh-CN"/>
        </w:rPr>
      </w:pPr>
      <w:r>
        <w:rPr>
          <w:rFonts w:hint="eastAsia" w:eastAsia="宋体"/>
          <w:color w:val="auto"/>
          <w:highlight w:val="none"/>
          <w:lang w:val="en-US" w:eastAsia="zh-CN"/>
        </w:rPr>
        <w:t>五、建设内容</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建设内容</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村尾村干道车辆管理系统安装工程采用视频识别进出场管理方式，村尾村干道车辆管理系统安装工程</w:t>
      </w:r>
      <w:r>
        <w:rPr>
          <w:rFonts w:hint="eastAsia" w:ascii="宋体" w:hAnsi="宋体" w:eastAsia="宋体" w:cs="宋体"/>
          <w:color w:val="auto"/>
          <w:sz w:val="21"/>
          <w:szCs w:val="21"/>
          <w:highlight w:val="none"/>
          <w:lang w:val="en-US" w:eastAsia="zh-CN"/>
        </w:rPr>
        <w:t>本次增</w:t>
      </w:r>
      <w:r>
        <w:rPr>
          <w:rFonts w:hint="eastAsia" w:ascii="宋体" w:hAnsi="宋体" w:eastAsia="宋体" w:cs="宋体"/>
          <w:color w:val="auto"/>
          <w:sz w:val="21"/>
          <w:szCs w:val="21"/>
          <w:highlight w:val="none"/>
        </w:rPr>
        <w:t>设置</w:t>
      </w:r>
      <w:r>
        <w:rPr>
          <w:rFonts w:hint="eastAsia" w:ascii="宋体" w:hAnsi="宋体" w:eastAsia="宋体" w:cs="宋体"/>
          <w:color w:val="auto"/>
          <w:sz w:val="21"/>
          <w:szCs w:val="21"/>
          <w:highlight w:val="none"/>
          <w:lang w:val="en-US" w:eastAsia="zh-CN"/>
        </w:rPr>
        <w:t>三个重要出入路口，共增设4套车牌识别系统，分别为博诚堂药店路口、水边桥路口、桃源路路口</w:t>
      </w:r>
      <w:r>
        <w:rPr>
          <w:rFonts w:hint="eastAsia" w:ascii="宋体" w:hAnsi="宋体" w:eastAsia="宋体" w:cs="宋体"/>
          <w:color w:val="auto"/>
          <w:sz w:val="21"/>
          <w:szCs w:val="21"/>
          <w:highlight w:val="none"/>
        </w:rPr>
        <w:t>，对所有临时和固定用户开放。</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过前端抓拍摄像机采集识别获取车辆信息，利用网络将车辆信息数据发送至后端管理中心，利用车辆识别技术实现车牌号、车标、车型、车身颜色等相关数据比对，确保车辆的进出有据可查，确保车辆的进出可控，确保停车位的合理利用，加强出入口的高效和安全管理。</w:t>
      </w:r>
    </w:p>
    <w:p>
      <w:pPr>
        <w:spacing w:after="0" w:line="360" w:lineRule="auto"/>
        <w:ind w:firstLine="420" w:firstLineChars="200"/>
        <w:rPr>
          <w:rFonts w:hint="eastAsia" w:ascii="宋体" w:hAnsi="宋体" w:eastAsia="宋体" w:cs="宋体"/>
          <w:color w:val="auto"/>
          <w:sz w:val="21"/>
          <w:szCs w:val="21"/>
          <w:highlight w:val="none"/>
        </w:rPr>
      </w:pP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建设原则</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有效控制并记录本村及外来车辆的进出，对本村的治安安全起到一定的辅助作用；</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有效控制外来车辆的任意进出及长期地停放，尽量确保本村车辆有位可停；</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停车费支付使用微信等移动支付，方便车主随时随时地支付，减少各出入口的拥堵，并提高了各出入口通行速度；</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无牌车辆可使用扫码进出及缴费，方便车主及物业管理人员；</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各出入口位置的设置须方便村民出行,同时不能影响本村与外面道路造成堵塞。</w:t>
      </w:r>
    </w:p>
    <w:p>
      <w:pPr>
        <w:spacing w:after="0" w:line="360" w:lineRule="auto"/>
        <w:ind w:firstLine="420" w:firstLineChars="200"/>
        <w:rPr>
          <w:rFonts w:hint="eastAsia" w:ascii="宋体" w:hAnsi="宋体" w:eastAsia="宋体" w:cs="宋体"/>
          <w:color w:val="auto"/>
          <w:sz w:val="21"/>
          <w:szCs w:val="21"/>
          <w:highlight w:val="none"/>
        </w:rPr>
      </w:pP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系统布局</w:t>
      </w:r>
    </w:p>
    <w:p>
      <w:pPr>
        <w:spacing w:after="0"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为方便村民出行及管理人员的管理，根据目前大多数车辆出入的习惯性路线及车辆的进出的集中性等因素，需在</w:t>
      </w:r>
      <w:r>
        <w:rPr>
          <w:rFonts w:hint="eastAsia" w:ascii="宋体" w:hAnsi="宋体" w:eastAsia="宋体" w:cs="宋体"/>
          <w:color w:val="auto"/>
          <w:sz w:val="21"/>
          <w:szCs w:val="21"/>
          <w:highlight w:val="none"/>
          <w:lang w:val="en-US" w:eastAsia="zh-CN"/>
        </w:rPr>
        <w:t>博诚堂药店路口增</w:t>
      </w:r>
      <w:r>
        <w:rPr>
          <w:rFonts w:hint="eastAsia" w:ascii="宋体" w:hAnsi="宋体" w:eastAsia="宋体" w:cs="宋体"/>
          <w:color w:val="auto"/>
          <w:sz w:val="21"/>
          <w:szCs w:val="21"/>
          <w:highlight w:val="none"/>
        </w:rPr>
        <w:t>设</w:t>
      </w:r>
      <w:r>
        <w:rPr>
          <w:rFonts w:hint="eastAsia" w:ascii="宋体" w:hAnsi="宋体" w:eastAsia="宋体" w:cs="宋体"/>
          <w:color w:val="auto"/>
          <w:sz w:val="21"/>
          <w:szCs w:val="21"/>
          <w:highlight w:val="none"/>
          <w:lang w:val="en-US" w:eastAsia="zh-CN"/>
        </w:rPr>
        <w:t>无人值守</w:t>
      </w:r>
      <w:r>
        <w:rPr>
          <w:rFonts w:hint="eastAsia" w:ascii="宋体" w:hAnsi="宋体" w:eastAsia="宋体" w:cs="宋体"/>
          <w:color w:val="auto"/>
          <w:sz w:val="21"/>
          <w:szCs w:val="21"/>
          <w:highlight w:val="none"/>
        </w:rPr>
        <w:t>一进一出的车牌识别系统</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水边桥路口增设一套道闸同时进出的车牌识别系统，桃源路路口增设无人值守二进二出的 车牌识别系统。</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各岗位联网运行，联至位于警务室的服务器。</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总体分布图如下:（见下页）</w:t>
      </w:r>
    </w:p>
    <w:p>
      <w:pPr>
        <w:pStyle w:val="8"/>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drawing>
          <wp:inline distT="0" distB="0" distL="114300" distR="114300">
            <wp:extent cx="5273675" cy="5379720"/>
            <wp:effectExtent l="0" t="0" r="3175" b="11430"/>
            <wp:docPr id="8" name="图片 7" descr="微信图片_2021062916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微信图片_20210629162527"/>
                    <pic:cNvPicPr>
                      <a:picLocks noChangeAspect="1"/>
                    </pic:cNvPicPr>
                  </pic:nvPicPr>
                  <pic:blipFill>
                    <a:blip r:embed="rId12"/>
                    <a:stretch>
                      <a:fillRect/>
                    </a:stretch>
                  </pic:blipFill>
                  <pic:spPr>
                    <a:xfrm>
                      <a:off x="0" y="0"/>
                      <a:ext cx="5273675" cy="5379720"/>
                    </a:xfrm>
                    <a:prstGeom prst="rect">
                      <a:avLst/>
                    </a:prstGeom>
                    <a:noFill/>
                    <a:ln>
                      <a:noFill/>
                    </a:ln>
                  </pic:spPr>
                </pic:pic>
              </a:graphicData>
            </a:graphic>
          </wp:inline>
        </w:drawing>
      </w:r>
    </w:p>
    <w:p>
      <w:pPr>
        <w:rPr>
          <w:rFonts w:hint="eastAsia"/>
          <w:color w:val="auto"/>
          <w:highlight w:val="none"/>
          <w:lang w:eastAsia="zh-CN"/>
        </w:rPr>
      </w:pPr>
    </w:p>
    <w:p>
      <w:pPr>
        <w:pStyle w:val="5"/>
        <w:keepNext/>
        <w:keepLines/>
        <w:pageBreakBefore w:val="0"/>
        <w:widowControl/>
        <w:kinsoku/>
        <w:wordWrap/>
        <w:overflowPunct/>
        <w:topLinePunct w:val="0"/>
        <w:autoSpaceDE/>
        <w:autoSpaceDN/>
        <w:bidi w:val="0"/>
        <w:adjustRightInd w:val="0"/>
        <w:snapToGrid w:val="0"/>
        <w:spacing w:after="0"/>
        <w:textAlignment w:val="auto"/>
        <w:rPr>
          <w:rFonts w:hint="eastAsia"/>
          <w:color w:val="auto"/>
          <w:highlight w:val="none"/>
          <w:lang w:val="en-US" w:eastAsia="zh-CN"/>
        </w:rPr>
      </w:pPr>
      <w:r>
        <w:rPr>
          <w:rFonts w:hint="eastAsia"/>
          <w:color w:val="auto"/>
          <w:highlight w:val="none"/>
          <w:lang w:val="en-US" w:eastAsia="zh-CN"/>
        </w:rPr>
        <w:t>六、设备清单</w:t>
      </w:r>
    </w:p>
    <w:tbl>
      <w:tblPr>
        <w:tblStyle w:val="21"/>
        <w:tblW w:w="8523" w:type="dxa"/>
        <w:jc w:val="center"/>
        <w:shd w:val="clear" w:color="auto" w:fill="auto"/>
        <w:tblLayout w:type="fixed"/>
        <w:tblCellMar>
          <w:top w:w="0" w:type="dxa"/>
          <w:left w:w="108" w:type="dxa"/>
          <w:bottom w:w="0" w:type="dxa"/>
          <w:right w:w="108" w:type="dxa"/>
        </w:tblCellMar>
      </w:tblPr>
      <w:tblGrid>
        <w:gridCol w:w="444"/>
        <w:gridCol w:w="1907"/>
        <w:gridCol w:w="4420"/>
        <w:gridCol w:w="641"/>
        <w:gridCol w:w="660"/>
        <w:gridCol w:w="451"/>
      </w:tblGrid>
      <w:tr>
        <w:tblPrEx>
          <w:tblCellMar>
            <w:top w:w="0" w:type="dxa"/>
            <w:left w:w="108" w:type="dxa"/>
            <w:bottom w:w="0" w:type="dxa"/>
            <w:right w:w="108" w:type="dxa"/>
          </w:tblCellMar>
        </w:tblPrEx>
        <w:trPr>
          <w:trHeight w:val="48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项目名称</w:t>
            </w:r>
          </w:p>
        </w:tc>
        <w:tc>
          <w:tcPr>
            <w:tcW w:w="44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项目特征描述</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计量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单位</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工程数量</w:t>
            </w:r>
          </w:p>
        </w:tc>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备注</w:t>
            </w:r>
          </w:p>
        </w:tc>
      </w:tr>
      <w:tr>
        <w:tblPrEx>
          <w:shd w:val="clear" w:color="auto" w:fill="auto"/>
          <w:tblCellMar>
            <w:top w:w="0" w:type="dxa"/>
            <w:left w:w="108" w:type="dxa"/>
            <w:bottom w:w="0" w:type="dxa"/>
            <w:right w:w="108" w:type="dxa"/>
          </w:tblCellMar>
        </w:tblPrEx>
        <w:trPr>
          <w:trHeight w:val="48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left"/>
              <w:rPr>
                <w:rFonts w:hint="eastAsia" w:ascii="宋体" w:hAnsi="宋体" w:eastAsia="宋体" w:cs="宋体"/>
                <w:i w:val="0"/>
                <w:iCs w:val="0"/>
                <w:color w:val="auto"/>
                <w:sz w:val="21"/>
                <w:szCs w:val="21"/>
                <w:highlight w:val="none"/>
                <w:u w:val="none"/>
              </w:rPr>
            </w:pPr>
          </w:p>
        </w:tc>
        <w:tc>
          <w:tcPr>
            <w:tcW w:w="6327"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一、入口设备</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left"/>
              <w:rPr>
                <w:rFonts w:hint="eastAsia" w:ascii="宋体" w:hAnsi="宋体" w:eastAsia="宋体" w:cs="宋体"/>
                <w:i w:val="0"/>
                <w:iCs w:val="0"/>
                <w:color w:val="auto"/>
                <w:sz w:val="21"/>
                <w:szCs w:val="21"/>
                <w:highlight w:val="none"/>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1"/>
                <w:szCs w:val="21"/>
                <w:highlight w:val="none"/>
                <w:u w:val="none"/>
              </w:rPr>
            </w:pPr>
          </w:p>
        </w:tc>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val="0"/>
              <w:snapToGrid w:val="0"/>
              <w:spacing w:after="0" w:line="360" w:lineRule="auto"/>
              <w:rPr>
                <w:rFonts w:hint="eastAsia" w:ascii="宋体" w:hAnsi="宋体" w:eastAsia="宋体" w:cs="宋体"/>
                <w:i w:val="0"/>
                <w:iCs w:val="0"/>
                <w:color w:val="auto"/>
                <w:sz w:val="21"/>
                <w:szCs w:val="21"/>
                <w:highlight w:val="none"/>
                <w:u w:val="none"/>
              </w:rPr>
            </w:pPr>
          </w:p>
        </w:tc>
      </w:tr>
      <w:tr>
        <w:tblPrEx>
          <w:tblCellMar>
            <w:top w:w="0" w:type="dxa"/>
            <w:left w:w="108" w:type="dxa"/>
            <w:bottom w:w="0" w:type="dxa"/>
            <w:right w:w="108" w:type="dxa"/>
          </w:tblCellMar>
        </w:tblPrEx>
        <w:trPr>
          <w:trHeight w:val="48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olor w:val="auto"/>
                <w:sz w:val="21"/>
                <w:szCs w:val="21"/>
                <w:highlight w:val="none"/>
              </w:rPr>
              <w:t>●</w:t>
            </w:r>
            <w:r>
              <w:rPr>
                <w:rFonts w:hint="eastAsia" w:ascii="宋体" w:hAnsi="宋体" w:eastAsia="宋体" w:cs="宋体"/>
                <w:i w:val="0"/>
                <w:iCs w:val="0"/>
                <w:color w:val="auto"/>
                <w:kern w:val="0"/>
                <w:sz w:val="21"/>
                <w:szCs w:val="21"/>
                <w:highlight w:val="none"/>
                <w:u w:val="none"/>
                <w:lang w:val="en-US" w:eastAsia="zh-CN" w:bidi="ar"/>
              </w:rPr>
              <w:t>自动道闸</w:t>
            </w:r>
          </w:p>
        </w:tc>
        <w:tc>
          <w:tcPr>
            <w:tcW w:w="44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由箱体、电机、机械传动部分、栏杆、电子控制等组成的机电一体化产品。结构坚实牢固，色彩鲜明，具有较强的警示作用。以限位开关控制闸机上到位及下到位的动作，全电路采用无触点控制，具备通讯、开关量等多种接口控制方式，按钮开关、红外或无线遥控、电脑控制，以弱电控制强电，内置单片机微电脑处理芯片，具备智能逻辑控制处理功能；闸机设有紧急手动升降装置，用于停电后将闸杆手动摇起，提供应急通行；变频及直流无刷可选，适用温度范围：—20℃～+70℃，相对湿度：≤95%，工作电压：AC 220V±15%，闸杆运行时间：2～6秒，闸杆长度：2～6米（栅栏杆长不超过3.5米）</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val="0"/>
              <w:snapToGrid w:val="0"/>
              <w:spacing w:after="0" w:line="360" w:lineRule="auto"/>
              <w:rPr>
                <w:rFonts w:hint="eastAsia" w:ascii="宋体" w:hAnsi="宋体" w:eastAsia="宋体" w:cs="宋体"/>
                <w:i w:val="0"/>
                <w:iCs w:val="0"/>
                <w:color w:val="auto"/>
                <w:sz w:val="21"/>
                <w:szCs w:val="21"/>
                <w:highlight w:val="none"/>
                <w:u w:val="none"/>
              </w:rPr>
            </w:pPr>
          </w:p>
        </w:tc>
      </w:tr>
      <w:tr>
        <w:tblPrEx>
          <w:shd w:val="clear" w:color="auto" w:fill="auto"/>
          <w:tblCellMar>
            <w:top w:w="0" w:type="dxa"/>
            <w:left w:w="108" w:type="dxa"/>
            <w:bottom w:w="0" w:type="dxa"/>
            <w:right w:w="108" w:type="dxa"/>
          </w:tblCellMar>
        </w:tblPrEx>
        <w:trPr>
          <w:trHeight w:val="48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数字式车辆检测器</w:t>
            </w:r>
          </w:p>
        </w:tc>
        <w:tc>
          <w:tcPr>
            <w:tcW w:w="44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了先进的数模转化技术，抗干扰能力强；灵敏度可调节，根据车道通行的车辆种类调节检测器的感应灵敏度；具有独特的防砸功能，车辆位于感应线圈范围之内时，闸机将会停止动作或向上开启（可选）；因检测器可检测车辆的存在，故还可用于检测车辆计数等功能。</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val="0"/>
              <w:snapToGrid w:val="0"/>
              <w:spacing w:after="0" w:line="360" w:lineRule="auto"/>
              <w:rPr>
                <w:rFonts w:hint="eastAsia" w:ascii="宋体" w:hAnsi="宋体" w:eastAsia="宋体" w:cs="宋体"/>
                <w:i w:val="0"/>
                <w:iCs w:val="0"/>
                <w:color w:val="auto"/>
                <w:sz w:val="21"/>
                <w:szCs w:val="21"/>
                <w:highlight w:val="none"/>
                <w:u w:val="none"/>
              </w:rPr>
            </w:pPr>
          </w:p>
        </w:tc>
      </w:tr>
      <w:tr>
        <w:tblPrEx>
          <w:tblCellMar>
            <w:top w:w="0" w:type="dxa"/>
            <w:left w:w="108" w:type="dxa"/>
            <w:bottom w:w="0" w:type="dxa"/>
            <w:right w:w="108" w:type="dxa"/>
          </w:tblCellMar>
        </w:tblPrEx>
        <w:trPr>
          <w:trHeight w:val="48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入口车牌识别一体机（含以下）</w:t>
            </w:r>
          </w:p>
        </w:tc>
        <w:tc>
          <w:tcPr>
            <w:tcW w:w="4420" w:type="dxa"/>
            <w:vMerge w:val="restart"/>
            <w:tcBorders>
              <w:top w:val="single" w:color="000000" w:sz="4" w:space="0"/>
              <w:left w:val="single" w:color="000000" w:sz="4" w:space="0"/>
              <w:right w:val="single" w:color="000000" w:sz="4" w:space="0"/>
            </w:tcBorders>
            <w:shd w:val="clear" w:color="auto" w:fill="auto"/>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四行LED高亮显示。一屏同时显示：时间、车牌、欢迎语、剩余车位、停车时长及收费金额等信息</w:t>
            </w:r>
          </w:p>
          <w:p>
            <w:pPr>
              <w:pStyle w:val="8"/>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220/12V,用于为识别仪供电专门设计</w:t>
            </w:r>
          </w:p>
          <w:p>
            <w:pPr>
              <w:pStyle w:val="8"/>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1. 高分辨视频和图像，200万像素全高清数字流，帧率达15\30帧\秒；2. 进口单核心处理芯片，结合独有车牌识别算法识别，从识别到数据上传至前端仅需10毫秒；3. 多种识别模式，可根据现场情况采用电平触发识别、485通讯触发识别、视频触发识别或多种模式结合触发识别，即可保证较高识比率，也可保证极高捕获率；4. 高强度防水设计，结合温控、环境侦测、故障自检模块，系统运行更稳定、可靠；5. 具有黑白名单控制功能，黑名单报警，白名单自动放行，广泛应用于无卡自助进出停车场管理系统中，进出授权更简单，通用EXCEL表格一键式导入，管理更方便；6. 独有感光模块，在不同光照情况下自动选择相应补光模式，针对夜晚车灯及白天自然光照有极强的适应性，在恶略天气环境下也可保证极高的车牌识别率；7. 识别速度毫秒级，可在200km/h车速下完成车牌识别功能，可广泛应用于各种路况下；8. 除车牌内容、颜色外，还可识别多种车辆属性，如车型、车辆颜色，还可实现车辆人脸抓拍。不仅可将信息存入数据中心，还可将识别信息叠加到捕获图片，显示更直观；</w:t>
            </w:r>
          </w:p>
          <w:p>
            <w:pPr>
              <w:pStyle w:val="8"/>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光敏感应，光线不足时自动亮起，以补充车道光线的不足</w:t>
            </w:r>
          </w:p>
          <w:p>
            <w:pPr>
              <w:pStyle w:val="8"/>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机箱由优质钢板烤漆制作，时尚的设计让整机看起来美观大方，机身将显示屏、摄像机、补光灯等集于一身，节约安装空间，也有利于设备的快速安装调试。</w:t>
            </w:r>
          </w:p>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入口控制机、出口控制机可与管理计算机实现时钟自动校准。（</w:t>
            </w:r>
            <w:r>
              <w:rPr>
                <w:rFonts w:hint="eastAsia" w:ascii="宋体" w:hAnsi="宋体" w:eastAsia="宋体" w:cs="宋体"/>
                <w:color w:val="auto"/>
                <w:sz w:val="21"/>
                <w:szCs w:val="21"/>
                <w:highlight w:val="none"/>
                <w:lang w:val="en-US" w:eastAsia="zh-CN"/>
              </w:rPr>
              <w:t>须</w:t>
            </w:r>
            <w:r>
              <w:rPr>
                <w:rFonts w:hint="eastAsia" w:ascii="宋体" w:hAnsi="宋体" w:eastAsia="宋体" w:cs="宋体"/>
                <w:color w:val="auto"/>
                <w:sz w:val="21"/>
                <w:szCs w:val="21"/>
                <w:highlight w:val="none"/>
              </w:rPr>
              <w:t>提供第三方检测机构出具的检验报告复印件证明并加盖投标人公章）</w:t>
            </w:r>
          </w:p>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在管理计算机的显示界面上可显示车辆或驾驶员的出入图片。（</w:t>
            </w:r>
            <w:r>
              <w:rPr>
                <w:rFonts w:hint="eastAsia" w:ascii="宋体" w:hAnsi="宋体" w:eastAsia="宋体" w:cs="宋体"/>
                <w:color w:val="auto"/>
                <w:sz w:val="21"/>
                <w:szCs w:val="21"/>
                <w:highlight w:val="none"/>
                <w:lang w:val="en-US" w:eastAsia="zh-CN"/>
              </w:rPr>
              <w:t>须</w:t>
            </w:r>
            <w:r>
              <w:rPr>
                <w:rFonts w:hint="eastAsia" w:ascii="宋体" w:hAnsi="宋体" w:eastAsia="宋体" w:cs="宋体"/>
                <w:color w:val="auto"/>
                <w:sz w:val="21"/>
                <w:szCs w:val="21"/>
                <w:highlight w:val="none"/>
              </w:rPr>
              <w:t>提供第三方检测机构出具的检验报告复印件证明并加盖投标人公章）</w:t>
            </w:r>
          </w:p>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可按照预置的收费标准和收费模式进行计费，并输出相应报表。（</w:t>
            </w:r>
            <w:r>
              <w:rPr>
                <w:rFonts w:hint="eastAsia" w:ascii="宋体" w:hAnsi="宋体" w:eastAsia="宋体" w:cs="宋体"/>
                <w:color w:val="auto"/>
                <w:sz w:val="21"/>
                <w:szCs w:val="21"/>
                <w:highlight w:val="none"/>
                <w:lang w:val="en-US" w:eastAsia="zh-CN"/>
              </w:rPr>
              <w:t>须</w:t>
            </w:r>
            <w:r>
              <w:rPr>
                <w:rFonts w:hint="eastAsia" w:ascii="宋体" w:hAnsi="宋体" w:eastAsia="宋体" w:cs="宋体"/>
                <w:color w:val="auto"/>
                <w:sz w:val="21"/>
                <w:szCs w:val="21"/>
                <w:highlight w:val="none"/>
              </w:rPr>
              <w:t>提供第三方检测机构出具的检验报告复印件证明并加盖投标人公章）</w:t>
            </w:r>
          </w:p>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在停电或系统不能正常工作时，可以手动开启/关闭挡车器。（</w:t>
            </w:r>
            <w:r>
              <w:rPr>
                <w:rFonts w:hint="eastAsia" w:ascii="宋体" w:hAnsi="宋体" w:eastAsia="宋体" w:cs="宋体"/>
                <w:color w:val="auto"/>
                <w:sz w:val="21"/>
                <w:szCs w:val="21"/>
                <w:highlight w:val="none"/>
                <w:lang w:val="en-US" w:eastAsia="zh-CN"/>
              </w:rPr>
              <w:t>须</w:t>
            </w:r>
            <w:r>
              <w:rPr>
                <w:rFonts w:hint="eastAsia" w:ascii="宋体" w:hAnsi="宋体" w:eastAsia="宋体" w:cs="宋体"/>
                <w:color w:val="auto"/>
                <w:sz w:val="21"/>
                <w:szCs w:val="21"/>
                <w:highlight w:val="none"/>
              </w:rPr>
              <w:t>提供第三方检测机构出具的检验报告复印件证明并加盖投标人公章）</w:t>
            </w:r>
          </w:p>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通过出入口读卡机箱的显示屏，可显示停车场总车位数量和剩余车位数量。（</w:t>
            </w:r>
            <w:r>
              <w:rPr>
                <w:rFonts w:hint="eastAsia" w:ascii="宋体" w:hAnsi="宋体" w:eastAsia="宋体" w:cs="宋体"/>
                <w:color w:val="auto"/>
                <w:sz w:val="21"/>
                <w:szCs w:val="21"/>
                <w:highlight w:val="none"/>
                <w:lang w:val="en-US" w:eastAsia="zh-CN"/>
              </w:rPr>
              <w:t>须</w:t>
            </w:r>
            <w:r>
              <w:rPr>
                <w:rFonts w:hint="eastAsia" w:ascii="宋体" w:hAnsi="宋体" w:eastAsia="宋体" w:cs="宋体"/>
                <w:color w:val="auto"/>
                <w:sz w:val="21"/>
                <w:szCs w:val="21"/>
                <w:highlight w:val="none"/>
              </w:rPr>
              <w:t>提供第三方检测机构出具的检验报告复印件证明并加盖投标人公章）</w:t>
            </w:r>
          </w:p>
        </w:tc>
        <w:tc>
          <w:tcPr>
            <w:tcW w:w="641" w:type="dxa"/>
            <w:vMerge w:val="restart"/>
            <w:tcBorders>
              <w:top w:val="single" w:color="000000" w:sz="4" w:space="0"/>
              <w:left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60" w:type="dxa"/>
            <w:vMerge w:val="restart"/>
            <w:tcBorders>
              <w:top w:val="single" w:color="000000" w:sz="4" w:space="0"/>
              <w:left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451"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1"/>
                <w:szCs w:val="21"/>
                <w:highlight w:val="none"/>
                <w:u w:val="none"/>
              </w:rPr>
            </w:pPr>
          </w:p>
        </w:tc>
      </w:tr>
      <w:tr>
        <w:tblPrEx>
          <w:shd w:val="clear" w:color="auto" w:fill="auto"/>
          <w:tblCellMar>
            <w:top w:w="0" w:type="dxa"/>
            <w:left w:w="108" w:type="dxa"/>
            <w:bottom w:w="0" w:type="dxa"/>
            <w:right w:w="108" w:type="dxa"/>
          </w:tblCellMar>
        </w:tblPrEx>
        <w:trPr>
          <w:trHeight w:val="48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电子显示屏</w:t>
            </w:r>
          </w:p>
        </w:tc>
        <w:tc>
          <w:tcPr>
            <w:tcW w:w="4420" w:type="dxa"/>
            <w:vMerge w:val="continue"/>
            <w:tcBorders>
              <w:left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sz w:val="21"/>
                <w:szCs w:val="21"/>
                <w:highlight w:val="none"/>
                <w:u w:val="none"/>
              </w:rPr>
            </w:pPr>
          </w:p>
        </w:tc>
        <w:tc>
          <w:tcPr>
            <w:tcW w:w="641" w:type="dxa"/>
            <w:vMerge w:val="continue"/>
            <w:tcBorders>
              <w:left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p>
        </w:tc>
        <w:tc>
          <w:tcPr>
            <w:tcW w:w="660" w:type="dxa"/>
            <w:vMerge w:val="continue"/>
            <w:tcBorders>
              <w:left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p>
        </w:tc>
        <w:tc>
          <w:tcPr>
            <w:tcW w:w="451" w:type="dxa"/>
            <w:vMerge w:val="continue"/>
            <w:tcBorders>
              <w:left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val="0"/>
              <w:snapToGrid w:val="0"/>
              <w:spacing w:after="0" w:line="360" w:lineRule="auto"/>
              <w:rPr>
                <w:rFonts w:hint="eastAsia" w:ascii="宋体" w:hAnsi="宋体" w:eastAsia="宋体" w:cs="宋体"/>
                <w:i w:val="0"/>
                <w:iCs w:val="0"/>
                <w:color w:val="auto"/>
                <w:sz w:val="21"/>
                <w:szCs w:val="21"/>
                <w:highlight w:val="none"/>
                <w:u w:val="none"/>
              </w:rPr>
            </w:pPr>
          </w:p>
        </w:tc>
      </w:tr>
      <w:tr>
        <w:tblPrEx>
          <w:tblCellMar>
            <w:top w:w="0" w:type="dxa"/>
            <w:left w:w="108" w:type="dxa"/>
            <w:bottom w:w="0" w:type="dxa"/>
            <w:right w:w="108" w:type="dxa"/>
          </w:tblCellMar>
        </w:tblPrEx>
        <w:trPr>
          <w:trHeight w:val="48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专用电源</w:t>
            </w:r>
          </w:p>
        </w:tc>
        <w:tc>
          <w:tcPr>
            <w:tcW w:w="4420" w:type="dxa"/>
            <w:vMerge w:val="continue"/>
            <w:tcBorders>
              <w:left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sz w:val="21"/>
                <w:szCs w:val="21"/>
                <w:highlight w:val="none"/>
                <w:u w:val="none"/>
              </w:rPr>
            </w:pPr>
          </w:p>
        </w:tc>
        <w:tc>
          <w:tcPr>
            <w:tcW w:w="641" w:type="dxa"/>
            <w:vMerge w:val="continue"/>
            <w:tcBorders>
              <w:left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p>
        </w:tc>
        <w:tc>
          <w:tcPr>
            <w:tcW w:w="660" w:type="dxa"/>
            <w:vMerge w:val="continue"/>
            <w:tcBorders>
              <w:left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p>
        </w:tc>
        <w:tc>
          <w:tcPr>
            <w:tcW w:w="451" w:type="dxa"/>
            <w:vMerge w:val="continue"/>
            <w:tcBorders>
              <w:left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val="0"/>
              <w:snapToGrid w:val="0"/>
              <w:spacing w:after="0" w:line="360" w:lineRule="auto"/>
              <w:rPr>
                <w:rFonts w:hint="eastAsia" w:ascii="宋体" w:hAnsi="宋体" w:eastAsia="宋体" w:cs="宋体"/>
                <w:i w:val="0"/>
                <w:iCs w:val="0"/>
                <w:color w:val="auto"/>
                <w:sz w:val="21"/>
                <w:szCs w:val="21"/>
                <w:highlight w:val="none"/>
                <w:u w:val="none"/>
              </w:rPr>
            </w:pPr>
          </w:p>
        </w:tc>
      </w:tr>
      <w:tr>
        <w:tblPrEx>
          <w:shd w:val="clear" w:color="auto" w:fill="auto"/>
          <w:tblCellMar>
            <w:top w:w="0" w:type="dxa"/>
            <w:left w:w="108" w:type="dxa"/>
            <w:bottom w:w="0" w:type="dxa"/>
            <w:right w:w="108" w:type="dxa"/>
          </w:tblCellMar>
        </w:tblPrEx>
        <w:trPr>
          <w:trHeight w:val="48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车牌识别仪</w:t>
            </w:r>
          </w:p>
        </w:tc>
        <w:tc>
          <w:tcPr>
            <w:tcW w:w="4420" w:type="dxa"/>
            <w:vMerge w:val="continue"/>
            <w:tcBorders>
              <w:left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sz w:val="21"/>
                <w:szCs w:val="21"/>
                <w:highlight w:val="none"/>
                <w:u w:val="none"/>
              </w:rPr>
            </w:pPr>
          </w:p>
        </w:tc>
        <w:tc>
          <w:tcPr>
            <w:tcW w:w="641" w:type="dxa"/>
            <w:vMerge w:val="continue"/>
            <w:tcBorders>
              <w:left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p>
        </w:tc>
        <w:tc>
          <w:tcPr>
            <w:tcW w:w="660" w:type="dxa"/>
            <w:vMerge w:val="continue"/>
            <w:tcBorders>
              <w:left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p>
        </w:tc>
        <w:tc>
          <w:tcPr>
            <w:tcW w:w="451" w:type="dxa"/>
            <w:vMerge w:val="continue"/>
            <w:tcBorders>
              <w:left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val="0"/>
              <w:snapToGrid w:val="0"/>
              <w:spacing w:after="0" w:line="360" w:lineRule="auto"/>
              <w:rPr>
                <w:rFonts w:hint="eastAsia" w:ascii="宋体" w:hAnsi="宋体" w:eastAsia="宋体" w:cs="宋体"/>
                <w:i w:val="0"/>
                <w:iCs w:val="0"/>
                <w:color w:val="auto"/>
                <w:sz w:val="21"/>
                <w:szCs w:val="21"/>
                <w:highlight w:val="none"/>
                <w:u w:val="none"/>
              </w:rPr>
            </w:pPr>
          </w:p>
        </w:tc>
      </w:tr>
      <w:tr>
        <w:tblPrEx>
          <w:shd w:val="clear" w:color="auto" w:fill="auto"/>
          <w:tblCellMar>
            <w:top w:w="0" w:type="dxa"/>
            <w:left w:w="108" w:type="dxa"/>
            <w:bottom w:w="0" w:type="dxa"/>
            <w:right w:w="108" w:type="dxa"/>
          </w:tblCellMar>
        </w:tblPrEx>
        <w:trPr>
          <w:trHeight w:val="480" w:hRule="atLeast"/>
          <w:jc w:val="center"/>
        </w:trPr>
        <w:tc>
          <w:tcPr>
            <w:tcW w:w="444"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1907"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补 光 灯</w:t>
            </w:r>
          </w:p>
        </w:tc>
        <w:tc>
          <w:tcPr>
            <w:tcW w:w="4420" w:type="dxa"/>
            <w:vMerge w:val="continue"/>
            <w:tcBorders>
              <w:left w:val="single" w:color="000000" w:sz="4" w:space="0"/>
              <w:bottom w:val="single" w:color="auto"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sz w:val="21"/>
                <w:szCs w:val="21"/>
                <w:highlight w:val="none"/>
                <w:u w:val="none"/>
              </w:rPr>
            </w:pPr>
          </w:p>
        </w:tc>
        <w:tc>
          <w:tcPr>
            <w:tcW w:w="641" w:type="dxa"/>
            <w:vMerge w:val="continue"/>
            <w:tcBorders>
              <w:left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p>
        </w:tc>
        <w:tc>
          <w:tcPr>
            <w:tcW w:w="660" w:type="dxa"/>
            <w:vMerge w:val="continue"/>
            <w:tcBorders>
              <w:left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p>
        </w:tc>
        <w:tc>
          <w:tcPr>
            <w:tcW w:w="451" w:type="dxa"/>
            <w:vMerge w:val="continue"/>
            <w:tcBorders>
              <w:left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val="0"/>
              <w:snapToGrid w:val="0"/>
              <w:spacing w:after="0" w:line="360" w:lineRule="auto"/>
              <w:rPr>
                <w:rFonts w:hint="eastAsia" w:ascii="宋体" w:hAnsi="宋体" w:eastAsia="宋体" w:cs="宋体"/>
                <w:i w:val="0"/>
                <w:iCs w:val="0"/>
                <w:color w:val="auto"/>
                <w:sz w:val="21"/>
                <w:szCs w:val="21"/>
                <w:highlight w:val="none"/>
                <w:u w:val="none"/>
              </w:rPr>
            </w:pPr>
          </w:p>
        </w:tc>
      </w:tr>
      <w:tr>
        <w:tblPrEx>
          <w:shd w:val="clear" w:color="auto" w:fill="auto"/>
          <w:tblCellMar>
            <w:top w:w="0" w:type="dxa"/>
            <w:left w:w="108" w:type="dxa"/>
            <w:bottom w:w="0" w:type="dxa"/>
            <w:right w:w="108" w:type="dxa"/>
          </w:tblCellMar>
        </w:tblPrEx>
        <w:trPr>
          <w:trHeight w:val="480" w:hRule="atLeast"/>
          <w:jc w:val="center"/>
        </w:trPr>
        <w:tc>
          <w:tcPr>
            <w:tcW w:w="444"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190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机    箱</w:t>
            </w:r>
          </w:p>
        </w:tc>
        <w:tc>
          <w:tcPr>
            <w:tcW w:w="442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sz w:val="21"/>
                <w:szCs w:val="21"/>
                <w:highlight w:val="none"/>
                <w:u w:val="none"/>
              </w:rPr>
            </w:pPr>
          </w:p>
        </w:tc>
        <w:tc>
          <w:tcPr>
            <w:tcW w:w="641" w:type="dxa"/>
            <w:vMerge w:val="continue"/>
            <w:tcBorders>
              <w:left w:val="single" w:color="000000" w:sz="4" w:space="0"/>
              <w:bottom w:val="single" w:color="auto"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p>
        </w:tc>
        <w:tc>
          <w:tcPr>
            <w:tcW w:w="660" w:type="dxa"/>
            <w:vMerge w:val="continue"/>
            <w:tcBorders>
              <w:left w:val="single" w:color="000000" w:sz="4" w:space="0"/>
              <w:bottom w:val="single" w:color="auto"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p>
        </w:tc>
        <w:tc>
          <w:tcPr>
            <w:tcW w:w="451" w:type="dxa"/>
            <w:vMerge w:val="continue"/>
            <w:tcBorders>
              <w:left w:val="single" w:color="000000" w:sz="4" w:space="0"/>
              <w:bottom w:val="single" w:color="auto"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val="0"/>
              <w:snapToGrid w:val="0"/>
              <w:spacing w:after="0" w:line="360" w:lineRule="auto"/>
              <w:rPr>
                <w:rFonts w:hint="eastAsia" w:ascii="宋体" w:hAnsi="宋体" w:eastAsia="宋体" w:cs="宋体"/>
                <w:i w:val="0"/>
                <w:iCs w:val="0"/>
                <w:color w:val="auto"/>
                <w:sz w:val="21"/>
                <w:szCs w:val="21"/>
                <w:highlight w:val="none"/>
                <w:u w:val="none"/>
              </w:rPr>
            </w:pPr>
          </w:p>
        </w:tc>
      </w:tr>
      <w:tr>
        <w:tblPrEx>
          <w:shd w:val="clear" w:color="auto" w:fill="auto"/>
          <w:tblCellMar>
            <w:top w:w="0" w:type="dxa"/>
            <w:left w:w="108" w:type="dxa"/>
            <w:bottom w:w="0" w:type="dxa"/>
            <w:right w:w="108" w:type="dxa"/>
          </w:tblCellMar>
        </w:tblPrEx>
        <w:trPr>
          <w:trHeight w:val="48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left"/>
              <w:rPr>
                <w:rFonts w:hint="eastAsia" w:ascii="宋体" w:hAnsi="宋体" w:eastAsia="宋体" w:cs="宋体"/>
                <w:i w:val="0"/>
                <w:iCs w:val="0"/>
                <w:color w:val="auto"/>
                <w:sz w:val="21"/>
                <w:szCs w:val="21"/>
                <w:highlight w:val="none"/>
                <w:u w:val="none"/>
              </w:rPr>
            </w:pPr>
          </w:p>
        </w:tc>
        <w:tc>
          <w:tcPr>
            <w:tcW w:w="6327"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二、出口设备</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left"/>
              <w:rPr>
                <w:rFonts w:hint="eastAsia" w:ascii="宋体" w:hAnsi="宋体" w:eastAsia="宋体" w:cs="宋体"/>
                <w:i w:val="0"/>
                <w:iCs w:val="0"/>
                <w:color w:val="auto"/>
                <w:sz w:val="21"/>
                <w:szCs w:val="21"/>
                <w:highlight w:val="none"/>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1"/>
                <w:szCs w:val="21"/>
                <w:highlight w:val="none"/>
                <w:u w:val="none"/>
              </w:rPr>
            </w:pPr>
          </w:p>
        </w:tc>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val="0"/>
              <w:snapToGrid w:val="0"/>
              <w:spacing w:after="0" w:line="360" w:lineRule="auto"/>
              <w:rPr>
                <w:rFonts w:hint="eastAsia" w:ascii="宋体" w:hAnsi="宋体" w:eastAsia="宋体" w:cs="宋体"/>
                <w:i w:val="0"/>
                <w:iCs w:val="0"/>
                <w:color w:val="auto"/>
                <w:sz w:val="21"/>
                <w:szCs w:val="21"/>
                <w:highlight w:val="none"/>
                <w:u w:val="none"/>
              </w:rPr>
            </w:pPr>
          </w:p>
        </w:tc>
      </w:tr>
      <w:tr>
        <w:tblPrEx>
          <w:shd w:val="clear" w:color="auto" w:fill="auto"/>
          <w:tblCellMar>
            <w:top w:w="0" w:type="dxa"/>
            <w:left w:w="108" w:type="dxa"/>
            <w:bottom w:w="0" w:type="dxa"/>
            <w:right w:w="108" w:type="dxa"/>
          </w:tblCellMar>
        </w:tblPrEx>
        <w:trPr>
          <w:trHeight w:val="48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9</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自动道闸</w:t>
            </w:r>
          </w:p>
        </w:tc>
        <w:tc>
          <w:tcPr>
            <w:tcW w:w="44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由箱体、电机、机械传动部分、栏杆、电子控制等组成的机电一体化产品。结构坚实牢固，色彩鲜明，具有较强的警示作用。以限位开关控制闸机上到位及下到位的动作，全电路采用无触点控制，具备通讯、开关量等多种接口控制方式，按钮开关、红外或无线遥控、电脑控制，以弱电控制强电，内置单片机微电脑处理芯片，具备智能逻辑控制处理功能；闸机设有紧急手动升降装置，用于停电后将闸杆手动摇起，提供应急通行；变频及直流无刷可选， 适用温度范围：—20℃～+70℃，相对湿度：≤95%，工作电压：AC 220V±15%，闸杆运行时间：2～6秒，闸杆长度：2～6米（栅栏杆长不超过3.5米）</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val="0"/>
              <w:snapToGrid w:val="0"/>
              <w:spacing w:after="0" w:line="360" w:lineRule="auto"/>
              <w:rPr>
                <w:rFonts w:hint="eastAsia" w:ascii="宋体" w:hAnsi="宋体" w:eastAsia="宋体" w:cs="宋体"/>
                <w:i w:val="0"/>
                <w:iCs w:val="0"/>
                <w:color w:val="auto"/>
                <w:sz w:val="21"/>
                <w:szCs w:val="21"/>
                <w:highlight w:val="none"/>
                <w:u w:val="none"/>
              </w:rPr>
            </w:pPr>
          </w:p>
        </w:tc>
      </w:tr>
      <w:tr>
        <w:tblPrEx>
          <w:shd w:val="clear" w:color="auto" w:fill="auto"/>
          <w:tblCellMar>
            <w:top w:w="0" w:type="dxa"/>
            <w:left w:w="108" w:type="dxa"/>
            <w:bottom w:w="0" w:type="dxa"/>
            <w:right w:w="108" w:type="dxa"/>
          </w:tblCellMar>
        </w:tblPrEx>
        <w:trPr>
          <w:trHeight w:val="48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907"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数字式车辆检测器</w:t>
            </w:r>
          </w:p>
        </w:tc>
        <w:tc>
          <w:tcPr>
            <w:tcW w:w="4420"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了先进的数模转化技术，抗干扰能力强；灵敏度可调节，根据车道通行的车辆种类调节检测器的感应灵敏度；具有独特的防砸功能，车辆位于感应线圈范围之内时，闸机将会停止动作或向上开启（可选）；因检测器可检测车辆的存在，故还可用于检测车辆计数等功能。</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val="0"/>
              <w:snapToGrid w:val="0"/>
              <w:spacing w:after="0" w:line="360" w:lineRule="auto"/>
              <w:rPr>
                <w:rFonts w:hint="eastAsia" w:ascii="宋体" w:hAnsi="宋体" w:eastAsia="宋体" w:cs="宋体"/>
                <w:i w:val="0"/>
                <w:iCs w:val="0"/>
                <w:color w:val="auto"/>
                <w:sz w:val="21"/>
                <w:szCs w:val="21"/>
                <w:highlight w:val="none"/>
                <w:u w:val="none"/>
              </w:rPr>
            </w:pPr>
          </w:p>
        </w:tc>
      </w:tr>
      <w:tr>
        <w:tblPrEx>
          <w:shd w:val="clear" w:color="auto" w:fill="auto"/>
          <w:tblCellMar>
            <w:top w:w="0" w:type="dxa"/>
            <w:left w:w="108" w:type="dxa"/>
            <w:bottom w:w="0" w:type="dxa"/>
            <w:right w:w="108" w:type="dxa"/>
          </w:tblCellMar>
        </w:tblPrEx>
        <w:trPr>
          <w:trHeight w:val="480" w:hRule="atLeast"/>
          <w:jc w:val="center"/>
        </w:trPr>
        <w:tc>
          <w:tcPr>
            <w:tcW w:w="444"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190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入口车牌识别一体机（含以下）</w:t>
            </w:r>
          </w:p>
        </w:tc>
        <w:tc>
          <w:tcPr>
            <w:tcW w:w="4420"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四行LED高亮显示。一屏同时显示：时间、车牌、欢迎语、剩余车位、停车时长及收费金额等信息</w:t>
            </w:r>
          </w:p>
          <w:p>
            <w:pPr>
              <w:pStyle w:val="8"/>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220/12V,用于为识别仪供电专门设计</w:t>
            </w:r>
          </w:p>
          <w:p>
            <w:pPr>
              <w:pStyle w:val="8"/>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1. 高分辨视频和图像，200万像素全高清数字流，帧率达15\30帧\秒；2. 进口单核心处理芯片，结合独有车牌识别算法识别，从识别到数据上传至前端仅需10毫秒；3. 多种识别模式，可根据现场情况采用电平触发识别、485通讯触发识别、视频触发识别或多种模式结合触发识别，即可保证较高识比率，也可保证极高捕获率；4. 高强度防水设计，结合温控、环境侦测、故障自检模块，系统运行更稳定、可靠；5. 具有黑白名单控制功能，黑名单报警，白名单自动放行，广泛应用于无卡自助进出停车场管理系统中，进出授权更简单，通用EXCEL表格一键式导入，管理更方便；6. 独有感光模块，在不同光照情况下自动选择相应补光模式，针对夜晚车灯及白天自然光照有极强的适应性，在恶略天气环境下也可保证极高的车牌识别率；7. 识别速度毫秒级，可在200km/h车速下完成车牌识别功能，可广泛应用于各种路况下；8. 除车牌内容、颜色外，还可识别多种车辆属性，如车型、车辆颜色，还可实现车辆人脸抓拍。不仅可将信息存入数据中心，还可将识别信息叠加到捕获图片，显示更直观；</w:t>
            </w:r>
          </w:p>
          <w:p>
            <w:pPr>
              <w:pStyle w:val="8"/>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光敏感应，光线不足时自动亮起，以补充车道光线的不足</w:t>
            </w:r>
          </w:p>
          <w:p>
            <w:pPr>
              <w:pStyle w:val="8"/>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机箱由优质钢板烤漆制作，时尚的设计让整机看起来美观大方，机身将显示屏、摄像机、补光灯等集于一身，节约安装空间，也有利于设备的快速安装调试。</w:t>
            </w:r>
          </w:p>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入口控制机、出口控制机可与管理计算机实现时钟自动校准。</w:t>
            </w:r>
          </w:p>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在管理计算机的显示界面上可显示车辆或驾驶员的出入图片。</w:t>
            </w:r>
          </w:p>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可按照预置的收费标准和收费模式进行计费，并输出相应报表。</w:t>
            </w:r>
          </w:p>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在停电或系统不能正常工作时，可以手动开启/关闭挡车器。</w:t>
            </w:r>
          </w:p>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sz w:val="21"/>
                <w:szCs w:val="21"/>
                <w:highlight w:val="none"/>
                <w:u w:val="none"/>
                <w:lang w:val="en-US" w:eastAsia="zh-CN" w:bidi="ar-SA"/>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通过出入口读卡机箱的显示屏，可显示停车场总车位数量和剩余车位数量。</w:t>
            </w:r>
          </w:p>
        </w:tc>
        <w:tc>
          <w:tcPr>
            <w:tcW w:w="641" w:type="dxa"/>
            <w:vMerge w:val="restart"/>
            <w:tcBorders>
              <w:top w:val="single" w:color="000000" w:sz="4" w:space="0"/>
              <w:left w:val="single" w:color="auto"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套</w:t>
            </w:r>
          </w:p>
        </w:tc>
        <w:tc>
          <w:tcPr>
            <w:tcW w:w="660" w:type="dxa"/>
            <w:vMerge w:val="restart"/>
            <w:tcBorders>
              <w:top w:val="single" w:color="000000" w:sz="4" w:space="0"/>
              <w:left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w:t>
            </w:r>
          </w:p>
        </w:tc>
        <w:tc>
          <w:tcPr>
            <w:tcW w:w="451"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1"/>
                <w:szCs w:val="21"/>
                <w:highlight w:val="none"/>
                <w:u w:val="none"/>
              </w:rPr>
            </w:pPr>
          </w:p>
        </w:tc>
      </w:tr>
      <w:tr>
        <w:tblPrEx>
          <w:shd w:val="clear" w:color="auto" w:fill="auto"/>
          <w:tblCellMar>
            <w:top w:w="0" w:type="dxa"/>
            <w:left w:w="108" w:type="dxa"/>
            <w:bottom w:w="0" w:type="dxa"/>
            <w:right w:w="108" w:type="dxa"/>
          </w:tblCellMar>
        </w:tblPrEx>
        <w:trPr>
          <w:trHeight w:val="480" w:hRule="atLeast"/>
          <w:jc w:val="center"/>
        </w:trPr>
        <w:tc>
          <w:tcPr>
            <w:tcW w:w="444"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190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电子显示屏</w:t>
            </w:r>
          </w:p>
        </w:tc>
        <w:tc>
          <w:tcPr>
            <w:tcW w:w="442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sz w:val="21"/>
                <w:szCs w:val="21"/>
                <w:highlight w:val="none"/>
                <w:u w:val="none"/>
              </w:rPr>
            </w:pPr>
          </w:p>
        </w:tc>
        <w:tc>
          <w:tcPr>
            <w:tcW w:w="641" w:type="dxa"/>
            <w:vMerge w:val="continue"/>
            <w:tcBorders>
              <w:left w:val="single" w:color="auto"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p>
        </w:tc>
        <w:tc>
          <w:tcPr>
            <w:tcW w:w="660" w:type="dxa"/>
            <w:vMerge w:val="continue"/>
            <w:tcBorders>
              <w:left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p>
        </w:tc>
        <w:tc>
          <w:tcPr>
            <w:tcW w:w="451" w:type="dxa"/>
            <w:vMerge w:val="continue"/>
            <w:tcBorders>
              <w:left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val="0"/>
              <w:snapToGrid w:val="0"/>
              <w:spacing w:after="0" w:line="360" w:lineRule="auto"/>
              <w:rPr>
                <w:rFonts w:hint="eastAsia" w:ascii="宋体" w:hAnsi="宋体" w:eastAsia="宋体" w:cs="宋体"/>
                <w:i w:val="0"/>
                <w:iCs w:val="0"/>
                <w:color w:val="auto"/>
                <w:sz w:val="21"/>
                <w:szCs w:val="21"/>
                <w:highlight w:val="none"/>
                <w:u w:val="none"/>
              </w:rPr>
            </w:pPr>
          </w:p>
        </w:tc>
      </w:tr>
      <w:tr>
        <w:tblPrEx>
          <w:shd w:val="clear" w:color="auto" w:fill="auto"/>
          <w:tblCellMar>
            <w:top w:w="0" w:type="dxa"/>
            <w:left w:w="108" w:type="dxa"/>
            <w:bottom w:w="0" w:type="dxa"/>
            <w:right w:w="108" w:type="dxa"/>
          </w:tblCellMar>
        </w:tblPrEx>
        <w:trPr>
          <w:trHeight w:val="480" w:hRule="atLeast"/>
          <w:jc w:val="center"/>
        </w:trPr>
        <w:tc>
          <w:tcPr>
            <w:tcW w:w="444"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190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专用电源</w:t>
            </w:r>
          </w:p>
        </w:tc>
        <w:tc>
          <w:tcPr>
            <w:tcW w:w="442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sz w:val="21"/>
                <w:szCs w:val="21"/>
                <w:highlight w:val="none"/>
                <w:u w:val="none"/>
              </w:rPr>
            </w:pPr>
          </w:p>
        </w:tc>
        <w:tc>
          <w:tcPr>
            <w:tcW w:w="641" w:type="dxa"/>
            <w:vMerge w:val="continue"/>
            <w:tcBorders>
              <w:left w:val="single" w:color="auto"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p>
        </w:tc>
        <w:tc>
          <w:tcPr>
            <w:tcW w:w="660" w:type="dxa"/>
            <w:vMerge w:val="continue"/>
            <w:tcBorders>
              <w:left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p>
        </w:tc>
        <w:tc>
          <w:tcPr>
            <w:tcW w:w="451" w:type="dxa"/>
            <w:vMerge w:val="continue"/>
            <w:tcBorders>
              <w:left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val="0"/>
              <w:snapToGrid w:val="0"/>
              <w:spacing w:after="0" w:line="360" w:lineRule="auto"/>
              <w:rPr>
                <w:rFonts w:hint="eastAsia" w:ascii="宋体" w:hAnsi="宋体" w:eastAsia="宋体" w:cs="宋体"/>
                <w:i w:val="0"/>
                <w:iCs w:val="0"/>
                <w:color w:val="auto"/>
                <w:sz w:val="21"/>
                <w:szCs w:val="21"/>
                <w:highlight w:val="none"/>
                <w:u w:val="none"/>
              </w:rPr>
            </w:pPr>
          </w:p>
        </w:tc>
      </w:tr>
      <w:tr>
        <w:tblPrEx>
          <w:shd w:val="clear" w:color="auto" w:fill="auto"/>
          <w:tblCellMar>
            <w:top w:w="0" w:type="dxa"/>
            <w:left w:w="108" w:type="dxa"/>
            <w:bottom w:w="0" w:type="dxa"/>
            <w:right w:w="108" w:type="dxa"/>
          </w:tblCellMar>
        </w:tblPrEx>
        <w:trPr>
          <w:trHeight w:val="48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1907"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车牌识别仪</w:t>
            </w:r>
          </w:p>
        </w:tc>
        <w:tc>
          <w:tcPr>
            <w:tcW w:w="4420" w:type="dxa"/>
            <w:vMerge w:val="continue"/>
            <w:tcBorders>
              <w:top w:val="single" w:color="auto" w:sz="4" w:space="0"/>
              <w:left w:val="single" w:color="000000"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sz w:val="21"/>
                <w:szCs w:val="21"/>
                <w:highlight w:val="none"/>
                <w:u w:val="none"/>
              </w:rPr>
            </w:pPr>
          </w:p>
        </w:tc>
        <w:tc>
          <w:tcPr>
            <w:tcW w:w="641" w:type="dxa"/>
            <w:vMerge w:val="continue"/>
            <w:tcBorders>
              <w:left w:val="single" w:color="auto"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p>
        </w:tc>
        <w:tc>
          <w:tcPr>
            <w:tcW w:w="660" w:type="dxa"/>
            <w:vMerge w:val="continue"/>
            <w:tcBorders>
              <w:left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p>
        </w:tc>
        <w:tc>
          <w:tcPr>
            <w:tcW w:w="451" w:type="dxa"/>
            <w:vMerge w:val="continue"/>
            <w:tcBorders>
              <w:left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val="0"/>
              <w:snapToGrid w:val="0"/>
              <w:spacing w:after="0" w:line="360" w:lineRule="auto"/>
              <w:rPr>
                <w:rFonts w:hint="eastAsia" w:ascii="宋体" w:hAnsi="宋体" w:eastAsia="宋体" w:cs="宋体"/>
                <w:i w:val="0"/>
                <w:iCs w:val="0"/>
                <w:color w:val="auto"/>
                <w:sz w:val="21"/>
                <w:szCs w:val="21"/>
                <w:highlight w:val="none"/>
                <w:u w:val="none"/>
              </w:rPr>
            </w:pPr>
          </w:p>
        </w:tc>
      </w:tr>
      <w:tr>
        <w:tblPrEx>
          <w:tblCellMar>
            <w:top w:w="0" w:type="dxa"/>
            <w:left w:w="108" w:type="dxa"/>
            <w:bottom w:w="0" w:type="dxa"/>
            <w:right w:w="108" w:type="dxa"/>
          </w:tblCellMar>
        </w:tblPrEx>
        <w:trPr>
          <w:trHeight w:val="480" w:hRule="atLeast"/>
          <w:jc w:val="center"/>
        </w:trPr>
        <w:tc>
          <w:tcPr>
            <w:tcW w:w="444"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1907"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补 光 灯</w:t>
            </w:r>
          </w:p>
        </w:tc>
        <w:tc>
          <w:tcPr>
            <w:tcW w:w="4420" w:type="dxa"/>
            <w:vMerge w:val="continue"/>
            <w:tcBorders>
              <w:left w:val="single" w:color="000000" w:sz="4" w:space="0"/>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sz w:val="21"/>
                <w:szCs w:val="21"/>
                <w:highlight w:val="none"/>
                <w:u w:val="none"/>
              </w:rPr>
            </w:pPr>
          </w:p>
        </w:tc>
        <w:tc>
          <w:tcPr>
            <w:tcW w:w="641" w:type="dxa"/>
            <w:vMerge w:val="continue"/>
            <w:tcBorders>
              <w:left w:val="single" w:color="auto"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p>
        </w:tc>
        <w:tc>
          <w:tcPr>
            <w:tcW w:w="660" w:type="dxa"/>
            <w:vMerge w:val="continue"/>
            <w:tcBorders>
              <w:left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p>
        </w:tc>
        <w:tc>
          <w:tcPr>
            <w:tcW w:w="451" w:type="dxa"/>
            <w:vMerge w:val="continue"/>
            <w:tcBorders>
              <w:left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val="0"/>
              <w:snapToGrid w:val="0"/>
              <w:spacing w:after="0" w:line="360" w:lineRule="auto"/>
              <w:rPr>
                <w:rFonts w:hint="eastAsia" w:ascii="宋体" w:hAnsi="宋体" w:eastAsia="宋体" w:cs="宋体"/>
                <w:i w:val="0"/>
                <w:iCs w:val="0"/>
                <w:color w:val="auto"/>
                <w:sz w:val="21"/>
                <w:szCs w:val="21"/>
                <w:highlight w:val="none"/>
                <w:u w:val="none"/>
              </w:rPr>
            </w:pPr>
          </w:p>
        </w:tc>
      </w:tr>
      <w:tr>
        <w:tblPrEx>
          <w:shd w:val="clear" w:color="auto" w:fill="auto"/>
          <w:tblCellMar>
            <w:top w:w="0" w:type="dxa"/>
            <w:left w:w="108" w:type="dxa"/>
            <w:bottom w:w="0" w:type="dxa"/>
            <w:right w:w="108" w:type="dxa"/>
          </w:tblCellMar>
        </w:tblPrEx>
        <w:trPr>
          <w:trHeight w:val="480" w:hRule="atLeast"/>
          <w:jc w:val="center"/>
        </w:trPr>
        <w:tc>
          <w:tcPr>
            <w:tcW w:w="444"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190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机    箱</w:t>
            </w:r>
          </w:p>
        </w:tc>
        <w:tc>
          <w:tcPr>
            <w:tcW w:w="442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sz w:val="21"/>
                <w:szCs w:val="21"/>
                <w:highlight w:val="none"/>
                <w:u w:val="none"/>
              </w:rPr>
            </w:pPr>
          </w:p>
        </w:tc>
        <w:tc>
          <w:tcPr>
            <w:tcW w:w="641" w:type="dxa"/>
            <w:vMerge w:val="continue"/>
            <w:tcBorders>
              <w:left w:val="single" w:color="auto" w:sz="4" w:space="0"/>
              <w:bottom w:val="single" w:color="auto"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p>
        </w:tc>
        <w:tc>
          <w:tcPr>
            <w:tcW w:w="660" w:type="dxa"/>
            <w:vMerge w:val="continue"/>
            <w:tcBorders>
              <w:left w:val="single" w:color="000000" w:sz="4" w:space="0"/>
              <w:bottom w:val="single" w:color="auto"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p>
        </w:tc>
        <w:tc>
          <w:tcPr>
            <w:tcW w:w="451" w:type="dxa"/>
            <w:vMerge w:val="continue"/>
            <w:tcBorders>
              <w:left w:val="single" w:color="000000" w:sz="4" w:space="0"/>
              <w:bottom w:val="single" w:color="auto"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val="0"/>
              <w:snapToGrid w:val="0"/>
              <w:spacing w:after="0" w:line="360" w:lineRule="auto"/>
              <w:rPr>
                <w:rFonts w:hint="eastAsia" w:ascii="宋体" w:hAnsi="宋体" w:eastAsia="宋体" w:cs="宋体"/>
                <w:i w:val="0"/>
                <w:iCs w:val="0"/>
                <w:color w:val="auto"/>
                <w:sz w:val="21"/>
                <w:szCs w:val="21"/>
                <w:highlight w:val="none"/>
                <w:u w:val="none"/>
              </w:rPr>
            </w:pPr>
          </w:p>
        </w:tc>
      </w:tr>
      <w:tr>
        <w:tblPrEx>
          <w:tblCellMar>
            <w:top w:w="0" w:type="dxa"/>
            <w:left w:w="108" w:type="dxa"/>
            <w:bottom w:w="0" w:type="dxa"/>
            <w:right w:w="108" w:type="dxa"/>
          </w:tblCellMar>
        </w:tblPrEx>
        <w:trPr>
          <w:trHeight w:val="480" w:hRule="atLeast"/>
          <w:jc w:val="center"/>
        </w:trPr>
        <w:tc>
          <w:tcPr>
            <w:tcW w:w="444"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left"/>
              <w:rPr>
                <w:rFonts w:hint="eastAsia" w:ascii="宋体" w:hAnsi="宋体" w:eastAsia="宋体" w:cs="宋体"/>
                <w:i w:val="0"/>
                <w:iCs w:val="0"/>
                <w:color w:val="auto"/>
                <w:sz w:val="21"/>
                <w:szCs w:val="21"/>
                <w:highlight w:val="none"/>
                <w:u w:val="none"/>
              </w:rPr>
            </w:pPr>
          </w:p>
        </w:tc>
        <w:tc>
          <w:tcPr>
            <w:tcW w:w="6327" w:type="dxa"/>
            <w:gridSpan w:val="2"/>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三、岗亭收费中心</w:t>
            </w:r>
          </w:p>
        </w:tc>
        <w:tc>
          <w:tcPr>
            <w:tcW w:w="641"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left"/>
              <w:rPr>
                <w:rFonts w:hint="eastAsia" w:ascii="宋体" w:hAnsi="宋体" w:eastAsia="宋体" w:cs="宋体"/>
                <w:i w:val="0"/>
                <w:iCs w:val="0"/>
                <w:color w:val="auto"/>
                <w:sz w:val="21"/>
                <w:szCs w:val="21"/>
                <w:highlight w:val="none"/>
                <w:u w:val="none"/>
              </w:rPr>
            </w:pPr>
          </w:p>
        </w:tc>
        <w:tc>
          <w:tcPr>
            <w:tcW w:w="660"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1"/>
                <w:szCs w:val="21"/>
                <w:highlight w:val="none"/>
                <w:u w:val="none"/>
              </w:rPr>
            </w:pPr>
          </w:p>
        </w:tc>
        <w:tc>
          <w:tcPr>
            <w:tcW w:w="451" w:type="dxa"/>
            <w:tcBorders>
              <w:top w:val="single" w:color="auto"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val="0"/>
              <w:snapToGrid w:val="0"/>
              <w:spacing w:after="0" w:line="360" w:lineRule="auto"/>
              <w:rPr>
                <w:rFonts w:hint="eastAsia" w:ascii="宋体" w:hAnsi="宋体" w:eastAsia="宋体" w:cs="宋体"/>
                <w:i w:val="0"/>
                <w:iCs w:val="0"/>
                <w:color w:val="auto"/>
                <w:sz w:val="21"/>
                <w:szCs w:val="21"/>
                <w:highlight w:val="none"/>
                <w:u w:val="none"/>
              </w:rPr>
            </w:pPr>
          </w:p>
        </w:tc>
      </w:tr>
      <w:tr>
        <w:tblPrEx>
          <w:tblCellMar>
            <w:top w:w="0" w:type="dxa"/>
            <w:left w:w="108" w:type="dxa"/>
            <w:bottom w:w="0" w:type="dxa"/>
            <w:right w:w="108" w:type="dxa"/>
          </w:tblCellMar>
        </w:tblPrEx>
        <w:trPr>
          <w:trHeight w:val="48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一卡通管理软件</w:t>
            </w:r>
          </w:p>
        </w:tc>
        <w:tc>
          <w:tcPr>
            <w:tcW w:w="44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1.名称:一卡通管理软件</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val="0"/>
              <w:snapToGrid w:val="0"/>
              <w:spacing w:after="0" w:line="360" w:lineRule="auto"/>
              <w:rPr>
                <w:rFonts w:hint="eastAsia" w:ascii="宋体" w:hAnsi="宋体" w:eastAsia="宋体" w:cs="宋体"/>
                <w:i w:val="0"/>
                <w:iCs w:val="0"/>
                <w:color w:val="auto"/>
                <w:sz w:val="21"/>
                <w:szCs w:val="21"/>
                <w:highlight w:val="none"/>
                <w:u w:val="none"/>
              </w:rPr>
            </w:pPr>
          </w:p>
        </w:tc>
      </w:tr>
      <w:tr>
        <w:tblPrEx>
          <w:tblCellMar>
            <w:top w:w="0" w:type="dxa"/>
            <w:left w:w="108" w:type="dxa"/>
            <w:bottom w:w="0" w:type="dxa"/>
            <w:right w:w="108" w:type="dxa"/>
          </w:tblCellMar>
        </w:tblPrEx>
        <w:trPr>
          <w:trHeight w:val="48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软件狗</w:t>
            </w:r>
          </w:p>
        </w:tc>
        <w:tc>
          <w:tcPr>
            <w:tcW w:w="44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1.名称:密码锁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2.型号:按电脑数量配置</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val="0"/>
              <w:snapToGrid w:val="0"/>
              <w:spacing w:after="0" w:line="360" w:lineRule="auto"/>
              <w:rPr>
                <w:rFonts w:hint="eastAsia" w:ascii="宋体" w:hAnsi="宋体" w:eastAsia="宋体" w:cs="宋体"/>
                <w:i w:val="0"/>
                <w:iCs w:val="0"/>
                <w:color w:val="auto"/>
                <w:sz w:val="21"/>
                <w:szCs w:val="21"/>
                <w:highlight w:val="none"/>
                <w:u w:val="none"/>
              </w:rPr>
            </w:pPr>
          </w:p>
        </w:tc>
      </w:tr>
      <w:tr>
        <w:tblPrEx>
          <w:shd w:val="clear" w:color="auto" w:fill="auto"/>
          <w:tblCellMar>
            <w:top w:w="0" w:type="dxa"/>
            <w:left w:w="108" w:type="dxa"/>
            <w:bottom w:w="0" w:type="dxa"/>
            <w:right w:w="108" w:type="dxa"/>
          </w:tblCellMar>
        </w:tblPrEx>
        <w:trPr>
          <w:trHeight w:val="48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19</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管理电脑</w:t>
            </w:r>
          </w:p>
        </w:tc>
        <w:tc>
          <w:tcPr>
            <w:tcW w:w="44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1.名称:管理电脑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2.规格:八代i3-8400 8G 128GSSD 2T 2G独显 WIFI 蓝牙 键鼠 三年上门售后</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val="0"/>
              <w:snapToGrid w:val="0"/>
              <w:spacing w:after="0" w:line="360" w:lineRule="auto"/>
              <w:rPr>
                <w:rFonts w:hint="eastAsia" w:ascii="宋体" w:hAnsi="宋体" w:eastAsia="宋体" w:cs="宋体"/>
                <w:i w:val="0"/>
                <w:iCs w:val="0"/>
                <w:color w:val="auto"/>
                <w:sz w:val="21"/>
                <w:szCs w:val="21"/>
                <w:highlight w:val="none"/>
                <w:u w:val="none"/>
              </w:rPr>
            </w:pPr>
          </w:p>
        </w:tc>
      </w:tr>
      <w:tr>
        <w:tblPrEx>
          <w:shd w:val="clear" w:color="auto" w:fill="auto"/>
          <w:tblCellMar>
            <w:top w:w="0" w:type="dxa"/>
            <w:left w:w="108" w:type="dxa"/>
            <w:bottom w:w="0" w:type="dxa"/>
            <w:right w:w="108" w:type="dxa"/>
          </w:tblCellMar>
        </w:tblPrEx>
        <w:trPr>
          <w:trHeight w:val="48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20</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网络交换机</w:t>
            </w:r>
          </w:p>
        </w:tc>
        <w:tc>
          <w:tcPr>
            <w:tcW w:w="44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1.名称:网络交换机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2.规格:交换容量 ；交换容量≥4.32T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包转发率 ；包转发率≥128Mpps</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端口类型 ；8个千兆SFP，8个10/100/1000BASE-T以太网端口，4 个万兆SFP+</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硬件 ；为了提高设备可靠性，支持模块化可插拔双电源</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val="0"/>
              <w:snapToGrid w:val="0"/>
              <w:spacing w:after="0" w:line="360" w:lineRule="auto"/>
              <w:rPr>
                <w:rFonts w:hint="eastAsia" w:ascii="宋体" w:hAnsi="宋体" w:eastAsia="宋体" w:cs="宋体"/>
                <w:i w:val="0"/>
                <w:iCs w:val="0"/>
                <w:color w:val="auto"/>
                <w:sz w:val="21"/>
                <w:szCs w:val="21"/>
                <w:highlight w:val="none"/>
                <w:u w:val="none"/>
              </w:rPr>
            </w:pPr>
          </w:p>
        </w:tc>
      </w:tr>
      <w:tr>
        <w:tblPrEx>
          <w:tblCellMar>
            <w:top w:w="0" w:type="dxa"/>
            <w:left w:w="108" w:type="dxa"/>
            <w:bottom w:w="0" w:type="dxa"/>
            <w:right w:w="108" w:type="dxa"/>
          </w:tblCellMar>
        </w:tblPrEx>
        <w:trPr>
          <w:trHeight w:val="48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21</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水泥安全岛</w:t>
            </w:r>
          </w:p>
        </w:tc>
        <w:tc>
          <w:tcPr>
            <w:tcW w:w="44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1.名称:水泥安全岛</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2.型号:3*0.6*0.2</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val="0"/>
              <w:snapToGrid w:val="0"/>
              <w:spacing w:after="0" w:line="360" w:lineRule="auto"/>
              <w:rPr>
                <w:rFonts w:hint="eastAsia" w:ascii="宋体" w:hAnsi="宋体" w:eastAsia="宋体" w:cs="宋体"/>
                <w:i w:val="0"/>
                <w:iCs w:val="0"/>
                <w:color w:val="auto"/>
                <w:sz w:val="21"/>
                <w:szCs w:val="21"/>
                <w:highlight w:val="none"/>
                <w:u w:val="none"/>
              </w:rPr>
            </w:pPr>
          </w:p>
        </w:tc>
      </w:tr>
      <w:tr>
        <w:tblPrEx>
          <w:tblCellMar>
            <w:top w:w="0" w:type="dxa"/>
            <w:left w:w="108" w:type="dxa"/>
            <w:bottom w:w="0" w:type="dxa"/>
            <w:right w:w="108" w:type="dxa"/>
          </w:tblCellMar>
        </w:tblPrEx>
        <w:trPr>
          <w:trHeight w:val="48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22</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不锈钢室外防水配电箱</w:t>
            </w:r>
          </w:p>
        </w:tc>
        <w:tc>
          <w:tcPr>
            <w:tcW w:w="44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1.名称:不锈钢室外防水配电箱</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2.规格:400X500X200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3.型号:含配电开关，布线、安装导轨辅材等</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val="0"/>
              <w:snapToGrid w:val="0"/>
              <w:spacing w:after="0" w:line="360" w:lineRule="auto"/>
              <w:rPr>
                <w:rFonts w:hint="eastAsia" w:ascii="宋体" w:hAnsi="宋体" w:eastAsia="宋体" w:cs="宋体"/>
                <w:i w:val="0"/>
                <w:iCs w:val="0"/>
                <w:color w:val="auto"/>
                <w:sz w:val="21"/>
                <w:szCs w:val="21"/>
                <w:highlight w:val="none"/>
                <w:u w:val="none"/>
              </w:rPr>
            </w:pPr>
          </w:p>
        </w:tc>
      </w:tr>
      <w:tr>
        <w:tblPrEx>
          <w:shd w:val="clear" w:color="auto" w:fill="auto"/>
          <w:tblCellMar>
            <w:top w:w="0" w:type="dxa"/>
            <w:left w:w="108" w:type="dxa"/>
            <w:bottom w:w="0" w:type="dxa"/>
            <w:right w:w="108" w:type="dxa"/>
          </w:tblCellMar>
        </w:tblPrEx>
        <w:trPr>
          <w:trHeight w:val="48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23</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反光立柱</w:t>
            </w:r>
          </w:p>
        </w:tc>
        <w:tc>
          <w:tcPr>
            <w:tcW w:w="44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1.名称:反光立柱（贴工程反光膜）</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w:t>
            </w:r>
          </w:p>
        </w:tc>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val="0"/>
              <w:snapToGrid w:val="0"/>
              <w:spacing w:after="0" w:line="360" w:lineRule="auto"/>
              <w:rPr>
                <w:rFonts w:hint="eastAsia" w:ascii="宋体" w:hAnsi="宋体" w:eastAsia="宋体" w:cs="宋体"/>
                <w:i w:val="0"/>
                <w:iCs w:val="0"/>
                <w:color w:val="auto"/>
                <w:sz w:val="21"/>
                <w:szCs w:val="21"/>
                <w:highlight w:val="none"/>
                <w:u w:val="none"/>
              </w:rPr>
            </w:pPr>
          </w:p>
        </w:tc>
      </w:tr>
      <w:tr>
        <w:tblPrEx>
          <w:shd w:val="clear" w:color="auto" w:fill="auto"/>
          <w:tblCellMar>
            <w:top w:w="0" w:type="dxa"/>
            <w:left w:w="108" w:type="dxa"/>
            <w:bottom w:w="0" w:type="dxa"/>
            <w:right w:w="108" w:type="dxa"/>
          </w:tblCellMar>
        </w:tblPrEx>
        <w:trPr>
          <w:trHeight w:val="48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24</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减速带</w:t>
            </w:r>
          </w:p>
        </w:tc>
        <w:tc>
          <w:tcPr>
            <w:tcW w:w="44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1.名称:橡胶减速带</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2.安装部位:黄色黑色相间</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val="0"/>
              <w:snapToGrid w:val="0"/>
              <w:spacing w:after="0" w:line="360" w:lineRule="auto"/>
              <w:rPr>
                <w:rFonts w:hint="eastAsia" w:ascii="宋体" w:hAnsi="宋体" w:eastAsia="宋体" w:cs="宋体"/>
                <w:i w:val="0"/>
                <w:iCs w:val="0"/>
                <w:color w:val="auto"/>
                <w:sz w:val="21"/>
                <w:szCs w:val="21"/>
                <w:highlight w:val="none"/>
                <w:u w:val="none"/>
              </w:rPr>
            </w:pPr>
          </w:p>
        </w:tc>
      </w:tr>
      <w:tr>
        <w:tblPrEx>
          <w:shd w:val="clear" w:color="auto" w:fill="auto"/>
          <w:tblCellMar>
            <w:top w:w="0" w:type="dxa"/>
            <w:left w:w="108" w:type="dxa"/>
            <w:bottom w:w="0" w:type="dxa"/>
            <w:right w:w="108" w:type="dxa"/>
          </w:tblCellMar>
        </w:tblPrEx>
        <w:trPr>
          <w:trHeight w:val="48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25</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禁止驶入牌</w:t>
            </w:r>
          </w:p>
        </w:tc>
        <w:tc>
          <w:tcPr>
            <w:tcW w:w="44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1.名称:禁止驶入牌</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2.镌字规格、种类:"禁止驶入牌"交通标志提示牌。</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 杆件采用优质Q235材料加工成；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 立杆圆型，高4.5m；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 杆件法兰及加强部分采用气体保护焊；</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 杆件整体喷塑处理。</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val="0"/>
              <w:snapToGrid w:val="0"/>
              <w:spacing w:after="0" w:line="360" w:lineRule="auto"/>
              <w:rPr>
                <w:rFonts w:hint="eastAsia" w:ascii="宋体" w:hAnsi="宋体" w:eastAsia="宋体" w:cs="宋体"/>
                <w:i w:val="0"/>
                <w:iCs w:val="0"/>
                <w:color w:val="auto"/>
                <w:sz w:val="21"/>
                <w:szCs w:val="21"/>
                <w:highlight w:val="none"/>
                <w:u w:val="none"/>
              </w:rPr>
            </w:pPr>
          </w:p>
        </w:tc>
      </w:tr>
      <w:tr>
        <w:tblPrEx>
          <w:tblCellMar>
            <w:top w:w="0" w:type="dxa"/>
            <w:left w:w="108" w:type="dxa"/>
            <w:bottom w:w="0" w:type="dxa"/>
            <w:right w:w="108" w:type="dxa"/>
          </w:tblCellMar>
        </w:tblPrEx>
        <w:trPr>
          <w:trHeight w:val="48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26</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停车收费牌</w:t>
            </w:r>
          </w:p>
        </w:tc>
        <w:tc>
          <w:tcPr>
            <w:tcW w:w="44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1.名称:停车收费牌</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2.镌字规格、种类:"停车收费牌"交通标志提示牌。</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 杆件采用优质Q235材料加工成；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 立杆圆型，高4.5m；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 杆件法兰及加强部分采用气体保护焊；</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 杆件整体喷塑处理。</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val="0"/>
              <w:snapToGrid w:val="0"/>
              <w:spacing w:after="0" w:line="360" w:lineRule="auto"/>
              <w:rPr>
                <w:rFonts w:hint="eastAsia" w:ascii="宋体" w:hAnsi="宋体" w:eastAsia="宋体" w:cs="宋体"/>
                <w:i w:val="0"/>
                <w:iCs w:val="0"/>
                <w:color w:val="auto"/>
                <w:sz w:val="21"/>
                <w:szCs w:val="21"/>
                <w:highlight w:val="none"/>
                <w:u w:val="none"/>
              </w:rPr>
            </w:pPr>
          </w:p>
        </w:tc>
      </w:tr>
      <w:tr>
        <w:tblPrEx>
          <w:tblCellMar>
            <w:top w:w="0" w:type="dxa"/>
            <w:left w:w="108" w:type="dxa"/>
            <w:bottom w:w="0" w:type="dxa"/>
            <w:right w:w="108" w:type="dxa"/>
          </w:tblCellMar>
        </w:tblPrEx>
        <w:trPr>
          <w:trHeight w:val="48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lang w:val="en-US" w:eastAsia="zh-CN" w:bidi="ar-SA"/>
              </w:rPr>
            </w:pPr>
          </w:p>
        </w:tc>
        <w:tc>
          <w:tcPr>
            <w:tcW w:w="6327"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四、电线线管工程</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left"/>
              <w:rPr>
                <w:rFonts w:hint="eastAsia" w:ascii="宋体" w:hAnsi="宋体" w:eastAsia="宋体" w:cs="宋体"/>
                <w:i w:val="0"/>
                <w:iCs w:val="0"/>
                <w:color w:val="auto"/>
                <w:sz w:val="21"/>
                <w:szCs w:val="21"/>
                <w:highlight w:val="none"/>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1"/>
                <w:szCs w:val="21"/>
                <w:highlight w:val="none"/>
                <w:u w:val="none"/>
              </w:rPr>
            </w:pPr>
          </w:p>
        </w:tc>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val="0"/>
              <w:snapToGrid w:val="0"/>
              <w:spacing w:after="0" w:line="360" w:lineRule="auto"/>
              <w:rPr>
                <w:rFonts w:hint="eastAsia" w:ascii="宋体" w:hAnsi="宋体" w:eastAsia="宋体" w:cs="宋体"/>
                <w:i w:val="0"/>
                <w:iCs w:val="0"/>
                <w:color w:val="auto"/>
                <w:sz w:val="21"/>
                <w:szCs w:val="21"/>
                <w:highlight w:val="none"/>
                <w:u w:val="none"/>
              </w:rPr>
            </w:pPr>
          </w:p>
        </w:tc>
      </w:tr>
      <w:tr>
        <w:tblPrEx>
          <w:shd w:val="clear" w:color="auto" w:fill="auto"/>
          <w:tblCellMar>
            <w:top w:w="0" w:type="dxa"/>
            <w:left w:w="108" w:type="dxa"/>
            <w:bottom w:w="0" w:type="dxa"/>
            <w:right w:w="108" w:type="dxa"/>
          </w:tblCellMar>
        </w:tblPrEx>
        <w:trPr>
          <w:trHeight w:val="48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27</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光纤</w:t>
            </w:r>
          </w:p>
        </w:tc>
        <w:tc>
          <w:tcPr>
            <w:tcW w:w="44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1.名称:光纤</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2.型号:8芯单模光纤防水光缆</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5000</w:t>
            </w:r>
          </w:p>
        </w:tc>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val="0"/>
              <w:snapToGrid w:val="0"/>
              <w:spacing w:after="0" w:line="360" w:lineRule="auto"/>
              <w:rPr>
                <w:rFonts w:hint="eastAsia" w:ascii="宋体" w:hAnsi="宋体" w:eastAsia="宋体" w:cs="宋体"/>
                <w:i w:val="0"/>
                <w:iCs w:val="0"/>
                <w:color w:val="auto"/>
                <w:sz w:val="21"/>
                <w:szCs w:val="21"/>
                <w:highlight w:val="none"/>
                <w:u w:val="none"/>
              </w:rPr>
            </w:pPr>
          </w:p>
        </w:tc>
      </w:tr>
      <w:tr>
        <w:tblPrEx>
          <w:shd w:val="clear" w:color="auto" w:fill="auto"/>
          <w:tblCellMar>
            <w:top w:w="0" w:type="dxa"/>
            <w:left w:w="108" w:type="dxa"/>
            <w:bottom w:w="0" w:type="dxa"/>
            <w:right w:w="108" w:type="dxa"/>
          </w:tblCellMar>
        </w:tblPrEx>
        <w:trPr>
          <w:trHeight w:val="48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28</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开挖、修复花砖路面</w:t>
            </w:r>
          </w:p>
        </w:tc>
        <w:tc>
          <w:tcPr>
            <w:tcW w:w="44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1.名称:开挖、修复花砖路面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2.开挖花砖路面做法:（1）拆除人行道砖，厚度5cm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（2）向下开挖土方55cm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3.修复花砖路面做法:（1）回填土40cm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（2）铺装石屑15cm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（3）水泥砂浆M10，铺人行道砖5cm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4.说明:开挖宽30cm*深60cm</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180</w:t>
            </w:r>
          </w:p>
        </w:tc>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val="0"/>
              <w:snapToGrid w:val="0"/>
              <w:spacing w:after="0" w:line="360" w:lineRule="auto"/>
              <w:rPr>
                <w:rFonts w:hint="eastAsia" w:ascii="宋体" w:hAnsi="宋体" w:eastAsia="宋体" w:cs="宋体"/>
                <w:i w:val="0"/>
                <w:iCs w:val="0"/>
                <w:color w:val="auto"/>
                <w:sz w:val="21"/>
                <w:szCs w:val="21"/>
                <w:highlight w:val="none"/>
                <w:u w:val="none"/>
              </w:rPr>
            </w:pPr>
          </w:p>
        </w:tc>
      </w:tr>
      <w:tr>
        <w:tblPrEx>
          <w:tblCellMar>
            <w:top w:w="0" w:type="dxa"/>
            <w:left w:w="108" w:type="dxa"/>
            <w:bottom w:w="0" w:type="dxa"/>
            <w:right w:w="108" w:type="dxa"/>
          </w:tblCellMar>
        </w:tblPrEx>
        <w:trPr>
          <w:trHeight w:val="48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29</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开挖、修复绿化带路面</w:t>
            </w:r>
          </w:p>
        </w:tc>
        <w:tc>
          <w:tcPr>
            <w:tcW w:w="44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1.名称:开挖、修复绿化带路面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2.密实度要求:人工夯实</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3.土壤类别:一、二类土</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4.挖土深度:60cm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5.挖土宽度:30cm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6.填方来源:回填开挖土</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7.绿植:种植草</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m3</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360</w:t>
            </w:r>
          </w:p>
        </w:tc>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val="0"/>
              <w:snapToGrid w:val="0"/>
              <w:spacing w:after="0" w:line="360" w:lineRule="auto"/>
              <w:rPr>
                <w:rFonts w:hint="eastAsia" w:ascii="宋体" w:hAnsi="宋体" w:eastAsia="宋体" w:cs="宋体"/>
                <w:i w:val="0"/>
                <w:iCs w:val="0"/>
                <w:color w:val="auto"/>
                <w:sz w:val="21"/>
                <w:szCs w:val="21"/>
                <w:highlight w:val="none"/>
                <w:u w:val="none"/>
              </w:rPr>
            </w:pPr>
          </w:p>
        </w:tc>
      </w:tr>
      <w:tr>
        <w:tblPrEx>
          <w:shd w:val="clear" w:color="auto" w:fill="auto"/>
          <w:tblCellMar>
            <w:top w:w="0" w:type="dxa"/>
            <w:left w:w="108" w:type="dxa"/>
            <w:bottom w:w="0" w:type="dxa"/>
            <w:right w:w="108" w:type="dxa"/>
          </w:tblCellMar>
        </w:tblPrEx>
        <w:trPr>
          <w:trHeight w:val="48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30</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配管PVC32（埋地敷设）</w:t>
            </w:r>
          </w:p>
        </w:tc>
        <w:tc>
          <w:tcPr>
            <w:tcW w:w="44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1.名称:1.名称:刚性阻燃管（埋地敷设）</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2.材质：PVC</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3.规格：外径32mm</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3000</w:t>
            </w:r>
          </w:p>
        </w:tc>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val="0"/>
              <w:snapToGrid w:val="0"/>
              <w:spacing w:after="0" w:line="360" w:lineRule="auto"/>
              <w:rPr>
                <w:rFonts w:hint="eastAsia" w:ascii="宋体" w:hAnsi="宋体" w:eastAsia="宋体" w:cs="宋体"/>
                <w:i w:val="0"/>
                <w:iCs w:val="0"/>
                <w:color w:val="auto"/>
                <w:sz w:val="21"/>
                <w:szCs w:val="21"/>
                <w:highlight w:val="none"/>
                <w:u w:val="none"/>
              </w:rPr>
            </w:pPr>
          </w:p>
        </w:tc>
      </w:tr>
      <w:tr>
        <w:tblPrEx>
          <w:shd w:val="clear" w:color="auto" w:fill="auto"/>
          <w:tblCellMar>
            <w:top w:w="0" w:type="dxa"/>
            <w:left w:w="108" w:type="dxa"/>
            <w:bottom w:w="0" w:type="dxa"/>
            <w:right w:w="108" w:type="dxa"/>
          </w:tblCellMar>
        </w:tblPrEx>
        <w:trPr>
          <w:trHeight w:val="48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31</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接线工作井（500*500*500）</w:t>
            </w:r>
          </w:p>
        </w:tc>
        <w:tc>
          <w:tcPr>
            <w:tcW w:w="44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1.名称:接线工作井</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2.规格尺寸:500*500*500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复合材料重型井框、井盖</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垫层:砂碎石 100mm厚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底板:C30混凝土 100mm厚</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座</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val="0"/>
              <w:snapToGrid w:val="0"/>
              <w:spacing w:after="0" w:line="360" w:lineRule="auto"/>
              <w:rPr>
                <w:rFonts w:hint="eastAsia" w:ascii="宋体" w:hAnsi="宋体" w:eastAsia="宋体" w:cs="宋体"/>
                <w:i w:val="0"/>
                <w:iCs w:val="0"/>
                <w:color w:val="auto"/>
                <w:sz w:val="21"/>
                <w:szCs w:val="21"/>
                <w:highlight w:val="none"/>
                <w:u w:val="none"/>
              </w:rPr>
            </w:pPr>
          </w:p>
        </w:tc>
      </w:tr>
      <w:tr>
        <w:tblPrEx>
          <w:shd w:val="clear" w:color="auto" w:fill="auto"/>
          <w:tblCellMar>
            <w:top w:w="0" w:type="dxa"/>
            <w:left w:w="108" w:type="dxa"/>
            <w:bottom w:w="0" w:type="dxa"/>
            <w:right w:w="108" w:type="dxa"/>
          </w:tblCellMar>
        </w:tblPrEx>
        <w:trPr>
          <w:trHeight w:val="48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32</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光纤收发器</w:t>
            </w:r>
          </w:p>
        </w:tc>
        <w:tc>
          <w:tcPr>
            <w:tcW w:w="44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1.名称:光纤收发器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2.类别:A端1光1电百兆单模单纤光纤收发器SC接口，B端1光4电单模单纤百兆光纤收发器，传输20公里</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val="0"/>
              <w:snapToGrid w:val="0"/>
              <w:spacing w:after="0" w:line="360" w:lineRule="auto"/>
              <w:rPr>
                <w:rFonts w:hint="eastAsia" w:ascii="宋体" w:hAnsi="宋体" w:eastAsia="宋体" w:cs="宋体"/>
                <w:i w:val="0"/>
                <w:iCs w:val="0"/>
                <w:color w:val="auto"/>
                <w:sz w:val="21"/>
                <w:szCs w:val="21"/>
                <w:highlight w:val="none"/>
                <w:u w:val="none"/>
              </w:rPr>
            </w:pPr>
          </w:p>
        </w:tc>
      </w:tr>
      <w:tr>
        <w:tblPrEx>
          <w:shd w:val="clear" w:color="auto" w:fill="auto"/>
          <w:tblCellMar>
            <w:top w:w="0" w:type="dxa"/>
            <w:left w:w="108" w:type="dxa"/>
            <w:bottom w:w="0" w:type="dxa"/>
            <w:right w:w="108" w:type="dxa"/>
          </w:tblCellMar>
        </w:tblPrEx>
        <w:trPr>
          <w:trHeight w:val="48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33</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光纤盒</w:t>
            </w:r>
          </w:p>
        </w:tc>
        <w:tc>
          <w:tcPr>
            <w:tcW w:w="44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1.名称:光纤盒</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val="0"/>
              <w:snapToGrid w:val="0"/>
              <w:spacing w:after="0" w:line="360" w:lineRule="auto"/>
              <w:rPr>
                <w:rFonts w:hint="eastAsia" w:ascii="宋体" w:hAnsi="宋体" w:eastAsia="宋体" w:cs="宋体"/>
                <w:i w:val="0"/>
                <w:iCs w:val="0"/>
                <w:color w:val="auto"/>
                <w:sz w:val="21"/>
                <w:szCs w:val="21"/>
                <w:highlight w:val="none"/>
                <w:u w:val="none"/>
              </w:rPr>
            </w:pPr>
          </w:p>
        </w:tc>
      </w:tr>
      <w:tr>
        <w:tblPrEx>
          <w:shd w:val="clear" w:color="auto" w:fill="auto"/>
          <w:tblCellMar>
            <w:top w:w="0" w:type="dxa"/>
            <w:left w:w="108" w:type="dxa"/>
            <w:bottom w:w="0" w:type="dxa"/>
            <w:right w:w="108" w:type="dxa"/>
          </w:tblCellMar>
        </w:tblPrEx>
        <w:trPr>
          <w:trHeight w:val="48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34</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单模光纤熔接</w:t>
            </w:r>
          </w:p>
        </w:tc>
        <w:tc>
          <w:tcPr>
            <w:tcW w:w="44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1.名称:单模光纤熔接</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val="0"/>
              <w:snapToGrid w:val="0"/>
              <w:spacing w:after="0" w:line="360" w:lineRule="auto"/>
              <w:rPr>
                <w:rFonts w:hint="eastAsia" w:ascii="宋体" w:hAnsi="宋体" w:eastAsia="宋体" w:cs="宋体"/>
                <w:i w:val="0"/>
                <w:iCs w:val="0"/>
                <w:color w:val="auto"/>
                <w:sz w:val="21"/>
                <w:szCs w:val="21"/>
                <w:highlight w:val="none"/>
                <w:u w:val="none"/>
              </w:rPr>
            </w:pPr>
          </w:p>
        </w:tc>
      </w:tr>
      <w:tr>
        <w:tblPrEx>
          <w:shd w:val="clear" w:color="auto" w:fill="auto"/>
          <w:tblCellMar>
            <w:top w:w="0" w:type="dxa"/>
            <w:left w:w="108" w:type="dxa"/>
            <w:bottom w:w="0" w:type="dxa"/>
            <w:right w:w="108" w:type="dxa"/>
          </w:tblCellMar>
        </w:tblPrEx>
        <w:trPr>
          <w:trHeight w:val="48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35</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网线</w:t>
            </w:r>
          </w:p>
        </w:tc>
        <w:tc>
          <w:tcPr>
            <w:tcW w:w="44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1.名称:网线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2.配线形式:双绞线缆</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w:t>
            </w:r>
          </w:p>
        </w:tc>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val="0"/>
              <w:snapToGrid w:val="0"/>
              <w:spacing w:after="0" w:line="360" w:lineRule="auto"/>
              <w:rPr>
                <w:rFonts w:hint="eastAsia" w:ascii="宋体" w:hAnsi="宋体" w:eastAsia="宋体" w:cs="宋体"/>
                <w:i w:val="0"/>
                <w:iCs w:val="0"/>
                <w:color w:val="auto"/>
                <w:sz w:val="21"/>
                <w:szCs w:val="21"/>
                <w:highlight w:val="none"/>
                <w:u w:val="none"/>
              </w:rPr>
            </w:pPr>
          </w:p>
        </w:tc>
      </w:tr>
      <w:tr>
        <w:tblPrEx>
          <w:shd w:val="clear" w:color="auto" w:fill="auto"/>
          <w:tblCellMar>
            <w:top w:w="0" w:type="dxa"/>
            <w:left w:w="108" w:type="dxa"/>
            <w:bottom w:w="0" w:type="dxa"/>
            <w:right w:w="108" w:type="dxa"/>
          </w:tblCellMar>
        </w:tblPrEx>
        <w:trPr>
          <w:trHeight w:val="48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36</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地感线</w:t>
            </w:r>
          </w:p>
        </w:tc>
        <w:tc>
          <w:tcPr>
            <w:tcW w:w="44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1.名称:地感线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2.规格:BV-1.0</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w:t>
            </w:r>
          </w:p>
        </w:tc>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val="0"/>
              <w:snapToGrid w:val="0"/>
              <w:spacing w:after="0" w:line="360" w:lineRule="auto"/>
              <w:rPr>
                <w:rFonts w:hint="eastAsia" w:ascii="宋体" w:hAnsi="宋体" w:eastAsia="宋体" w:cs="宋体"/>
                <w:i w:val="0"/>
                <w:iCs w:val="0"/>
                <w:color w:val="auto"/>
                <w:sz w:val="21"/>
                <w:szCs w:val="21"/>
                <w:highlight w:val="none"/>
                <w:u w:val="none"/>
              </w:rPr>
            </w:pPr>
          </w:p>
        </w:tc>
      </w:tr>
      <w:tr>
        <w:tblPrEx>
          <w:shd w:val="clear" w:color="auto" w:fill="auto"/>
          <w:tblCellMar>
            <w:top w:w="0" w:type="dxa"/>
            <w:left w:w="108" w:type="dxa"/>
            <w:bottom w:w="0" w:type="dxa"/>
            <w:right w:w="108" w:type="dxa"/>
          </w:tblCellMar>
        </w:tblPrEx>
        <w:trPr>
          <w:trHeight w:val="48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37</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电源线</w:t>
            </w:r>
          </w:p>
        </w:tc>
        <w:tc>
          <w:tcPr>
            <w:tcW w:w="44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1.名称:电源线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2.规格:RVVP3*2.5</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800</w:t>
            </w:r>
          </w:p>
        </w:tc>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val="0"/>
              <w:snapToGrid w:val="0"/>
              <w:spacing w:after="0" w:line="360" w:lineRule="auto"/>
              <w:rPr>
                <w:rFonts w:hint="eastAsia" w:ascii="宋体" w:hAnsi="宋体" w:eastAsia="宋体" w:cs="宋体"/>
                <w:i w:val="0"/>
                <w:iCs w:val="0"/>
                <w:color w:val="auto"/>
                <w:sz w:val="21"/>
                <w:szCs w:val="21"/>
                <w:highlight w:val="none"/>
                <w:u w:val="none"/>
              </w:rPr>
            </w:pPr>
          </w:p>
        </w:tc>
      </w:tr>
      <w:tr>
        <w:tblPrEx>
          <w:shd w:val="clear" w:color="auto" w:fill="auto"/>
          <w:tblCellMar>
            <w:top w:w="0" w:type="dxa"/>
            <w:left w:w="108" w:type="dxa"/>
            <w:bottom w:w="0" w:type="dxa"/>
            <w:right w:w="108" w:type="dxa"/>
          </w:tblCellMar>
        </w:tblPrEx>
        <w:trPr>
          <w:trHeight w:val="48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38</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系统调试</w:t>
            </w:r>
          </w:p>
        </w:tc>
        <w:tc>
          <w:tcPr>
            <w:tcW w:w="44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left"/>
              <w:rPr>
                <w:rFonts w:hint="eastAsia" w:ascii="宋体" w:hAnsi="宋体" w:eastAsia="宋体" w:cs="宋体"/>
                <w:i w:val="0"/>
                <w:iCs w:val="0"/>
                <w:color w:val="auto"/>
                <w:kern w:val="0"/>
                <w:sz w:val="21"/>
                <w:szCs w:val="21"/>
                <w:highlight w:val="none"/>
                <w:u w:val="none"/>
                <w:lang w:val="en-US" w:eastAsia="zh-CN" w:bidi="ar"/>
              </w:rPr>
            </w:pP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项</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val="0"/>
              <w:snapToGrid w:val="0"/>
              <w:spacing w:after="0" w:line="360" w:lineRule="auto"/>
              <w:rPr>
                <w:rFonts w:hint="eastAsia" w:ascii="宋体" w:hAnsi="宋体" w:eastAsia="宋体" w:cs="宋体"/>
                <w:i w:val="0"/>
                <w:iCs w:val="0"/>
                <w:color w:val="auto"/>
                <w:sz w:val="21"/>
                <w:szCs w:val="21"/>
                <w:highlight w:val="none"/>
                <w:u w:val="none"/>
              </w:rPr>
            </w:pPr>
          </w:p>
        </w:tc>
      </w:tr>
    </w:tbl>
    <w:p>
      <w:pPr>
        <w:pStyle w:val="8"/>
        <w:numPr>
          <w:ilvl w:val="0"/>
          <w:numId w:val="0"/>
        </w:numPr>
        <w:adjustRightInd w:val="0"/>
        <w:snapToGrid w:val="0"/>
        <w:spacing w:before="161" w:after="200"/>
        <w:rPr>
          <w:rFonts w:hint="eastAsia" w:ascii="宋体" w:hAnsi="宋体" w:eastAsia="宋体" w:cs="宋体"/>
          <w:color w:val="auto"/>
          <w:sz w:val="21"/>
          <w:szCs w:val="21"/>
          <w:highlight w:val="none"/>
          <w:lang w:val="en-US" w:eastAsia="zh-CN"/>
        </w:rPr>
      </w:pPr>
    </w:p>
    <w:p>
      <w:pPr>
        <w:pStyle w:val="5"/>
        <w:keepNext/>
        <w:keepLines/>
        <w:pageBreakBefore w:val="0"/>
        <w:widowControl/>
        <w:kinsoku/>
        <w:wordWrap/>
        <w:overflowPunct/>
        <w:topLinePunct w:val="0"/>
        <w:autoSpaceDE/>
        <w:autoSpaceDN/>
        <w:bidi w:val="0"/>
        <w:adjustRightInd w:val="0"/>
        <w:snapToGrid w:val="0"/>
        <w:spacing w:after="0"/>
        <w:textAlignment w:val="auto"/>
        <w:rPr>
          <w:rFonts w:hint="eastAsia"/>
          <w:color w:val="auto"/>
          <w:highlight w:val="none"/>
          <w:lang w:val="en-US" w:eastAsia="zh-CN"/>
        </w:rPr>
      </w:pPr>
      <w:r>
        <w:rPr>
          <w:rFonts w:hint="eastAsia"/>
          <w:color w:val="auto"/>
          <w:highlight w:val="none"/>
          <w:lang w:val="en-US" w:eastAsia="zh-CN"/>
        </w:rPr>
        <w:t>七、设备性能要求</w:t>
      </w:r>
    </w:p>
    <w:p>
      <w:pPr>
        <w:pStyle w:val="9"/>
        <w:keepNext w:val="0"/>
        <w:keepLines w:val="0"/>
        <w:pageBreakBefore w:val="0"/>
        <w:widowControl/>
        <w:tabs>
          <w:tab w:val="left" w:pos="540"/>
        </w:tabs>
        <w:kinsoku/>
        <w:wordWrap/>
        <w:overflowPunct/>
        <w:topLinePunct w:val="0"/>
        <w:autoSpaceDE/>
        <w:autoSpaceDN/>
        <w:bidi w:val="0"/>
        <w:adjustRightInd/>
        <w:snapToGrid w:val="0"/>
        <w:spacing w:after="0" w:line="360" w:lineRule="auto"/>
        <w:ind w:left="0" w:leftChars="0" w:firstLine="488" w:firstLineChars="202"/>
        <w:textAlignment w:val="auto"/>
        <w:rPr>
          <w:rFonts w:hint="eastAsia" w:ascii="宋体" w:hAnsi="宋体" w:eastAsia="宋体" w:cs="宋体"/>
          <w:color w:val="auto"/>
          <w:spacing w:val="16"/>
          <w:kern w:val="0"/>
          <w:sz w:val="21"/>
          <w:szCs w:val="21"/>
          <w:highlight w:val="none"/>
        </w:rPr>
      </w:pPr>
      <w:r>
        <w:rPr>
          <w:rFonts w:hint="eastAsia" w:ascii="宋体" w:hAnsi="宋体" w:eastAsia="宋体" w:cs="宋体"/>
          <w:color w:val="auto"/>
          <w:spacing w:val="16"/>
          <w:kern w:val="0"/>
          <w:sz w:val="21"/>
          <w:szCs w:val="21"/>
          <w:highlight w:val="none"/>
          <w:lang w:val="en-US" w:eastAsia="zh-CN"/>
        </w:rPr>
        <w:t>1、</w:t>
      </w:r>
      <w:r>
        <w:rPr>
          <w:rFonts w:hint="eastAsia" w:ascii="宋体" w:hAnsi="宋体" w:eastAsia="宋体" w:cs="宋体"/>
          <w:color w:val="auto"/>
          <w:spacing w:val="16"/>
          <w:kern w:val="0"/>
          <w:sz w:val="21"/>
          <w:szCs w:val="21"/>
          <w:highlight w:val="none"/>
        </w:rPr>
        <w:t>新增出入口系统与原有出入口系统必须能兼容，即新增出入口和原有出入口可以任意进出；</w:t>
      </w:r>
    </w:p>
    <w:p>
      <w:pPr>
        <w:pStyle w:val="9"/>
        <w:keepNext w:val="0"/>
        <w:keepLines w:val="0"/>
        <w:pageBreakBefore w:val="0"/>
        <w:widowControl/>
        <w:tabs>
          <w:tab w:val="left" w:pos="540"/>
        </w:tabs>
        <w:kinsoku/>
        <w:wordWrap/>
        <w:overflowPunct/>
        <w:topLinePunct w:val="0"/>
        <w:autoSpaceDE/>
        <w:autoSpaceDN/>
        <w:bidi w:val="0"/>
        <w:adjustRightInd/>
        <w:snapToGrid w:val="0"/>
        <w:spacing w:after="0" w:line="360" w:lineRule="auto"/>
        <w:ind w:left="0" w:leftChars="0" w:firstLine="488" w:firstLineChars="202"/>
        <w:textAlignment w:val="auto"/>
        <w:rPr>
          <w:rFonts w:hint="eastAsia" w:ascii="宋体" w:hAnsi="宋体" w:eastAsia="宋体" w:cs="宋体"/>
          <w:color w:val="auto"/>
          <w:spacing w:val="16"/>
          <w:kern w:val="0"/>
          <w:sz w:val="21"/>
          <w:szCs w:val="21"/>
          <w:highlight w:val="none"/>
          <w:lang w:eastAsia="zh-CN"/>
        </w:rPr>
      </w:pPr>
      <w:r>
        <w:rPr>
          <w:rFonts w:hint="eastAsia" w:ascii="宋体" w:hAnsi="宋体" w:eastAsia="宋体" w:cs="宋体"/>
          <w:color w:val="auto"/>
          <w:spacing w:val="16"/>
          <w:kern w:val="0"/>
          <w:sz w:val="21"/>
          <w:szCs w:val="21"/>
          <w:highlight w:val="none"/>
          <w:lang w:val="en-US" w:eastAsia="zh-CN"/>
        </w:rPr>
        <w:t>2、</w:t>
      </w:r>
      <w:r>
        <w:rPr>
          <w:rFonts w:hint="eastAsia" w:ascii="宋体" w:hAnsi="宋体" w:eastAsia="宋体" w:cs="宋体"/>
          <w:color w:val="auto"/>
          <w:spacing w:val="16"/>
          <w:kern w:val="0"/>
          <w:sz w:val="21"/>
          <w:szCs w:val="21"/>
          <w:highlight w:val="none"/>
        </w:rPr>
        <w:t>新增系统管理软件与原有系统管理软件须用同一数据库统一管理，不得分几个系统分别管理</w:t>
      </w:r>
      <w:r>
        <w:rPr>
          <w:rFonts w:hint="eastAsia" w:ascii="宋体" w:hAnsi="宋体" w:eastAsia="宋体" w:cs="宋体"/>
          <w:color w:val="auto"/>
          <w:spacing w:val="16"/>
          <w:kern w:val="0"/>
          <w:sz w:val="21"/>
          <w:szCs w:val="21"/>
          <w:highlight w:val="none"/>
          <w:lang w:eastAsia="zh-CN"/>
        </w:rPr>
        <w:t>。</w:t>
      </w:r>
    </w:p>
    <w:p>
      <w:pPr>
        <w:pStyle w:val="9"/>
        <w:keepNext w:val="0"/>
        <w:keepLines w:val="0"/>
        <w:pageBreakBefore w:val="0"/>
        <w:widowControl/>
        <w:tabs>
          <w:tab w:val="left" w:pos="540"/>
        </w:tabs>
        <w:kinsoku/>
        <w:wordWrap/>
        <w:overflowPunct/>
        <w:topLinePunct w:val="0"/>
        <w:autoSpaceDE/>
        <w:autoSpaceDN/>
        <w:bidi w:val="0"/>
        <w:adjustRightInd/>
        <w:snapToGrid w:val="0"/>
        <w:spacing w:after="0" w:line="360" w:lineRule="auto"/>
        <w:ind w:left="0" w:leftChars="0" w:firstLine="488" w:firstLineChars="202"/>
        <w:textAlignment w:val="auto"/>
        <w:rPr>
          <w:rFonts w:hint="eastAsia" w:ascii="宋体" w:hAnsi="宋体" w:eastAsia="宋体" w:cs="宋体"/>
          <w:color w:val="auto"/>
          <w:spacing w:val="16"/>
          <w:kern w:val="0"/>
          <w:sz w:val="21"/>
          <w:szCs w:val="21"/>
          <w:highlight w:val="none"/>
          <w:lang w:eastAsia="zh-CN"/>
        </w:rPr>
      </w:pPr>
    </w:p>
    <w:p>
      <w:pPr>
        <w:pStyle w:val="5"/>
        <w:keepNext/>
        <w:keepLines/>
        <w:pageBreakBefore w:val="0"/>
        <w:widowControl/>
        <w:kinsoku/>
        <w:wordWrap/>
        <w:overflowPunct/>
        <w:topLinePunct w:val="0"/>
        <w:autoSpaceDE/>
        <w:autoSpaceDN/>
        <w:bidi w:val="0"/>
        <w:adjustRightInd w:val="0"/>
        <w:snapToGrid w:val="0"/>
        <w:spacing w:after="0"/>
        <w:textAlignment w:val="auto"/>
        <w:rPr>
          <w:rFonts w:hint="eastAsia" w:eastAsia="宋体"/>
          <w:color w:val="auto"/>
          <w:highlight w:val="none"/>
          <w:lang w:val="en-US" w:eastAsia="zh-CN"/>
        </w:rPr>
      </w:pPr>
      <w:r>
        <w:rPr>
          <w:rFonts w:hint="eastAsia" w:eastAsia="宋体"/>
          <w:color w:val="auto"/>
          <w:highlight w:val="none"/>
          <w:lang w:val="en-US" w:eastAsia="zh-CN"/>
        </w:rPr>
        <w:t>八、安装调试</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1、安装所需工具设施物料由中标人自备、自费运到现场，完工后自费搬走。</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2、调试：按国家相关施工验收规范进行，分阶段进行调试。</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3、设备的拆箱、安装、通电、调试等项工作由中标人负责。</w:t>
      </w:r>
    </w:p>
    <w:p>
      <w:pPr>
        <w:pStyle w:val="30"/>
        <w:numPr>
          <w:ilvl w:val="0"/>
          <w:numId w:val="0"/>
        </w:numPr>
        <w:spacing w:after="0" w:line="360" w:lineRule="auto"/>
        <w:ind w:leftChars="0"/>
        <w:rPr>
          <w:rFonts w:hint="eastAsia" w:ascii="宋体" w:hAnsi="宋体" w:eastAsia="宋体" w:cs="宋体"/>
          <w:b/>
          <w:color w:val="auto"/>
          <w:sz w:val="21"/>
          <w:szCs w:val="21"/>
          <w:highlight w:val="none"/>
        </w:rPr>
      </w:pPr>
    </w:p>
    <w:p>
      <w:pPr>
        <w:pStyle w:val="5"/>
        <w:keepNext/>
        <w:keepLines/>
        <w:pageBreakBefore w:val="0"/>
        <w:widowControl/>
        <w:kinsoku/>
        <w:wordWrap/>
        <w:overflowPunct/>
        <w:topLinePunct w:val="0"/>
        <w:autoSpaceDE/>
        <w:autoSpaceDN/>
        <w:bidi w:val="0"/>
        <w:adjustRightInd w:val="0"/>
        <w:snapToGrid w:val="0"/>
        <w:spacing w:after="0"/>
        <w:textAlignment w:val="auto"/>
        <w:rPr>
          <w:rFonts w:hint="eastAsia" w:eastAsia="宋体"/>
          <w:color w:val="auto"/>
          <w:highlight w:val="none"/>
          <w:lang w:val="en-US" w:eastAsia="zh-CN"/>
        </w:rPr>
      </w:pPr>
      <w:r>
        <w:rPr>
          <w:rFonts w:hint="eastAsia" w:eastAsia="宋体"/>
          <w:color w:val="auto"/>
          <w:highlight w:val="none"/>
          <w:lang w:val="en-US" w:eastAsia="zh-CN"/>
        </w:rPr>
        <w:t>九、验收</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1、投标人应给出设备详细的验收方案，包括验收项目、验收标准，验收实施办法等。</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设备运抵安装现场后，需知会甲方进行开箱验收。所有设备在开箱检验时必须完好，无破损，配置与装箱单相符。数量、质量及性能不低于招标文件中提出的要求。验收过程中如发现缺破损，采购人有权要求投标人补发和免费更换。</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3、设备在验收时，必须有制造商工程师现场协助验收，此验收报告作为工程验收必备文档之一，本项目设备必须通过一个月的试运行期后，双方确认完成最终验收。</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4、国内生产的部件必须有国家有关部门的认证合格证，国外生产的部件必须有合法的进货渠道证明。</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5、中标人应于验收后向用户提供一式二份验收报告，负责技术文档的归纳、整理、提交，并提供完整的软、硬件技术资料，中标人须无偿提供采购人所需的有关的一切资料。</w:t>
      </w:r>
    </w:p>
    <w:p>
      <w:pPr>
        <w:pStyle w:val="30"/>
        <w:numPr>
          <w:ilvl w:val="0"/>
          <w:numId w:val="0"/>
        </w:numPr>
        <w:spacing w:after="0" w:line="360" w:lineRule="auto"/>
        <w:ind w:leftChars="0"/>
        <w:rPr>
          <w:rFonts w:hint="eastAsia" w:ascii="宋体" w:hAnsi="宋体" w:eastAsia="宋体" w:cs="宋体"/>
          <w:b/>
          <w:color w:val="auto"/>
          <w:sz w:val="21"/>
          <w:szCs w:val="21"/>
          <w:highlight w:val="none"/>
        </w:rPr>
      </w:pPr>
    </w:p>
    <w:p>
      <w:pPr>
        <w:pStyle w:val="5"/>
        <w:keepNext/>
        <w:keepLines/>
        <w:pageBreakBefore w:val="0"/>
        <w:widowControl/>
        <w:kinsoku/>
        <w:wordWrap/>
        <w:overflowPunct/>
        <w:topLinePunct w:val="0"/>
        <w:autoSpaceDE/>
        <w:autoSpaceDN/>
        <w:bidi w:val="0"/>
        <w:adjustRightInd w:val="0"/>
        <w:snapToGrid w:val="0"/>
        <w:spacing w:after="0"/>
        <w:textAlignment w:val="auto"/>
        <w:rPr>
          <w:rFonts w:hint="eastAsia" w:eastAsia="宋体"/>
          <w:color w:val="auto"/>
          <w:highlight w:val="none"/>
          <w:lang w:val="en-US" w:eastAsia="zh-CN"/>
        </w:rPr>
      </w:pPr>
      <w:r>
        <w:rPr>
          <w:rFonts w:hint="eastAsia" w:eastAsia="宋体"/>
          <w:color w:val="auto"/>
          <w:highlight w:val="none"/>
          <w:lang w:val="en-US" w:eastAsia="zh-CN"/>
        </w:rPr>
        <w:t>十、售后服务</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保修期内的售后服务</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1）在保修期内，保证本工程所涉及所有设备处于正常工作状态的比例不小于95%，对故障设备负责免费维修，对不能修复的设备负责免费更换。</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2）保修期内，施工单位无条件负责对其提供的设备整机进行维修和软件维护、应用软件升级，采购人不再支付任何费用。</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3）施工方在接到报障通知后，务必在4小时内响应，8小时内到达故障现场进行抢修，16工作小时（8：00-18：00）内完全修复。</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4）若主要设备的故障在24小时内仍未处理完毕，施工方须免费提供同一品牌、规格或相同档次的设备临时使用或采取应急措施解决，不得影响用户的正常工作业务。</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5）有设备和软件保修服务方式均为施工方上门保修，即由施工方派员到采购人设备使用现场维修，由此产生的一切费用均由施工方承担。</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6）施工方应负责系统运行的稳定性。负责免费更换硬件故障部件或修改出错的软件系统。若施工方承担的软硬件系统在功能上、性能上达不到设计要求，采购人有权要求施工方进行及时完善的修改。</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7）施工方须制定保修期内对系统的巡视制度和对用户的回访计划。</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保修期满以后的技术支持</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1）施工方须承诺提供长期的版本升级和更新支持，属于软件存在的不完善问题，随时提供免费服务。</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2）施工方须承诺提供长期的咨询和技术支持服务。</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3）对于涉及本系统的新建项目，施工方提供在技术方面和工程方面的配合工作。</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人员培训</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1）施工方须对采购方进行免费的人员培训，须根据招标文件采购的设备及采用的相关技术，在文件中提出全面的培训计划和课程内容安排，并在合同签订后实施。</w:t>
      </w:r>
    </w:p>
    <w:p>
      <w:pPr>
        <w:spacing w:after="0" w:line="360" w:lineRule="auto"/>
        <w:ind w:firstLine="420" w:firstLineChars="200"/>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2）施工方须提供高水平的培训。培训应包括本工程相关的各种硬件、软件的使用维护及简单的故障处理方法等。</w:t>
      </w:r>
    </w:p>
    <w:p>
      <w:pPr>
        <w:bidi w:val="0"/>
        <w:rPr>
          <w:rFonts w:hint="eastAsia"/>
          <w:color w:val="auto"/>
          <w:highlight w:val="none"/>
          <w:lang w:eastAsia="zh-CN"/>
        </w:rPr>
      </w:pPr>
    </w:p>
    <w:p>
      <w:pPr>
        <w:pStyle w:val="5"/>
        <w:keepNext/>
        <w:keepLines/>
        <w:pageBreakBefore w:val="0"/>
        <w:widowControl/>
        <w:kinsoku/>
        <w:wordWrap/>
        <w:overflowPunct/>
        <w:topLinePunct w:val="0"/>
        <w:autoSpaceDE/>
        <w:autoSpaceDN/>
        <w:bidi w:val="0"/>
        <w:adjustRightInd w:val="0"/>
        <w:snapToGrid w:val="0"/>
        <w:spacing w:after="0"/>
        <w:textAlignment w:val="auto"/>
        <w:rPr>
          <w:rFonts w:hint="eastAsia" w:ascii="宋体" w:hAnsi="宋体" w:eastAsia="宋体" w:cs="宋体"/>
          <w:color w:val="auto"/>
          <w:spacing w:val="16"/>
          <w:kern w:val="0"/>
          <w:sz w:val="21"/>
          <w:szCs w:val="21"/>
          <w:highlight w:val="none"/>
          <w:lang w:eastAsia="zh-CN"/>
        </w:rPr>
      </w:pPr>
      <w:r>
        <w:rPr>
          <w:rFonts w:hint="eastAsia" w:eastAsia="宋体"/>
          <w:color w:val="auto"/>
          <w:highlight w:val="none"/>
          <w:lang w:val="en-US" w:eastAsia="zh-CN"/>
        </w:rPr>
        <w:t>十一、交货地点</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交货地点：采购人指定地点。</w:t>
      </w:r>
    </w:p>
    <w:p>
      <w:pPr>
        <w:bidi w:val="0"/>
        <w:rPr>
          <w:rFonts w:hint="eastAsia"/>
          <w:color w:val="auto"/>
          <w:highlight w:val="none"/>
          <w:lang w:val="en-US" w:eastAsia="zh-CN"/>
        </w:rPr>
      </w:pPr>
    </w:p>
    <w:p>
      <w:pPr>
        <w:pStyle w:val="5"/>
        <w:keepNext/>
        <w:keepLines/>
        <w:pageBreakBefore w:val="0"/>
        <w:widowControl/>
        <w:kinsoku/>
        <w:wordWrap/>
        <w:overflowPunct/>
        <w:topLinePunct w:val="0"/>
        <w:autoSpaceDE/>
        <w:autoSpaceDN/>
        <w:bidi w:val="0"/>
        <w:adjustRightInd w:val="0"/>
        <w:snapToGrid w:val="0"/>
        <w:spacing w:after="0"/>
        <w:textAlignment w:val="auto"/>
        <w:rPr>
          <w:rFonts w:hint="default" w:eastAsia="宋体"/>
          <w:color w:val="auto"/>
          <w:highlight w:val="none"/>
          <w:lang w:val="en-US" w:eastAsia="zh-CN"/>
        </w:rPr>
      </w:pPr>
      <w:r>
        <w:rPr>
          <w:rFonts w:hint="eastAsia" w:eastAsia="宋体"/>
          <w:color w:val="auto"/>
          <w:highlight w:val="none"/>
          <w:lang w:val="en-US" w:eastAsia="zh-CN"/>
        </w:rPr>
        <w:t>十二、合同期限</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1、完工期：自签订合同之日起</w:t>
      </w:r>
      <w:r>
        <w:rPr>
          <w:rFonts w:hint="eastAsia" w:ascii="宋体" w:hAnsi="宋体" w:eastAsia="宋体" w:cs="宋体"/>
          <w:color w:val="auto"/>
          <w:sz w:val="21"/>
          <w:szCs w:val="21"/>
          <w:highlight w:val="none"/>
          <w:lang w:val="en-US" w:eastAsia="zh-CN"/>
        </w:rPr>
        <w:t>30天</w:t>
      </w:r>
      <w:r>
        <w:rPr>
          <w:rFonts w:hint="eastAsia" w:ascii="宋体" w:hAnsi="宋体" w:eastAsia="宋体" w:cs="宋体"/>
          <w:color w:val="auto"/>
          <w:sz w:val="21"/>
          <w:szCs w:val="21"/>
          <w:highlight w:val="none"/>
        </w:rPr>
        <w:t>内完成项目实施。</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2、质保期：项目验收合格之日起一年。</w:t>
      </w:r>
    </w:p>
    <w:p>
      <w:pPr>
        <w:spacing w:after="0"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、维护期：中标人需为该项目提供为期</w:t>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年的维护服务期</w:t>
      </w:r>
      <w:r>
        <w:rPr>
          <w:rFonts w:hint="eastAsia" w:ascii="宋体" w:hAnsi="宋体" w:eastAsia="宋体" w:cs="宋体"/>
          <w:color w:val="auto"/>
          <w:sz w:val="21"/>
          <w:szCs w:val="21"/>
          <w:highlight w:val="none"/>
          <w:lang w:eastAsia="zh-CN"/>
        </w:rPr>
        <w:t>。</w:t>
      </w:r>
    </w:p>
    <w:p>
      <w:pPr>
        <w:bidi w:val="0"/>
        <w:rPr>
          <w:rFonts w:hint="eastAsia"/>
          <w:color w:val="auto"/>
          <w:highlight w:val="none"/>
          <w:lang w:eastAsia="zh-CN"/>
        </w:rPr>
      </w:pPr>
    </w:p>
    <w:p>
      <w:pPr>
        <w:pStyle w:val="5"/>
        <w:keepNext/>
        <w:keepLines/>
        <w:pageBreakBefore w:val="0"/>
        <w:widowControl/>
        <w:kinsoku/>
        <w:wordWrap/>
        <w:overflowPunct/>
        <w:topLinePunct w:val="0"/>
        <w:autoSpaceDE/>
        <w:autoSpaceDN/>
        <w:bidi w:val="0"/>
        <w:adjustRightInd w:val="0"/>
        <w:snapToGrid w:val="0"/>
        <w:spacing w:after="0"/>
        <w:textAlignment w:val="auto"/>
        <w:rPr>
          <w:rFonts w:hint="default" w:eastAsia="宋体"/>
          <w:color w:val="auto"/>
          <w:highlight w:val="none"/>
          <w:lang w:val="en-US" w:eastAsia="zh-CN"/>
        </w:rPr>
      </w:pPr>
      <w:r>
        <w:rPr>
          <w:rFonts w:hint="eastAsia" w:eastAsia="宋体"/>
          <w:color w:val="auto"/>
          <w:highlight w:val="none"/>
          <w:lang w:val="en-US" w:eastAsia="zh-CN"/>
        </w:rPr>
        <w:t>十三、付款方式</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付款方式：所有货物送达采购人指定地点后，安装并调试完成后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采购人对所有货物验收合格后支付合同总价的</w:t>
      </w:r>
      <w:r>
        <w:rPr>
          <w:rFonts w:hint="eastAsia" w:ascii="宋体" w:hAnsi="宋体" w:eastAsia="宋体" w:cs="宋体"/>
          <w:color w:val="auto"/>
          <w:sz w:val="21"/>
          <w:szCs w:val="21"/>
          <w:highlight w:val="none"/>
          <w:lang w:val="en-US" w:eastAsia="zh-CN"/>
        </w:rPr>
        <w:t>95</w:t>
      </w:r>
      <w:r>
        <w:rPr>
          <w:rFonts w:hint="eastAsia" w:ascii="宋体" w:hAnsi="宋体" w:eastAsia="宋体" w:cs="宋体"/>
          <w:color w:val="auto"/>
          <w:sz w:val="21"/>
          <w:szCs w:val="21"/>
          <w:highlight w:val="none"/>
        </w:rPr>
        <w:t>%，剩余的合同总价的5%待质保期满后支付。</w:t>
      </w:r>
    </w:p>
    <w:p>
      <w:pPr>
        <w:bidi w:val="0"/>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textAlignment w:val="auto"/>
        <w:rPr>
          <w:rFonts w:hint="eastAsia" w:eastAsia="宋体"/>
          <w:color w:val="auto"/>
          <w:highlight w:val="none"/>
          <w:lang w:val="en-US" w:eastAsia="zh-CN"/>
        </w:rPr>
      </w:pPr>
      <w:r>
        <w:rPr>
          <w:rFonts w:hint="eastAsia" w:eastAsia="宋体"/>
          <w:color w:val="auto"/>
          <w:highlight w:val="none"/>
          <w:lang w:val="en-US" w:eastAsia="zh-CN"/>
        </w:rPr>
        <w:t>十四、报价要求</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应包括货物货款、运输费、安装调试费（含一切必需的辅材及配套设备）及税费。以上报价为交钥匙价（开具发票），以人民币为报价和结算货币。确定中标供应商后，中标供应商不得以任何理由追加货款、辅材费及其他费用。</w:t>
      </w:r>
    </w:p>
    <w:p>
      <w:pPr>
        <w:pStyle w:val="30"/>
        <w:numPr>
          <w:ilvl w:val="0"/>
          <w:numId w:val="0"/>
        </w:numPr>
        <w:spacing w:after="0" w:line="360" w:lineRule="auto"/>
        <w:ind w:leftChars="0"/>
        <w:rPr>
          <w:rFonts w:hint="eastAsia" w:ascii="宋体" w:hAnsi="宋体" w:eastAsia="宋体" w:cs="宋体"/>
          <w:b/>
          <w:color w:val="auto"/>
          <w:sz w:val="21"/>
          <w:szCs w:val="21"/>
          <w:highlight w:val="none"/>
        </w:rPr>
      </w:pPr>
    </w:p>
    <w:p>
      <w:pPr>
        <w:spacing w:after="0" w:line="360" w:lineRule="auto"/>
        <w:ind w:firstLine="422" w:firstLineChars="200"/>
        <w:rPr>
          <w:rFonts w:hint="eastAsia" w:ascii="宋体" w:hAnsi="宋体" w:eastAsia="宋体" w:cs="Times New Roman"/>
          <w:b/>
          <w:bCs/>
          <w:color w:val="auto"/>
          <w:sz w:val="21"/>
          <w:szCs w:val="21"/>
          <w:highlight w:val="none"/>
        </w:rPr>
      </w:pPr>
    </w:p>
    <w:p>
      <w:pPr>
        <w:spacing w:after="0" w:line="360" w:lineRule="auto"/>
        <w:ind w:firstLine="422" w:firstLineChars="200"/>
        <w:rPr>
          <w:rFonts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注：不满足招标文件中 “★”条款的投标文件将作无效投标处理。</w:t>
      </w:r>
      <w:bookmarkEnd w:id="4"/>
      <w:bookmarkEnd w:id="5"/>
      <w:bookmarkEnd w:id="6"/>
      <w:bookmarkEnd w:id="7"/>
    </w:p>
    <w:p>
      <w:pPr>
        <w:pStyle w:val="4"/>
        <w:spacing w:before="0" w:after="0" w:line="240" w:lineRule="auto"/>
        <w:rPr>
          <w:color w:val="auto"/>
          <w:sz w:val="24"/>
          <w:szCs w:val="24"/>
          <w:highlight w:val="none"/>
        </w:rPr>
      </w:pPr>
      <w:r>
        <w:rPr>
          <w:rFonts w:hint="eastAsia"/>
          <w:color w:val="auto"/>
          <w:sz w:val="24"/>
          <w:szCs w:val="24"/>
          <w:highlight w:val="none"/>
        </w:rPr>
        <w:br w:type="page"/>
      </w:r>
      <w:bookmarkStart w:id="10" w:name="_Toc2479"/>
      <w:r>
        <w:rPr>
          <w:rFonts w:hint="eastAsia"/>
          <w:color w:val="auto"/>
          <w:sz w:val="28"/>
          <w:szCs w:val="28"/>
          <w:highlight w:val="none"/>
        </w:rPr>
        <w:t>第四部分 投标人须知</w:t>
      </w:r>
      <w:bookmarkEnd w:id="10"/>
    </w:p>
    <w:p>
      <w:pPr>
        <w:pStyle w:val="5"/>
        <w:numPr>
          <w:ilvl w:val="0"/>
          <w:numId w:val="2"/>
        </w:numPr>
        <w:spacing w:before="0" w:after="0" w:line="480" w:lineRule="auto"/>
        <w:jc w:val="center"/>
        <w:rPr>
          <w:rFonts w:ascii="宋体" w:hAnsi="宋体" w:eastAsia="宋体"/>
          <w:color w:val="auto"/>
          <w:highlight w:val="none"/>
        </w:rPr>
      </w:pPr>
      <w:bookmarkStart w:id="11" w:name="_Toc19746"/>
      <w:r>
        <w:rPr>
          <w:rFonts w:hint="eastAsia" w:ascii="宋体" w:hAnsi="宋体" w:eastAsia="宋体"/>
          <w:color w:val="auto"/>
          <w:highlight w:val="none"/>
        </w:rPr>
        <w:t>说明</w:t>
      </w:r>
      <w:bookmarkEnd w:id="11"/>
    </w:p>
    <w:p>
      <w:pPr>
        <w:pStyle w:val="6"/>
        <w:widowControl w:val="0"/>
        <w:overflowPunct w:val="0"/>
        <w:spacing w:before="0" w:after="0" w:line="240" w:lineRule="auto"/>
        <w:rPr>
          <w:rFonts w:ascii="宋体" w:hAnsi="宋体" w:eastAsia="宋体"/>
          <w:color w:val="auto"/>
          <w:sz w:val="21"/>
          <w:szCs w:val="21"/>
          <w:highlight w:val="none"/>
        </w:rPr>
      </w:pPr>
      <w:bookmarkStart w:id="12" w:name="_Toc18488"/>
      <w:r>
        <w:rPr>
          <w:rFonts w:hint="eastAsia" w:ascii="宋体" w:hAnsi="宋体" w:eastAsia="宋体"/>
          <w:color w:val="auto"/>
          <w:sz w:val="21"/>
          <w:szCs w:val="21"/>
          <w:highlight w:val="none"/>
        </w:rPr>
        <w:t>1.适用范围</w:t>
      </w:r>
      <w:bookmarkEnd w:id="12"/>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招标范围：见本文件《用户需求书》</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13" w:name="_Toc13400"/>
      <w:r>
        <w:rPr>
          <w:rFonts w:hint="eastAsia" w:ascii="宋体" w:hAnsi="宋体" w:eastAsia="宋体"/>
          <w:color w:val="auto"/>
          <w:sz w:val="21"/>
          <w:szCs w:val="21"/>
          <w:highlight w:val="none"/>
        </w:rPr>
        <w:t>2.</w:t>
      </w:r>
      <w:bookmarkStart w:id="14" w:name="_Toc382049092"/>
      <w:bookmarkStart w:id="15" w:name="_Toc298847174"/>
      <w:bookmarkStart w:id="16" w:name="_Toc1530"/>
      <w:bookmarkStart w:id="17" w:name="_Toc303084246"/>
      <w:r>
        <w:rPr>
          <w:rFonts w:hint="eastAsia" w:ascii="宋体" w:hAnsi="宋体" w:eastAsia="宋体"/>
          <w:color w:val="auto"/>
          <w:sz w:val="21"/>
          <w:szCs w:val="21"/>
          <w:highlight w:val="none"/>
        </w:rPr>
        <w:t>定义</w:t>
      </w:r>
      <w:bookmarkEnd w:id="13"/>
      <w:bookmarkEnd w:id="14"/>
      <w:bookmarkEnd w:id="15"/>
      <w:bookmarkEnd w:id="16"/>
      <w:bookmarkEnd w:id="17"/>
    </w:p>
    <w:p>
      <w:pPr>
        <w:pStyle w:val="30"/>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是指依法进行政府采购的国家机关、事业单位</w:t>
      </w:r>
      <w:r>
        <w:rPr>
          <w:rFonts w:hint="eastAsia" w:ascii="宋体" w:hAnsi="宋体" w:eastAsia="宋体"/>
          <w:color w:val="auto"/>
          <w:sz w:val="21"/>
          <w:szCs w:val="21"/>
          <w:highlight w:val="none"/>
        </w:rPr>
        <w:t>等</w:t>
      </w:r>
      <w:r>
        <w:rPr>
          <w:rFonts w:ascii="宋体" w:hAnsi="宋体" w:eastAsia="宋体"/>
          <w:color w:val="auto"/>
          <w:sz w:val="21"/>
          <w:szCs w:val="21"/>
          <w:highlight w:val="none"/>
        </w:rPr>
        <w:t>团体组织</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投标人：响应招标并且符合招标文件规定资格条件和参加投标竞争的法人、其他组织或者自然人。</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中标人：指经评标委员会评审推荐、采购人确认的获得本项目中标资格的投标人。</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合同：指由本次招标所产生的合同或合约文件。</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公章：</w:t>
      </w:r>
      <w:r>
        <w:rPr>
          <w:rFonts w:ascii="宋体" w:hAnsi="宋体" w:eastAsia="宋体"/>
          <w:color w:val="auto"/>
          <w:sz w:val="21"/>
          <w:szCs w:val="21"/>
          <w:highlight w:val="none"/>
        </w:rPr>
        <w:t>公章是</w:t>
      </w:r>
      <w:r>
        <w:rPr>
          <w:rFonts w:ascii="宋体" w:hAnsi="宋体" w:eastAsia="宋体"/>
          <w:iCs/>
          <w:color w:val="auto"/>
          <w:sz w:val="21"/>
          <w:szCs w:val="21"/>
          <w:highlight w:val="none"/>
        </w:rPr>
        <w:t>指</w:t>
      </w:r>
      <w:r>
        <w:rPr>
          <w:rFonts w:hint="eastAsia" w:ascii="宋体" w:hAnsi="宋体" w:eastAsia="宋体"/>
          <w:iCs/>
          <w:color w:val="auto"/>
          <w:sz w:val="21"/>
          <w:szCs w:val="21"/>
          <w:highlight w:val="none"/>
        </w:rPr>
        <w:t>经过正规的法定程序并备案的法人公章与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时间</w:t>
      </w:r>
      <w:r>
        <w:rPr>
          <w:rFonts w:hint="eastAsia" w:ascii="宋体" w:hAnsi="宋体" w:eastAsia="宋体"/>
          <w:iCs/>
          <w:color w:val="auto"/>
          <w:sz w:val="21"/>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18" w:name="_Toc3780"/>
      <w:r>
        <w:rPr>
          <w:rFonts w:hint="eastAsia" w:ascii="宋体" w:hAnsi="宋体" w:eastAsia="宋体"/>
          <w:color w:val="auto"/>
          <w:sz w:val="21"/>
          <w:szCs w:val="21"/>
          <w:highlight w:val="none"/>
        </w:rPr>
        <w:t>3.货物和服务</w:t>
      </w:r>
      <w:bookmarkEnd w:id="18"/>
    </w:p>
    <w:p>
      <w:pPr>
        <w:pStyle w:val="30"/>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ascii="宋体" w:hAnsi="宋体" w:eastAsia="宋体"/>
          <w:color w:val="auto"/>
          <w:sz w:val="21"/>
          <w:szCs w:val="21"/>
          <w:highlight w:val="none"/>
        </w:rPr>
        <w:t>是指各种形态和种类的物品，包括原材料、燃料、设备、产品等</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服务是指</w:t>
      </w:r>
      <w:r>
        <w:rPr>
          <w:rFonts w:ascii="宋体" w:hAnsi="宋体" w:eastAsia="宋体"/>
          <w:color w:val="auto"/>
          <w:sz w:val="21"/>
          <w:szCs w:val="21"/>
          <w:highlight w:val="none"/>
        </w:rPr>
        <w:t>除货物和工程以外的其他政府采购对象</w:t>
      </w:r>
      <w:r>
        <w:rPr>
          <w:rFonts w:hint="eastAsia" w:ascii="宋体" w:hAnsi="宋体" w:eastAsia="宋体"/>
          <w:color w:val="auto"/>
          <w:sz w:val="21"/>
          <w:szCs w:val="21"/>
          <w:highlight w:val="none"/>
        </w:rPr>
        <w:t>。</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19" w:name="_Toc15945"/>
      <w:r>
        <w:rPr>
          <w:rFonts w:hint="eastAsia" w:ascii="宋体" w:hAnsi="宋体" w:eastAsia="宋体"/>
          <w:color w:val="auto"/>
          <w:sz w:val="21"/>
          <w:szCs w:val="21"/>
          <w:highlight w:val="none"/>
        </w:rPr>
        <w:t>4.投标费用</w:t>
      </w:r>
      <w:bookmarkEnd w:id="19"/>
    </w:p>
    <w:p>
      <w:pPr>
        <w:pStyle w:val="30"/>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after="0" w:line="360" w:lineRule="exact"/>
        <w:jc w:val="both"/>
        <w:rPr>
          <w:rFonts w:ascii="宋体" w:hAnsi="宋体" w:eastAsia="宋体"/>
          <w:color w:val="auto"/>
          <w:sz w:val="21"/>
          <w:szCs w:val="21"/>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20" w:name="_Toc25040"/>
      <w:r>
        <w:rPr>
          <w:rFonts w:hint="eastAsia" w:ascii="宋体" w:hAnsi="宋体" w:eastAsia="宋体"/>
          <w:color w:val="auto"/>
          <w:sz w:val="21"/>
          <w:szCs w:val="21"/>
          <w:highlight w:val="none"/>
        </w:rPr>
        <w:t>5.知识产权</w:t>
      </w:r>
      <w:bookmarkEnd w:id="20"/>
    </w:p>
    <w:p>
      <w:pPr>
        <w:pStyle w:val="30"/>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采购人享有本项目实施过程中产生的知识成果及知识产权。</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采购货物为计算机办公设备时，投标人提供的产品必须是预装正版操作系统软件的计算机产品。</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投标人提供的服务、货物经认定存在侵权行为的，其投标无效，并上报相关监管部门。</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21" w:name="_Toc21930"/>
      <w:r>
        <w:rPr>
          <w:rFonts w:hint="eastAsia" w:ascii="宋体" w:hAnsi="宋体" w:eastAsia="宋体"/>
          <w:color w:val="auto"/>
          <w:sz w:val="21"/>
          <w:szCs w:val="21"/>
          <w:highlight w:val="none"/>
        </w:rPr>
        <w:t>6.关于联合体投标</w:t>
      </w:r>
      <w:bookmarkEnd w:id="21"/>
    </w:p>
    <w:p>
      <w:pPr>
        <w:pStyle w:val="30"/>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对接受联合体投标的项目：两个以上的自然人、法人或者其他组织可以组成一个联合体，以一个投标人的身份共同参加政府采购。</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联合体各方均应当符合《政府采购法》第二十二条规定的条件。</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联合体各方之间应当签订共同投标协议并</w:t>
      </w:r>
      <w:r>
        <w:rPr>
          <w:rFonts w:ascii="宋体" w:hAnsi="宋体" w:eastAsia="宋体"/>
          <w:color w:val="auto"/>
          <w:sz w:val="21"/>
          <w:szCs w:val="21"/>
          <w:highlight w:val="none"/>
        </w:rPr>
        <w:t>在投标文件内提交</w:t>
      </w:r>
      <w:r>
        <w:rPr>
          <w:rFonts w:hint="eastAsia" w:ascii="宋体" w:hAnsi="宋体" w:eastAsia="宋体"/>
          <w:color w:val="auto"/>
          <w:sz w:val="21"/>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供应商为联合体的，可以由联合体中的任意一方交纳保证金，其交纳的保证金对联合体各方均具有约束力。</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以联合体形式参加政府采购活动，联合体各方均为中小企业的，联合体视同中小企业。其中，联合体各方均为小微企业的，联合体视同小微企业。</w:t>
      </w:r>
      <w:r>
        <w:rPr>
          <w:rFonts w:hint="eastAsia" w:ascii="宋体" w:hAnsi="宋体" w:eastAsia="宋体"/>
          <w:color w:val="auto"/>
          <w:sz w:val="21"/>
          <w:szCs w:val="21"/>
          <w:highlight w:val="none"/>
          <w:lang w:eastAsia="zh-CN"/>
        </w:rPr>
        <w:t>双方均应提供《中小企业声明函》。</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联合体进行评分时，业绩、奖项等的认定和评分根据共同投标协议约定的各方承担的工作和相应责任，确定一方打分，不累加打分；评审标准不明确或难以明确以哪一方计算评分情况时，则按主体方情况评分。</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22" w:name="_Toc16571"/>
      <w:r>
        <w:rPr>
          <w:rFonts w:hint="eastAsia" w:ascii="宋体" w:hAnsi="宋体" w:eastAsia="宋体"/>
          <w:color w:val="auto"/>
          <w:sz w:val="21"/>
          <w:szCs w:val="21"/>
          <w:highlight w:val="none"/>
        </w:rPr>
        <w:t>7.关于分支机构投标</w:t>
      </w:r>
      <w:bookmarkEnd w:id="22"/>
    </w:p>
    <w:p>
      <w:pPr>
        <w:pStyle w:val="30"/>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bookmarkStart w:id="23" w:name="EB389f116341dd4693875bc7987e7327f3"/>
    </w:p>
    <w:p>
      <w:pPr>
        <w:widowControl w:val="0"/>
        <w:numPr>
          <w:ilvl w:val="1"/>
          <w:numId w:val="3"/>
        </w:numPr>
        <w:adjustRightInd/>
        <w:snapToGrid/>
        <w:spacing w:after="0"/>
        <w:jc w:val="both"/>
        <w:rPr>
          <w:rFonts w:ascii="宋体" w:hAnsi="宋体" w:eastAsia="宋体"/>
          <w:color w:val="auto"/>
          <w:sz w:val="21"/>
          <w:szCs w:val="21"/>
          <w:highlight w:val="none"/>
        </w:rPr>
      </w:pPr>
      <w:r>
        <w:rPr>
          <w:rFonts w:ascii="宋体" w:hAnsi="宋体" w:eastAsia="宋体"/>
          <w:color w:val="auto"/>
          <w:sz w:val="21"/>
          <w:szCs w:val="21"/>
          <w:highlight w:val="none"/>
        </w:rPr>
        <w:t>对可接受</w:t>
      </w:r>
      <w:r>
        <w:rPr>
          <w:rFonts w:hint="eastAsia" w:ascii="宋体" w:hAnsi="宋体" w:eastAsia="宋体"/>
          <w:color w:val="auto"/>
          <w:sz w:val="21"/>
          <w:szCs w:val="21"/>
          <w:highlight w:val="none"/>
        </w:rPr>
        <w:t>分支机构</w:t>
      </w:r>
      <w:r>
        <w:rPr>
          <w:rFonts w:ascii="宋体" w:hAnsi="宋体" w:eastAsia="宋体"/>
          <w:color w:val="auto"/>
          <w:sz w:val="21"/>
          <w:szCs w:val="21"/>
          <w:highlight w:val="none"/>
        </w:rPr>
        <w:t>投标的项目，</w:t>
      </w:r>
      <w:r>
        <w:rPr>
          <w:rFonts w:hint="eastAsia" w:ascii="宋体" w:hAnsi="宋体" w:eastAsia="宋体"/>
          <w:color w:val="auto"/>
          <w:sz w:val="21"/>
          <w:szCs w:val="21"/>
          <w:highlight w:val="none"/>
        </w:rPr>
        <w:t>分支机构</w:t>
      </w:r>
      <w:r>
        <w:rPr>
          <w:rFonts w:ascii="宋体" w:hAnsi="宋体" w:eastAsia="宋体"/>
          <w:color w:val="auto"/>
          <w:sz w:val="21"/>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23"/>
    </w:p>
    <w:p>
      <w:pPr>
        <w:rPr>
          <w:color w:val="auto"/>
          <w:highlight w:val="none"/>
        </w:rPr>
      </w:pPr>
    </w:p>
    <w:p>
      <w:pPr>
        <w:pStyle w:val="5"/>
        <w:numPr>
          <w:ilvl w:val="0"/>
          <w:numId w:val="2"/>
        </w:numPr>
        <w:spacing w:before="0" w:after="0" w:line="480" w:lineRule="auto"/>
        <w:jc w:val="center"/>
        <w:rPr>
          <w:rFonts w:ascii="宋体" w:hAnsi="宋体" w:eastAsia="宋体"/>
          <w:color w:val="auto"/>
          <w:highlight w:val="none"/>
        </w:rPr>
      </w:pPr>
      <w:bookmarkStart w:id="24" w:name="_Toc17879"/>
      <w:r>
        <w:rPr>
          <w:rFonts w:hint="eastAsia" w:ascii="宋体" w:hAnsi="宋体" w:eastAsia="宋体"/>
          <w:color w:val="auto"/>
          <w:highlight w:val="none"/>
        </w:rPr>
        <w:t>招标文件</w:t>
      </w:r>
      <w:bookmarkEnd w:id="24"/>
    </w:p>
    <w:p>
      <w:pPr>
        <w:pStyle w:val="6"/>
        <w:widowControl w:val="0"/>
        <w:overflowPunct w:val="0"/>
        <w:spacing w:before="0" w:after="0" w:line="240" w:lineRule="auto"/>
        <w:rPr>
          <w:rFonts w:ascii="宋体" w:hAnsi="宋体" w:eastAsia="宋体"/>
          <w:color w:val="auto"/>
          <w:sz w:val="21"/>
          <w:szCs w:val="21"/>
          <w:highlight w:val="none"/>
        </w:rPr>
      </w:pPr>
      <w:bookmarkStart w:id="25" w:name="_Toc21771"/>
      <w:r>
        <w:rPr>
          <w:rFonts w:hint="eastAsia" w:ascii="宋体" w:hAnsi="宋体" w:eastAsia="宋体"/>
          <w:color w:val="auto"/>
          <w:sz w:val="21"/>
          <w:szCs w:val="21"/>
          <w:highlight w:val="none"/>
        </w:rPr>
        <w:t>8.招标文件的组成</w:t>
      </w:r>
      <w:bookmarkEnd w:id="25"/>
    </w:p>
    <w:p>
      <w:pPr>
        <w:pStyle w:val="30"/>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（1）投标邀请书；</w:t>
      </w:r>
    </w:p>
    <w:p>
      <w:pPr>
        <w:widowControl w:val="0"/>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（2）投标资料表；</w:t>
      </w:r>
    </w:p>
    <w:p>
      <w:pPr>
        <w:widowControl w:val="0"/>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（3）用户需求书；</w:t>
      </w:r>
    </w:p>
    <w:p>
      <w:pPr>
        <w:widowControl w:val="0"/>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（4）投标人须知；</w:t>
      </w:r>
    </w:p>
    <w:p>
      <w:pPr>
        <w:widowControl w:val="0"/>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（5）合同文本参考格式；</w:t>
      </w:r>
    </w:p>
    <w:p>
      <w:pPr>
        <w:widowControl w:val="0"/>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（6）投标文件参考格式；</w:t>
      </w:r>
    </w:p>
    <w:p>
      <w:pPr>
        <w:widowControl w:val="0"/>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（7）在招标过程中由采购代理机构发出的澄清更正文件等。</w:t>
      </w:r>
    </w:p>
    <w:p>
      <w:pPr>
        <w:spacing w:after="0"/>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26" w:name="_Toc14217"/>
      <w:r>
        <w:rPr>
          <w:rFonts w:hint="eastAsia" w:ascii="宋体" w:hAnsi="宋体" w:eastAsia="宋体"/>
          <w:color w:val="auto"/>
          <w:sz w:val="21"/>
          <w:szCs w:val="21"/>
          <w:highlight w:val="none"/>
        </w:rPr>
        <w:t>9.招标文件的澄清或修改</w:t>
      </w:r>
      <w:bookmarkEnd w:id="26"/>
    </w:p>
    <w:p>
      <w:pPr>
        <w:pStyle w:val="30"/>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eastAsia="宋体"/>
          <w:color w:val="auto"/>
          <w:sz w:val="21"/>
          <w:szCs w:val="21"/>
          <w:highlight w:val="none"/>
        </w:rPr>
        <w:t>具有约束作用</w:t>
      </w:r>
      <w:r>
        <w:rPr>
          <w:rFonts w:hint="eastAsia" w:ascii="宋体" w:hAnsi="宋体" w:eastAsia="宋体"/>
          <w:color w:val="auto"/>
          <w:sz w:val="21"/>
          <w:szCs w:val="21"/>
          <w:highlight w:val="none"/>
        </w:rPr>
        <w:t>。</w:t>
      </w:r>
      <w:r>
        <w:rPr>
          <w:rFonts w:ascii="宋体" w:hAnsi="宋体" w:eastAsia="宋体"/>
          <w:color w:val="auto"/>
          <w:sz w:val="21"/>
          <w:szCs w:val="21"/>
          <w:highlight w:val="none"/>
        </w:rPr>
        <w:t>当招标文件、招标文件的澄清</w:t>
      </w:r>
      <w:r>
        <w:rPr>
          <w:rFonts w:hint="eastAsia" w:ascii="宋体" w:hAnsi="宋体" w:eastAsia="宋体"/>
          <w:color w:val="auto"/>
          <w:sz w:val="21"/>
          <w:szCs w:val="21"/>
          <w:highlight w:val="none"/>
        </w:rPr>
        <w:t>或</w:t>
      </w:r>
      <w:r>
        <w:rPr>
          <w:rFonts w:ascii="宋体" w:hAnsi="宋体" w:eastAsia="宋体"/>
          <w:color w:val="auto"/>
          <w:sz w:val="21"/>
          <w:szCs w:val="21"/>
          <w:highlight w:val="none"/>
        </w:rPr>
        <w:t>修改等在同一内容的表述上不一致时，以最后发出的书面文件</w:t>
      </w:r>
      <w:r>
        <w:rPr>
          <w:rFonts w:hint="eastAsia" w:ascii="宋体" w:hAnsi="宋体" w:eastAsia="宋体"/>
          <w:color w:val="auto"/>
          <w:sz w:val="21"/>
          <w:szCs w:val="21"/>
          <w:highlight w:val="none"/>
        </w:rPr>
        <w:t>及公告</w:t>
      </w:r>
      <w:r>
        <w:rPr>
          <w:rFonts w:ascii="宋体" w:hAnsi="宋体" w:eastAsia="宋体"/>
          <w:color w:val="auto"/>
          <w:sz w:val="21"/>
          <w:szCs w:val="21"/>
          <w:highlight w:val="none"/>
        </w:rPr>
        <w:t>为准。</w:t>
      </w:r>
    </w:p>
    <w:p>
      <w:pPr>
        <w:widowControl w:val="0"/>
        <w:numPr>
          <w:ilvl w:val="1"/>
          <w:numId w:val="3"/>
        </w:numPr>
        <w:adjustRightInd/>
        <w:snapToGrid/>
        <w:spacing w:after="0" w:line="360" w:lineRule="exact"/>
        <w:jc w:val="both"/>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招标期间，投标人有义务上网查看，公告一经上网发布，即视为送达。因投标人未及时上网查看而造成的所有后果，由投标人自行承担。</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5"/>
        <w:numPr>
          <w:ilvl w:val="0"/>
          <w:numId w:val="2"/>
        </w:numPr>
        <w:spacing w:before="0" w:after="0" w:line="480" w:lineRule="auto"/>
        <w:jc w:val="center"/>
        <w:rPr>
          <w:rFonts w:ascii="宋体" w:hAnsi="宋体" w:eastAsia="宋体"/>
          <w:color w:val="auto"/>
          <w:highlight w:val="none"/>
        </w:rPr>
      </w:pPr>
      <w:bookmarkStart w:id="27" w:name="_Toc23726"/>
      <w:r>
        <w:rPr>
          <w:rFonts w:hint="eastAsia" w:ascii="宋体" w:hAnsi="宋体" w:eastAsia="宋体"/>
          <w:color w:val="auto"/>
          <w:highlight w:val="none"/>
        </w:rPr>
        <w:t>投标文件的编制</w:t>
      </w:r>
      <w:bookmarkEnd w:id="27"/>
    </w:p>
    <w:p>
      <w:pPr>
        <w:pStyle w:val="6"/>
        <w:widowControl w:val="0"/>
        <w:overflowPunct w:val="0"/>
        <w:spacing w:before="0" w:after="0" w:line="240" w:lineRule="auto"/>
        <w:rPr>
          <w:rFonts w:ascii="宋体" w:hAnsi="宋体" w:eastAsia="宋体"/>
          <w:color w:val="auto"/>
          <w:sz w:val="21"/>
          <w:szCs w:val="21"/>
          <w:highlight w:val="none"/>
        </w:rPr>
      </w:pPr>
      <w:bookmarkStart w:id="28" w:name="_Toc20623"/>
      <w:r>
        <w:rPr>
          <w:rFonts w:hint="eastAsia" w:ascii="宋体" w:hAnsi="宋体" w:eastAsia="宋体"/>
          <w:color w:val="auto"/>
          <w:sz w:val="21"/>
          <w:szCs w:val="21"/>
          <w:highlight w:val="none"/>
        </w:rPr>
        <w:t>10.投标文件的语言及度量衡单位</w:t>
      </w:r>
      <w:bookmarkEnd w:id="28"/>
    </w:p>
    <w:p>
      <w:pPr>
        <w:pStyle w:val="30"/>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除非招标文件在技术规格中另有规定，投标人在投标文件中及其与采购代理机构和采购人所有往来文件中的所有</w:t>
      </w:r>
      <w:r>
        <w:rPr>
          <w:rFonts w:ascii="宋体" w:hAnsi="宋体" w:eastAsia="宋体"/>
          <w:color w:val="auto"/>
          <w:sz w:val="21"/>
          <w:szCs w:val="21"/>
          <w:highlight w:val="none"/>
        </w:rPr>
        <w:t>计量单位</w:t>
      </w:r>
      <w:r>
        <w:rPr>
          <w:rFonts w:hint="eastAsia" w:ascii="宋体" w:hAnsi="宋体" w:eastAsia="宋体"/>
          <w:color w:val="auto"/>
          <w:sz w:val="21"/>
          <w:szCs w:val="21"/>
          <w:highlight w:val="none"/>
        </w:rPr>
        <w:t>均应采用中华人民共和国法定计量单位</w:t>
      </w:r>
      <w:r>
        <w:rPr>
          <w:rFonts w:ascii="宋体" w:hAnsi="宋体" w:eastAsia="宋体"/>
          <w:color w:val="auto"/>
          <w:sz w:val="21"/>
          <w:szCs w:val="21"/>
          <w:highlight w:val="none"/>
        </w:rPr>
        <w:t>。</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29" w:name="_Toc303084256"/>
      <w:bookmarkStart w:id="30" w:name="_Toc28866"/>
      <w:bookmarkStart w:id="31" w:name="_Toc382049103"/>
      <w:bookmarkStart w:id="32" w:name="_Toc12145"/>
      <w:bookmarkStart w:id="33" w:name="_Toc307934854"/>
      <w:r>
        <w:rPr>
          <w:rFonts w:hint="eastAsia" w:ascii="宋体" w:hAnsi="宋体" w:eastAsia="宋体"/>
          <w:color w:val="auto"/>
          <w:sz w:val="21"/>
          <w:szCs w:val="21"/>
          <w:highlight w:val="none"/>
        </w:rPr>
        <w:t>11.</w:t>
      </w:r>
      <w:r>
        <w:rPr>
          <w:rFonts w:ascii="宋体" w:hAnsi="宋体" w:eastAsia="宋体"/>
          <w:color w:val="auto"/>
          <w:sz w:val="21"/>
          <w:szCs w:val="21"/>
          <w:highlight w:val="none"/>
        </w:rPr>
        <w:t>投标文件的组成</w:t>
      </w:r>
      <w:bookmarkEnd w:id="29"/>
      <w:bookmarkEnd w:id="30"/>
      <w:bookmarkEnd w:id="31"/>
      <w:bookmarkEnd w:id="32"/>
      <w:bookmarkEnd w:id="33"/>
    </w:p>
    <w:p>
      <w:pPr>
        <w:pStyle w:val="30"/>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包括但不限于招标文件附件格式中要求提供的表格。</w:t>
      </w:r>
    </w:p>
    <w:p>
      <w:pPr>
        <w:widowControl w:val="0"/>
        <w:numPr>
          <w:ilvl w:val="1"/>
          <w:numId w:val="3"/>
        </w:numPr>
        <w:adjustRightInd/>
        <w:snapToGrid/>
        <w:spacing w:after="0" w:line="360" w:lineRule="exact"/>
        <w:jc w:val="both"/>
        <w:rPr>
          <w:color w:val="auto"/>
          <w:highlight w:val="none"/>
        </w:rPr>
      </w:pPr>
      <w:r>
        <w:rPr>
          <w:rFonts w:hint="eastAsia" w:ascii="宋体" w:hAnsi="宋体" w:eastAsia="宋体"/>
          <w:color w:val="auto"/>
          <w:sz w:val="21"/>
          <w:szCs w:val="21"/>
          <w:highlight w:val="none"/>
        </w:rPr>
        <w:t>上述文件须按顺序装订成册，并编制投标文件目录。除上述文件资料外投标人还须按投标人须知的要求制作“开标文件”。“开标文件”作为投标文件的一部分，但须单独密封。</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34" w:name="_Toc30189"/>
      <w:r>
        <w:rPr>
          <w:rFonts w:hint="eastAsia" w:ascii="宋体" w:hAnsi="宋体" w:eastAsia="宋体"/>
          <w:color w:val="auto"/>
          <w:sz w:val="21"/>
          <w:szCs w:val="21"/>
          <w:highlight w:val="none"/>
        </w:rPr>
        <w:t>12.投标文件编制</w:t>
      </w:r>
      <w:bookmarkEnd w:id="34"/>
    </w:p>
    <w:p>
      <w:pPr>
        <w:pStyle w:val="30"/>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bookmarkStart w:id="35" w:name="_Toc303084258"/>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投标人应按招标文件的规定以及附件要求的内容和格式完整地填写</w:t>
      </w:r>
      <w:r>
        <w:rPr>
          <w:rFonts w:ascii="宋体" w:hAnsi="宋体" w:eastAsia="宋体"/>
          <w:color w:val="auto"/>
          <w:sz w:val="21"/>
          <w:szCs w:val="21"/>
          <w:highlight w:val="none"/>
        </w:rPr>
        <w:t>（表格可以按同样格式扩展）</w:t>
      </w:r>
      <w:r>
        <w:rPr>
          <w:rFonts w:hint="eastAsia" w:ascii="宋体" w:hAnsi="宋体" w:eastAsia="宋体"/>
          <w:color w:val="auto"/>
          <w:sz w:val="21"/>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因投标文件编制存在歧义对投标人产生负面影响的，投标人自行承担后果。</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投标单位名称与投标人公章不一致，若投标单位名称已进行变更，应在投标文件中提供相应的证明材料并加盖公章，否则投标文件无效。</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投标文件密封、标记及内容与本项目采购信息不符，导致无法分辨所投项目为本项目的，投标文件无效。</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投标文件若出现以下内容，经评标委员会认定有可能间接影响评审秩序，其投标无效：</w:t>
      </w:r>
    </w:p>
    <w:p>
      <w:pPr>
        <w:pStyle w:val="30"/>
        <w:widowControl w:val="0"/>
        <w:adjustRightInd/>
        <w:snapToGrid/>
        <w:spacing w:after="0" w:line="360" w:lineRule="exact"/>
        <w:ind w:firstLine="0" w:firstLineChars="0"/>
        <w:jc w:val="both"/>
        <w:rPr>
          <w:rFonts w:ascii="宋体" w:hAnsi="宋体" w:eastAsia="宋体"/>
          <w:color w:val="auto"/>
          <w:sz w:val="21"/>
          <w:szCs w:val="21"/>
          <w:highlight w:val="none"/>
        </w:rPr>
      </w:pPr>
      <w:r>
        <w:rPr>
          <w:rFonts w:hint="eastAsia" w:ascii="宋体" w:hAnsi="宋体" w:eastAsia="宋体"/>
          <w:color w:val="auto"/>
          <w:sz w:val="21"/>
          <w:szCs w:val="21"/>
          <w:highlight w:val="none"/>
        </w:rPr>
        <w:t>（1）投标文件内出现无官方证明文件的行业地域排名或</w:t>
      </w:r>
      <w:r>
        <w:rPr>
          <w:rFonts w:ascii="宋体" w:hAnsi="宋体" w:eastAsia="宋体"/>
          <w:color w:val="auto"/>
          <w:sz w:val="21"/>
          <w:szCs w:val="21"/>
          <w:highlight w:val="none"/>
        </w:rPr>
        <w:t>使用“国家级”、“最高级”、“最佳”等用语</w:t>
      </w:r>
      <w:r>
        <w:rPr>
          <w:rFonts w:hint="eastAsia" w:ascii="宋体" w:hAnsi="宋体" w:eastAsia="宋体"/>
          <w:color w:val="auto"/>
          <w:sz w:val="21"/>
          <w:szCs w:val="21"/>
          <w:highlight w:val="none"/>
        </w:rPr>
        <w:t>字眼的。</w:t>
      </w:r>
    </w:p>
    <w:p>
      <w:pPr>
        <w:pStyle w:val="30"/>
        <w:widowControl w:val="0"/>
        <w:adjustRightInd/>
        <w:snapToGrid/>
        <w:spacing w:after="0" w:line="360" w:lineRule="exact"/>
        <w:ind w:firstLine="0" w:firstLineChars="0"/>
        <w:jc w:val="both"/>
        <w:rPr>
          <w:rFonts w:ascii="宋体" w:hAnsi="宋体" w:eastAsia="宋体"/>
          <w:color w:val="auto"/>
          <w:sz w:val="21"/>
          <w:szCs w:val="21"/>
          <w:highlight w:val="none"/>
        </w:rPr>
      </w:pPr>
      <w:r>
        <w:rPr>
          <w:rFonts w:hint="eastAsia" w:ascii="宋体" w:hAnsi="宋体" w:eastAsia="宋体"/>
          <w:color w:val="auto"/>
          <w:sz w:val="21"/>
          <w:szCs w:val="21"/>
          <w:highlight w:val="none"/>
        </w:rPr>
        <w:t>（2）投标文件内出现恶意诋毁、</w:t>
      </w:r>
      <w:r>
        <w:rPr>
          <w:rFonts w:ascii="宋体" w:hAnsi="宋体" w:eastAsia="宋体"/>
          <w:color w:val="auto"/>
          <w:sz w:val="21"/>
          <w:szCs w:val="21"/>
          <w:highlight w:val="none"/>
        </w:rPr>
        <w:t>贬低其他生产经营者的商品或者服务</w:t>
      </w:r>
      <w:r>
        <w:rPr>
          <w:rFonts w:hint="eastAsia" w:ascii="宋体" w:hAnsi="宋体" w:eastAsia="宋体"/>
          <w:color w:val="auto"/>
          <w:sz w:val="21"/>
          <w:szCs w:val="21"/>
          <w:highlight w:val="none"/>
        </w:rPr>
        <w:t>的内容。</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有下列情形之一的，视为投标人串通投标，其投标无效：</w:t>
      </w:r>
    </w:p>
    <w:bookmarkEnd w:id="35"/>
    <w:p>
      <w:pPr>
        <w:widowControl w:val="0"/>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（一）不同投标人的投标文件由同一单位或者个人编制；</w:t>
      </w:r>
    </w:p>
    <w:p>
      <w:pPr>
        <w:widowControl w:val="0"/>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（二）不同投标人委托同一单位或者个人办理投标事宜；</w:t>
      </w:r>
    </w:p>
    <w:p>
      <w:pPr>
        <w:widowControl w:val="0"/>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（三）不同投标人的投标文件载明的项目管理成员或者联系人员为同一人；</w:t>
      </w:r>
    </w:p>
    <w:p>
      <w:pPr>
        <w:widowControl w:val="0"/>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（四）不同投标人的投标文件异常一致或者投标报价呈规律性差异；</w:t>
      </w:r>
    </w:p>
    <w:p>
      <w:pPr>
        <w:widowControl w:val="0"/>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（五）不同投标人的投标文件相互混装；</w:t>
      </w:r>
    </w:p>
    <w:p>
      <w:pPr>
        <w:widowControl w:val="0"/>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（六）不同投标人的投标保证金从同一单位或者个人的账户转出。</w:t>
      </w:r>
    </w:p>
    <w:p>
      <w:pPr>
        <w:widowControl w:val="0"/>
        <w:adjustRightInd/>
        <w:snapToGrid/>
        <w:spacing w:after="0" w:line="360" w:lineRule="exact"/>
        <w:jc w:val="both"/>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36" w:name="_Toc259"/>
      <w:r>
        <w:rPr>
          <w:rFonts w:hint="eastAsia" w:ascii="宋体" w:hAnsi="宋体" w:eastAsia="宋体"/>
          <w:color w:val="auto"/>
          <w:sz w:val="21"/>
          <w:szCs w:val="21"/>
          <w:highlight w:val="none"/>
        </w:rPr>
        <w:t>13.投标报价说明</w:t>
      </w:r>
      <w:bookmarkEnd w:id="36"/>
    </w:p>
    <w:p>
      <w:pPr>
        <w:pStyle w:val="30"/>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本次招标，投标人应按用户需求中的要求进行投标报价，少报无效。</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投标人所提供的货物或服务均以人民币（或相关费率）报价。</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投标报价应包含完成本次招标所有服务内容的费用，包含各种税务费及合同实施过程中的全部费用和售后服务费等。</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中标后开出的所有发票必须与中标人的名称一致。</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37" w:name="_Toc27724"/>
      <w:r>
        <w:rPr>
          <w:rFonts w:hint="eastAsia" w:ascii="宋体" w:hAnsi="宋体" w:eastAsia="宋体"/>
          <w:color w:val="auto"/>
          <w:sz w:val="21"/>
          <w:szCs w:val="21"/>
          <w:highlight w:val="none"/>
        </w:rPr>
        <w:t>14.投标人所提供的服务或货物的证明文件</w:t>
      </w:r>
      <w:bookmarkEnd w:id="37"/>
    </w:p>
    <w:p>
      <w:pPr>
        <w:pStyle w:val="30"/>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bookmarkStart w:id="38" w:name="_Hlt107925638"/>
      <w:bookmarkEnd w:id="38"/>
      <w:bookmarkStart w:id="39" w:name="_Hlt107925668"/>
      <w:bookmarkEnd w:id="39"/>
      <w:r>
        <w:rPr>
          <w:rFonts w:hint="eastAsia" w:ascii="宋体" w:hAnsi="宋体" w:eastAsia="宋体"/>
          <w:color w:val="auto"/>
          <w:sz w:val="21"/>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0"/>
        <w:widowControl w:val="0"/>
        <w:adjustRightInd/>
        <w:snapToGrid/>
        <w:spacing w:after="0" w:line="360" w:lineRule="exact"/>
        <w:ind w:left="425" w:firstLine="0" w:firstLineChars="0"/>
        <w:jc w:val="both"/>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40" w:name="_Toc19520"/>
      <w:r>
        <w:rPr>
          <w:rFonts w:hint="eastAsia" w:ascii="宋体" w:hAnsi="宋体" w:eastAsia="宋体"/>
          <w:color w:val="auto"/>
          <w:sz w:val="21"/>
          <w:szCs w:val="21"/>
          <w:highlight w:val="none"/>
        </w:rPr>
        <w:t>15.★投标有效期</w:t>
      </w:r>
      <w:bookmarkEnd w:id="40"/>
    </w:p>
    <w:p>
      <w:pPr>
        <w:pStyle w:val="30"/>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投标文件应根据投标人须知的规定在投标截止日后的90天内保持有效。</w:t>
      </w:r>
    </w:p>
    <w:p>
      <w:pPr>
        <w:widowControl w:val="0"/>
        <w:adjustRightInd/>
        <w:snapToGrid/>
        <w:spacing w:after="0" w:line="360" w:lineRule="exact"/>
        <w:ind w:left="567"/>
        <w:jc w:val="both"/>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41" w:name="_Toc12456"/>
      <w:r>
        <w:rPr>
          <w:rFonts w:hint="eastAsia" w:ascii="宋体" w:hAnsi="宋体" w:eastAsia="宋体"/>
          <w:color w:val="auto"/>
          <w:sz w:val="21"/>
          <w:szCs w:val="21"/>
          <w:highlight w:val="none"/>
        </w:rPr>
        <w:t>16.★投标保证金</w:t>
      </w:r>
      <w:bookmarkEnd w:id="41"/>
    </w:p>
    <w:p>
      <w:pPr>
        <w:pStyle w:val="30"/>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bookmarkStart w:id="42" w:name="_Ref179619405"/>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投标人应按投标资料表中规定数额及法律规定的时间按相应包号保证金金额要求一次性提交投标保证金，以多次汇入达到招标文件要求金额的投标保证金无效。</w:t>
      </w:r>
      <w:bookmarkEnd w:id="42"/>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投标保证金金额与招标文件要求金额保持一致（详见投标资料表）。</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投标保证金有效期与投标有效期保持一致。</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投标人应一次性缴交招标文件规定数额的投标保证金，投标人与交款人名称必须一致，非投标人缴纳的投标保证金无效。</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采用银行转账、电汇方式提交的,付至采购代理机构指定账户上。 (详见投标人资料表)</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采用《政府采购投标担保函》提交的，应符合下列规定：</w:t>
      </w:r>
    </w:p>
    <w:p>
      <w:pPr>
        <w:spacing w:after="0"/>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①投标担保函有效期应与投标有效期一致；</w:t>
      </w:r>
    </w:p>
    <w:p>
      <w:pPr>
        <w:spacing w:after="0"/>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②投标担保金额应与本项目的投标保证金一致；</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保证金不接受现金方式（包括以存现方式）提交，未按要求提交投标保证金的将导致废标。</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未中标的投标人的保证金在采购结果公示发出后5个工作日内退还，中标投标人的保证金在采购合同签订后5个工作日内退还。</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为方便退还未中标的投保人的保证金，投标人应制作《投标保证金汇入情况说明》随开标文件一并递交。</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有下列情形之一的，投标保证金将不予退还：</w:t>
      </w:r>
    </w:p>
    <w:p>
      <w:pPr>
        <w:widowControl w:val="0"/>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（1）投标人在提交响应文件截止时间后撤回响应文件的；</w:t>
      </w:r>
    </w:p>
    <w:p>
      <w:pPr>
        <w:widowControl w:val="0"/>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（2）投标人在响应文件中提供虚假材料的；</w:t>
      </w:r>
    </w:p>
    <w:p>
      <w:pPr>
        <w:widowControl w:val="0"/>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（3）除因不可抗力或谈判文件、询价通知书认可的情形以外，中标单位不与采购人签订合同的；</w:t>
      </w:r>
    </w:p>
    <w:p>
      <w:pPr>
        <w:widowControl w:val="0"/>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（4）投标人与采购人、其他供应商或者采购代理机构恶意串通的；</w:t>
      </w:r>
    </w:p>
    <w:p>
      <w:pPr>
        <w:widowControl w:val="0"/>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（5）招标文件规定的其他情形。</w:t>
      </w:r>
    </w:p>
    <w:p>
      <w:pPr>
        <w:rPr>
          <w:color w:val="auto"/>
          <w:highlight w:val="none"/>
        </w:rPr>
      </w:pPr>
    </w:p>
    <w:p>
      <w:pPr>
        <w:pStyle w:val="5"/>
        <w:numPr>
          <w:ilvl w:val="0"/>
          <w:numId w:val="2"/>
        </w:numPr>
        <w:spacing w:before="0" w:after="0" w:line="480" w:lineRule="auto"/>
        <w:jc w:val="center"/>
        <w:rPr>
          <w:rFonts w:ascii="宋体" w:hAnsi="宋体" w:eastAsia="宋体"/>
          <w:color w:val="auto"/>
          <w:highlight w:val="none"/>
        </w:rPr>
      </w:pPr>
      <w:bookmarkStart w:id="43" w:name="_Toc31124"/>
      <w:r>
        <w:rPr>
          <w:rFonts w:hint="eastAsia" w:ascii="宋体" w:hAnsi="宋体" w:eastAsia="宋体"/>
          <w:color w:val="auto"/>
          <w:highlight w:val="none"/>
        </w:rPr>
        <w:t>投标文件的递交</w:t>
      </w:r>
      <w:bookmarkEnd w:id="43"/>
    </w:p>
    <w:p>
      <w:pPr>
        <w:pStyle w:val="6"/>
        <w:widowControl w:val="0"/>
        <w:overflowPunct w:val="0"/>
        <w:spacing w:before="0" w:after="0" w:line="240" w:lineRule="auto"/>
        <w:rPr>
          <w:rFonts w:ascii="宋体" w:hAnsi="宋体" w:eastAsia="宋体"/>
          <w:color w:val="auto"/>
          <w:sz w:val="21"/>
          <w:szCs w:val="21"/>
          <w:highlight w:val="none"/>
        </w:rPr>
      </w:pPr>
      <w:bookmarkStart w:id="44" w:name="_Toc303084264"/>
      <w:bookmarkStart w:id="45" w:name="_Toc382049111"/>
      <w:bookmarkStart w:id="46" w:name="_Toc29590"/>
      <w:bookmarkStart w:id="47" w:name="_Toc24997"/>
      <w:r>
        <w:rPr>
          <w:rFonts w:hint="eastAsia" w:ascii="宋体" w:hAnsi="宋体" w:eastAsia="宋体"/>
          <w:color w:val="auto"/>
          <w:sz w:val="21"/>
          <w:szCs w:val="21"/>
          <w:highlight w:val="none"/>
        </w:rPr>
        <w:t>17.</w:t>
      </w:r>
      <w:r>
        <w:rPr>
          <w:rFonts w:ascii="宋体" w:hAnsi="宋体" w:eastAsia="宋体"/>
          <w:color w:val="auto"/>
          <w:sz w:val="21"/>
          <w:szCs w:val="21"/>
          <w:highlight w:val="none"/>
        </w:rPr>
        <w:t>投标文件的</w:t>
      </w:r>
      <w:r>
        <w:rPr>
          <w:rFonts w:hint="eastAsia" w:ascii="宋体" w:hAnsi="宋体" w:eastAsia="宋体"/>
          <w:color w:val="auto"/>
          <w:sz w:val="21"/>
          <w:szCs w:val="21"/>
          <w:highlight w:val="none"/>
        </w:rPr>
        <w:t>装订，签署，</w:t>
      </w:r>
      <w:r>
        <w:rPr>
          <w:rFonts w:ascii="宋体" w:hAnsi="宋体" w:eastAsia="宋体"/>
          <w:color w:val="auto"/>
          <w:sz w:val="21"/>
          <w:szCs w:val="21"/>
          <w:highlight w:val="none"/>
        </w:rPr>
        <w:t>密封和标记</w:t>
      </w:r>
      <w:bookmarkEnd w:id="44"/>
      <w:bookmarkEnd w:id="45"/>
      <w:bookmarkEnd w:id="46"/>
      <w:bookmarkEnd w:id="47"/>
    </w:p>
    <w:p>
      <w:pPr>
        <w:pStyle w:val="30"/>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为方便评标委员会对投标文件进行评审</w:t>
      </w:r>
      <w:r>
        <w:rPr>
          <w:rFonts w:ascii="宋体" w:hAnsi="宋体" w:eastAsia="宋体"/>
          <w:color w:val="auto"/>
          <w:sz w:val="21"/>
          <w:szCs w:val="21"/>
          <w:highlight w:val="none"/>
        </w:rPr>
        <w:t>，</w:t>
      </w:r>
      <w:r>
        <w:rPr>
          <w:rFonts w:hint="eastAsia" w:ascii="宋体" w:hAnsi="宋体" w:eastAsia="宋体"/>
          <w:color w:val="auto"/>
          <w:sz w:val="21"/>
          <w:szCs w:val="21"/>
          <w:highlight w:val="none"/>
        </w:rPr>
        <w:t>建议投标人对投标文件进行装订，</w:t>
      </w:r>
      <w:r>
        <w:rPr>
          <w:rFonts w:ascii="宋体" w:hAnsi="宋体" w:eastAsia="宋体"/>
          <w:color w:val="auto"/>
          <w:sz w:val="21"/>
          <w:szCs w:val="21"/>
          <w:highlight w:val="none"/>
        </w:rPr>
        <w:t>对未经装订的投标文件可能发生的文件缺</w:t>
      </w:r>
      <w:r>
        <w:rPr>
          <w:rFonts w:hint="eastAsia" w:ascii="宋体" w:hAnsi="宋体" w:eastAsia="宋体"/>
          <w:color w:val="auto"/>
          <w:sz w:val="21"/>
          <w:szCs w:val="21"/>
          <w:highlight w:val="none"/>
        </w:rPr>
        <w:t>损</w:t>
      </w:r>
      <w:r>
        <w:rPr>
          <w:rFonts w:ascii="宋体" w:hAnsi="宋体" w:eastAsia="宋体"/>
          <w:color w:val="auto"/>
          <w:sz w:val="21"/>
          <w:szCs w:val="21"/>
          <w:highlight w:val="none"/>
        </w:rPr>
        <w:t>，由此产生的后果由投标人承担。</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正本均须用不褪色墨水书写或打印。投标文件的副本可采用投标文件的正本复印件，每套</w:t>
      </w: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应当标</w:t>
      </w:r>
      <w:r>
        <w:rPr>
          <w:rFonts w:ascii="宋体" w:hAnsi="宋体" w:eastAsia="宋体"/>
          <w:color w:val="auto"/>
          <w:sz w:val="21"/>
          <w:szCs w:val="21"/>
          <w:highlight w:val="none"/>
        </w:rPr>
        <w:t>明“正本”</w:t>
      </w:r>
      <w:r>
        <w:rPr>
          <w:rFonts w:hint="eastAsia" w:ascii="宋体" w:hAnsi="宋体" w:eastAsia="宋体"/>
          <w:color w:val="auto"/>
          <w:sz w:val="21"/>
          <w:szCs w:val="21"/>
          <w:highlight w:val="none"/>
        </w:rPr>
        <w:t>、</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的字样</w:t>
      </w:r>
      <w:r>
        <w:rPr>
          <w:rFonts w:ascii="宋体" w:hAnsi="宋体" w:eastAsia="宋体"/>
          <w:color w:val="auto"/>
          <w:sz w:val="21"/>
          <w:szCs w:val="21"/>
          <w:highlight w:val="none"/>
        </w:rPr>
        <w:t>。</w:t>
      </w:r>
      <w:r>
        <w:rPr>
          <w:rFonts w:hint="eastAsia" w:ascii="宋体" w:hAnsi="宋体" w:eastAsia="宋体"/>
          <w:color w:val="auto"/>
          <w:sz w:val="21"/>
          <w:szCs w:val="21"/>
          <w:highlight w:val="none"/>
        </w:rPr>
        <w:t>投标文件的【正本】及所有【副本】的封面及骑缝均须加盖投标人公章（文件每页盖章等同于盖骑缝章）。若</w:t>
      </w:r>
      <w:r>
        <w:rPr>
          <w:rFonts w:ascii="宋体" w:hAnsi="宋体" w:eastAsia="宋体"/>
          <w:color w:val="auto"/>
          <w:sz w:val="21"/>
          <w:szCs w:val="21"/>
          <w:highlight w:val="none"/>
        </w:rPr>
        <w:t>正本</w:t>
      </w:r>
      <w:r>
        <w:rPr>
          <w:rFonts w:hint="eastAsia" w:ascii="宋体" w:hAnsi="宋体" w:eastAsia="宋体"/>
          <w:color w:val="auto"/>
          <w:sz w:val="21"/>
          <w:szCs w:val="21"/>
          <w:highlight w:val="none"/>
        </w:rPr>
        <w:t>与</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不符，以</w:t>
      </w:r>
      <w:r>
        <w:rPr>
          <w:rFonts w:ascii="宋体" w:hAnsi="宋体" w:eastAsia="宋体"/>
          <w:color w:val="auto"/>
          <w:sz w:val="21"/>
          <w:szCs w:val="21"/>
          <w:highlight w:val="none"/>
        </w:rPr>
        <w:t>正本为准。</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联合体投标文件的【正本】及【副本】的封面及骑缝均须加盖所有联合体组成成员的公章。（文件每页盖章等同于盖骑缝章）</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ascii="宋体" w:hAnsi="宋体" w:eastAsia="宋体"/>
          <w:color w:val="auto"/>
          <w:sz w:val="21"/>
          <w:szCs w:val="21"/>
          <w:highlight w:val="none"/>
        </w:rPr>
        <w:t>电子文件内容包括：由投标人自行制作的与正本文件一致的所有文件。电子文件</w:t>
      </w:r>
      <w:r>
        <w:rPr>
          <w:rFonts w:hint="eastAsia" w:ascii="宋体" w:hAnsi="宋体" w:eastAsia="宋体"/>
          <w:color w:val="auto"/>
          <w:sz w:val="21"/>
          <w:szCs w:val="21"/>
          <w:highlight w:val="none"/>
        </w:rPr>
        <w:t>由</w:t>
      </w:r>
      <w:r>
        <w:rPr>
          <w:rFonts w:ascii="宋体" w:hAnsi="宋体" w:eastAsia="宋体"/>
          <w:color w:val="auto"/>
          <w:sz w:val="21"/>
          <w:szCs w:val="21"/>
          <w:highlight w:val="none"/>
        </w:rPr>
        <w:t>光盘</w:t>
      </w:r>
      <w:r>
        <w:rPr>
          <w:rFonts w:hint="eastAsia" w:ascii="宋体" w:hAnsi="宋体" w:eastAsia="宋体"/>
          <w:color w:val="auto"/>
          <w:sz w:val="21"/>
          <w:szCs w:val="21"/>
          <w:highlight w:val="none"/>
        </w:rPr>
        <w:t>或U盘</w:t>
      </w:r>
      <w:r>
        <w:rPr>
          <w:rFonts w:ascii="宋体" w:hAnsi="宋体" w:eastAsia="宋体"/>
          <w:color w:val="auto"/>
          <w:sz w:val="21"/>
          <w:szCs w:val="21"/>
          <w:highlight w:val="none"/>
        </w:rPr>
        <w:t>储存</w:t>
      </w:r>
      <w:r>
        <w:rPr>
          <w:rFonts w:hint="eastAsia" w:ascii="宋体" w:hAnsi="宋体" w:eastAsia="宋体"/>
          <w:color w:val="auto"/>
          <w:sz w:val="21"/>
          <w:szCs w:val="21"/>
          <w:highlight w:val="none"/>
        </w:rPr>
        <w:t>，并注明投标人名称及项目名称、采购项目编号，随投标文件一同密封提交。</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ascii="宋体" w:hAnsi="宋体" w:eastAsia="宋体"/>
          <w:color w:val="auto"/>
          <w:sz w:val="21"/>
          <w:szCs w:val="21"/>
          <w:highlight w:val="none"/>
        </w:rPr>
        <w:t>除投标人对错误处修改外，全套投标文件应无涂改或行间插字和增删。如有修改，修改处</w:t>
      </w:r>
      <w:r>
        <w:rPr>
          <w:rFonts w:hint="eastAsia" w:ascii="宋体" w:hAnsi="宋体" w:eastAsia="宋体"/>
          <w:color w:val="auto"/>
          <w:sz w:val="21"/>
          <w:szCs w:val="21"/>
          <w:highlight w:val="none"/>
        </w:rPr>
        <w:t>须由法定代表人或其正式授权代表在旁边签字及盖章</w:t>
      </w:r>
      <w:r>
        <w:rPr>
          <w:rFonts w:ascii="宋体" w:hAnsi="宋体" w:eastAsia="宋体"/>
          <w:color w:val="auto"/>
          <w:sz w:val="21"/>
          <w:szCs w:val="21"/>
          <w:highlight w:val="none"/>
        </w:rPr>
        <w:t>。</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为方便开标唱标，投标人应将开标一览表和授权委托书单独密封提交，并在信封上标明“开标文件”字样。开标文件内还须包括并不限于：投标保证金支付凭证银行汇款底单（复印件加盖公章，原件随身携带，以备查核）和投标保证金汇入情况说明（加盖公章）。投标人的法定代表人参加投标时，须开具法定代表人证明书，按上述要求与开标一览表一并密封提交。“开标文件”份数及签章等要求与投标文件正本相同（1份）。</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所有的信封均应注明： </w:t>
      </w:r>
    </w:p>
    <w:p>
      <w:pPr>
        <w:widowControl w:val="0"/>
        <w:numPr>
          <w:ilvl w:val="0"/>
          <w:numId w:val="4"/>
        </w:numPr>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收件人：</w:t>
      </w:r>
      <w:r>
        <w:rPr>
          <w:rFonts w:hint="eastAsia" w:ascii="宋体" w:hAnsi="宋体" w:eastAsia="宋体"/>
          <w:color w:val="auto"/>
          <w:sz w:val="21"/>
          <w:szCs w:val="21"/>
          <w:highlight w:val="none"/>
          <w:lang w:eastAsia="zh-CN"/>
        </w:rPr>
        <w:t>广东政通招标有限公司</w:t>
      </w:r>
    </w:p>
    <w:p>
      <w:pPr>
        <w:widowControl w:val="0"/>
        <w:numPr>
          <w:ilvl w:val="0"/>
          <w:numId w:val="4"/>
        </w:numPr>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w:t>
      </w:r>
    </w:p>
    <w:p>
      <w:pPr>
        <w:widowControl w:val="0"/>
        <w:numPr>
          <w:ilvl w:val="0"/>
          <w:numId w:val="4"/>
        </w:numPr>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p>
      <w:pPr>
        <w:widowControl w:val="0"/>
        <w:numPr>
          <w:ilvl w:val="0"/>
          <w:numId w:val="4"/>
        </w:numPr>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采购项目编号：</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采购代理机构将拒绝接收出现以下情况的投标文件：</w:t>
      </w:r>
    </w:p>
    <w:p>
      <w:pPr>
        <w:widowControl w:val="0"/>
        <w:numPr>
          <w:ilvl w:val="0"/>
          <w:numId w:val="5"/>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采用透明包装进行密封或未进行密封的投标文件；</w:t>
      </w:r>
    </w:p>
    <w:p>
      <w:pPr>
        <w:widowControl w:val="0"/>
        <w:numPr>
          <w:ilvl w:val="0"/>
          <w:numId w:val="5"/>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密封破损导致投标文件内容直接或间接泄露的投标文件；</w:t>
      </w:r>
    </w:p>
    <w:p>
      <w:pPr>
        <w:widowControl w:val="0"/>
        <w:numPr>
          <w:ilvl w:val="0"/>
          <w:numId w:val="5"/>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密封信封上项目编号错误的投标文件；</w:t>
      </w:r>
    </w:p>
    <w:p>
      <w:pPr>
        <w:widowControl w:val="0"/>
        <w:numPr>
          <w:ilvl w:val="0"/>
          <w:numId w:val="5"/>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未在规定时间内领购文件的投标人的投标文件；</w:t>
      </w:r>
    </w:p>
    <w:p>
      <w:pPr>
        <w:widowControl w:val="0"/>
        <w:numPr>
          <w:ilvl w:val="0"/>
          <w:numId w:val="5"/>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项目名称出现严重歧义或未标注所投项目信息导致无法分辨所投项目为本项目的投标文件；</w:t>
      </w:r>
    </w:p>
    <w:p>
      <w:pPr>
        <w:widowControl w:val="0"/>
        <w:numPr>
          <w:ilvl w:val="0"/>
          <w:numId w:val="5"/>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采用传真、电传的投标文件；</w:t>
      </w:r>
    </w:p>
    <w:p>
      <w:pPr>
        <w:widowControl w:val="0"/>
        <w:numPr>
          <w:ilvl w:val="0"/>
          <w:numId w:val="5"/>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招标文件规定的其他情形。</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采购代理机构对所有投标文件的误投或提前启封概不负责。</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投标人同时参加几个包投标时必须按招标文件要求按包号分别制作投标文件，分别密封递交。</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递交的投标文件中所提供的通讯方式应保持联络畅通，因联系不上而导致的所有后果由投标人自行承担。</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48" w:name="_Toc8628"/>
      <w:r>
        <w:rPr>
          <w:rFonts w:hint="eastAsia" w:ascii="宋体" w:hAnsi="宋体" w:eastAsia="宋体"/>
          <w:color w:val="auto"/>
          <w:sz w:val="21"/>
          <w:szCs w:val="21"/>
          <w:highlight w:val="none"/>
        </w:rPr>
        <w:t>18.迟交的投标文件</w:t>
      </w:r>
      <w:bookmarkEnd w:id="48"/>
    </w:p>
    <w:p>
      <w:pPr>
        <w:pStyle w:val="30"/>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投标人在投标截止时间之后提交的投标文件，采购代理机构将拒绝接收</w:t>
      </w:r>
      <w:r>
        <w:rPr>
          <w:rFonts w:ascii="宋体" w:hAnsi="宋体" w:eastAsia="宋体"/>
          <w:color w:val="auto"/>
          <w:sz w:val="21"/>
          <w:szCs w:val="21"/>
          <w:highlight w:val="none"/>
        </w:rPr>
        <w:t>。</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有违反其他法律规定情形的，采购代理机构将拒绝接收。</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49" w:name="_Toc13212"/>
      <w:r>
        <w:rPr>
          <w:rFonts w:hint="eastAsia" w:ascii="宋体" w:hAnsi="宋体" w:eastAsia="宋体"/>
          <w:color w:val="auto"/>
          <w:sz w:val="21"/>
          <w:szCs w:val="21"/>
          <w:highlight w:val="none"/>
        </w:rPr>
        <w:t>19.投标样品（如需提交）</w:t>
      </w:r>
      <w:bookmarkEnd w:id="49"/>
    </w:p>
    <w:p>
      <w:pPr>
        <w:pStyle w:val="30"/>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如有必要，采购代理机构可以要求投标人提供本服务项目涉及的部分设备或产品样品，投标人在投标时应提交《样品清单》。</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为方便评标，投标人在提供样品时，应在所提供的样品表面显著位置标注投标人的名称、包号、样品名称、招标文件规定的服务或货物编号。</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50" w:name="_Toc5900"/>
      <w:bookmarkStart w:id="51" w:name="_Toc382049112"/>
      <w:bookmarkStart w:id="52" w:name="_Toc9777"/>
      <w:bookmarkStart w:id="53" w:name="_Toc303084265"/>
      <w:r>
        <w:rPr>
          <w:rFonts w:hint="eastAsia" w:ascii="宋体" w:hAnsi="宋体" w:eastAsia="宋体"/>
          <w:color w:val="auto"/>
          <w:sz w:val="21"/>
          <w:szCs w:val="21"/>
          <w:highlight w:val="none"/>
        </w:rPr>
        <w:t>20.投标截止期</w:t>
      </w:r>
      <w:bookmarkEnd w:id="50"/>
      <w:bookmarkEnd w:id="51"/>
      <w:bookmarkEnd w:id="52"/>
      <w:bookmarkEnd w:id="53"/>
    </w:p>
    <w:p>
      <w:pPr>
        <w:pStyle w:val="30"/>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投标人应在招标文件规定的截止日期和时间内，将投标文件送达到指定地点。</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可按本须知规定以</w:t>
      </w:r>
      <w:r>
        <w:rPr>
          <w:rFonts w:hint="eastAsia" w:ascii="宋体" w:hAnsi="宋体" w:eastAsia="宋体"/>
          <w:color w:val="auto"/>
          <w:sz w:val="21"/>
          <w:szCs w:val="21"/>
          <w:highlight w:val="none"/>
        </w:rPr>
        <w:t>澄清或</w:t>
      </w:r>
      <w:r>
        <w:rPr>
          <w:rFonts w:ascii="宋体" w:hAnsi="宋体" w:eastAsia="宋体"/>
          <w:color w:val="auto"/>
          <w:sz w:val="21"/>
          <w:szCs w:val="21"/>
          <w:highlight w:val="none"/>
        </w:rPr>
        <w:t>修改通知的方式，酌情延长</w:t>
      </w:r>
      <w:r>
        <w:rPr>
          <w:rFonts w:hint="eastAsia" w:ascii="宋体" w:hAnsi="宋体" w:eastAsia="宋体"/>
          <w:color w:val="auto"/>
          <w:sz w:val="21"/>
          <w:szCs w:val="21"/>
          <w:highlight w:val="none"/>
        </w:rPr>
        <w:t>递</w:t>
      </w:r>
      <w:r>
        <w:rPr>
          <w:rFonts w:ascii="宋体" w:hAnsi="宋体" w:eastAsia="宋体"/>
          <w:color w:val="auto"/>
          <w:sz w:val="21"/>
          <w:szCs w:val="21"/>
          <w:highlight w:val="none"/>
        </w:rPr>
        <w:t>交投标文件的截止时间。在此情况下，投标人的所有权利和义务以及投标人受制约的截止时间，均以延长后新的投标截止时间为准。</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54" w:name="_Toc6003"/>
      <w:r>
        <w:rPr>
          <w:rFonts w:hint="eastAsia" w:ascii="宋体" w:hAnsi="宋体" w:eastAsia="宋体"/>
          <w:color w:val="auto"/>
          <w:sz w:val="21"/>
          <w:szCs w:val="21"/>
          <w:highlight w:val="none"/>
        </w:rPr>
        <w:t>21.投标文件的补充、修改与撤回</w:t>
      </w:r>
      <w:bookmarkEnd w:id="54"/>
    </w:p>
    <w:p>
      <w:pPr>
        <w:pStyle w:val="30"/>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投标文件一经递交不予退还。</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在提交投标文件截止时间至投标有效期满之前，投标人不得撤回其投标，否则其投标保证金将不予退还。</w:t>
      </w:r>
    </w:p>
    <w:p>
      <w:pPr>
        <w:pStyle w:val="8"/>
        <w:rPr>
          <w:color w:val="auto"/>
          <w:highlight w:val="none"/>
        </w:rPr>
      </w:pPr>
    </w:p>
    <w:p>
      <w:pPr>
        <w:pStyle w:val="5"/>
        <w:numPr>
          <w:ilvl w:val="0"/>
          <w:numId w:val="2"/>
        </w:numPr>
        <w:spacing w:before="0" w:after="0" w:line="480" w:lineRule="auto"/>
        <w:jc w:val="center"/>
        <w:rPr>
          <w:rFonts w:ascii="宋体" w:hAnsi="宋体" w:eastAsia="宋体"/>
          <w:color w:val="auto"/>
          <w:highlight w:val="none"/>
        </w:rPr>
      </w:pPr>
      <w:bookmarkStart w:id="55" w:name="_Toc29574"/>
      <w:r>
        <w:rPr>
          <w:rFonts w:hint="eastAsia" w:ascii="宋体" w:hAnsi="宋体" w:eastAsia="宋体"/>
          <w:color w:val="auto"/>
          <w:highlight w:val="none"/>
        </w:rPr>
        <w:t>开标与评标</w:t>
      </w:r>
      <w:bookmarkEnd w:id="55"/>
    </w:p>
    <w:p>
      <w:pPr>
        <w:pStyle w:val="6"/>
        <w:widowControl w:val="0"/>
        <w:overflowPunct w:val="0"/>
        <w:spacing w:before="0" w:after="0" w:line="240" w:lineRule="auto"/>
        <w:rPr>
          <w:rFonts w:ascii="宋体" w:hAnsi="宋体" w:eastAsia="宋体"/>
          <w:color w:val="auto"/>
          <w:sz w:val="21"/>
          <w:szCs w:val="21"/>
          <w:highlight w:val="none"/>
        </w:rPr>
      </w:pPr>
      <w:bookmarkStart w:id="56" w:name="_Toc28458"/>
      <w:r>
        <w:rPr>
          <w:rFonts w:hint="eastAsia" w:ascii="宋体" w:hAnsi="宋体" w:eastAsia="宋体"/>
          <w:color w:val="auto"/>
          <w:sz w:val="21"/>
          <w:szCs w:val="21"/>
          <w:highlight w:val="none"/>
        </w:rPr>
        <w:t>22.开标</w:t>
      </w:r>
      <w:bookmarkEnd w:id="56"/>
    </w:p>
    <w:p>
      <w:pPr>
        <w:pStyle w:val="30"/>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采购代理机构按</w:t>
      </w:r>
      <w:r>
        <w:rPr>
          <w:rFonts w:ascii="宋体" w:hAnsi="宋体" w:eastAsia="宋体"/>
          <w:color w:val="auto"/>
          <w:sz w:val="21"/>
          <w:szCs w:val="21"/>
          <w:highlight w:val="none"/>
        </w:rPr>
        <w:t>本</w:t>
      </w:r>
      <w:r>
        <w:rPr>
          <w:rFonts w:hint="eastAsia" w:ascii="宋体" w:hAnsi="宋体" w:eastAsia="宋体"/>
          <w:color w:val="auto"/>
          <w:sz w:val="21"/>
          <w:szCs w:val="21"/>
          <w:highlight w:val="none"/>
        </w:rPr>
        <w:t>招标文件</w:t>
      </w:r>
      <w:r>
        <w:rPr>
          <w:rFonts w:ascii="宋体" w:hAnsi="宋体" w:eastAsia="宋体"/>
          <w:color w:val="auto"/>
          <w:sz w:val="21"/>
          <w:szCs w:val="21"/>
          <w:highlight w:val="none"/>
        </w:rPr>
        <w:t>所规定的时间和地点公开开标，并邀请所有投标人</w:t>
      </w:r>
      <w:r>
        <w:rPr>
          <w:rFonts w:hint="eastAsia" w:ascii="宋体" w:hAnsi="宋体" w:eastAsia="宋体"/>
          <w:color w:val="auto"/>
          <w:sz w:val="21"/>
          <w:szCs w:val="21"/>
          <w:highlight w:val="none"/>
        </w:rPr>
        <w:t>代表</w:t>
      </w:r>
      <w:r>
        <w:rPr>
          <w:rFonts w:ascii="宋体" w:hAnsi="宋体" w:eastAsia="宋体"/>
          <w:color w:val="auto"/>
          <w:sz w:val="21"/>
          <w:szCs w:val="21"/>
          <w:highlight w:val="none"/>
        </w:rPr>
        <w:t>参加。</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ascii="宋体" w:hAnsi="宋体" w:eastAsia="宋体"/>
          <w:color w:val="auto"/>
          <w:sz w:val="21"/>
          <w:szCs w:val="21"/>
          <w:highlight w:val="none"/>
        </w:rPr>
        <w:t>开标程序：</w:t>
      </w:r>
    </w:p>
    <w:p>
      <w:pPr>
        <w:widowControl w:val="0"/>
        <w:numPr>
          <w:ilvl w:val="2"/>
          <w:numId w:val="3"/>
        </w:numPr>
        <w:tabs>
          <w:tab w:val="left" w:pos="567"/>
          <w:tab w:val="clear" w:pos="794"/>
        </w:tabs>
        <w:adjustRightInd/>
        <w:snapToGrid/>
        <w:spacing w:after="0" w:line="360" w:lineRule="exact"/>
        <w:jc w:val="both"/>
        <w:rPr>
          <w:rFonts w:ascii="宋体" w:hAnsi="宋体" w:eastAsia="宋体"/>
          <w:color w:val="auto"/>
          <w:sz w:val="21"/>
          <w:szCs w:val="21"/>
          <w:highlight w:val="none"/>
        </w:rPr>
      </w:pPr>
      <w:r>
        <w:rPr>
          <w:rFonts w:ascii="宋体" w:hAnsi="宋体" w:eastAsia="宋体"/>
          <w:color w:val="auto"/>
          <w:sz w:val="21"/>
          <w:szCs w:val="21"/>
          <w:highlight w:val="none"/>
        </w:rPr>
        <w:t>开标</w:t>
      </w:r>
      <w:r>
        <w:rPr>
          <w:rFonts w:hint="eastAsia" w:ascii="宋体" w:hAnsi="宋体" w:eastAsia="宋体"/>
          <w:color w:val="auto"/>
          <w:sz w:val="21"/>
          <w:szCs w:val="21"/>
          <w:highlight w:val="none"/>
        </w:rPr>
        <w:t>会</w:t>
      </w:r>
      <w:r>
        <w:rPr>
          <w:rFonts w:ascii="宋体" w:hAnsi="宋体" w:eastAsia="宋体"/>
          <w:color w:val="auto"/>
          <w:sz w:val="21"/>
          <w:szCs w:val="21"/>
          <w:highlight w:val="none"/>
        </w:rPr>
        <w:t>由</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主持</w:t>
      </w:r>
      <w:r>
        <w:rPr>
          <w:rFonts w:hint="eastAsia" w:ascii="宋体" w:hAnsi="宋体" w:eastAsia="宋体"/>
          <w:color w:val="auto"/>
          <w:sz w:val="21"/>
          <w:szCs w:val="21"/>
          <w:highlight w:val="none"/>
        </w:rPr>
        <w:t>，投标人的法定代表人或其授权代表携带有效身份证明准时参加开标会并签名报到。</w:t>
      </w:r>
    </w:p>
    <w:p>
      <w:pPr>
        <w:widowControl w:val="0"/>
        <w:numPr>
          <w:ilvl w:val="2"/>
          <w:numId w:val="3"/>
        </w:numPr>
        <w:tabs>
          <w:tab w:val="left" w:pos="567"/>
          <w:tab w:val="clear" w:pos="794"/>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3"/>
        </w:numPr>
        <w:tabs>
          <w:tab w:val="left" w:pos="567"/>
          <w:tab w:val="clear" w:pos="794"/>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投标人未参加开标的，视同认可开标结果。</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合格投标人不足3家的，不得开标；</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开标过程应当由采购人或者采购代理机构负责记录，由参加开标的各投标人代表和相关工作人员签字确认。</w:t>
      </w:r>
    </w:p>
    <w:p>
      <w:pPr>
        <w:widowControl w:val="0"/>
        <w:adjustRightInd/>
        <w:snapToGrid/>
        <w:spacing w:after="0" w:line="360" w:lineRule="exact"/>
        <w:ind w:left="567"/>
        <w:jc w:val="both"/>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57" w:name="_Toc5524"/>
      <w:r>
        <w:rPr>
          <w:rFonts w:hint="eastAsia" w:ascii="宋体" w:hAnsi="宋体" w:eastAsia="宋体"/>
          <w:color w:val="auto"/>
          <w:sz w:val="21"/>
          <w:szCs w:val="21"/>
          <w:highlight w:val="none"/>
        </w:rPr>
        <w:t>23.评标委员会及评标方法</w:t>
      </w:r>
      <w:bookmarkEnd w:id="57"/>
    </w:p>
    <w:p>
      <w:pPr>
        <w:pStyle w:val="30"/>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评标委员会根据招标项目的特点进行组建，并负责评标工作。</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评审方法：本次招标的评审方法采用综合评分法。</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定标原则：在最大限度</w:t>
      </w:r>
      <w:r>
        <w:rPr>
          <w:rFonts w:ascii="宋体" w:hAnsi="宋体" w:eastAsia="宋体"/>
          <w:color w:val="auto"/>
          <w:sz w:val="21"/>
          <w:szCs w:val="21"/>
          <w:highlight w:val="none"/>
        </w:rPr>
        <w:t>满足招标文件</w:t>
      </w:r>
      <w:r>
        <w:rPr>
          <w:rFonts w:hint="eastAsia" w:ascii="宋体" w:hAnsi="宋体" w:eastAsia="宋体"/>
          <w:color w:val="auto"/>
          <w:sz w:val="21"/>
          <w:szCs w:val="21"/>
          <w:highlight w:val="none"/>
        </w:rPr>
        <w:t>实质性要求前提下，按照招标文件规定的各项评价因素进行量化打分，以评标总得分最高的投标人作为中标候选人或中标人。</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通过资格性和符合性审查的有效供应商方有资格提交最终报价及进入综合评审。磋商文件中要求供应商提供的相关资质证书证明材料因国家政策变动导致新旧证书名称不一致，旧证书未取消且新旧证书具有同等效力的，供应商提供新证书与提供在有效期内的旧证书给予同等认可。</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58" w:name="_Toc15231"/>
      <w:r>
        <w:rPr>
          <w:rFonts w:hint="eastAsia" w:ascii="宋体" w:hAnsi="宋体" w:eastAsia="宋体"/>
          <w:color w:val="auto"/>
          <w:sz w:val="21"/>
          <w:szCs w:val="21"/>
          <w:highlight w:val="none"/>
        </w:rPr>
        <w:t>24.评审原则及评标过程的保密</w:t>
      </w:r>
      <w:bookmarkEnd w:id="58"/>
    </w:p>
    <w:p>
      <w:pPr>
        <w:pStyle w:val="30"/>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评审的基本原则：评标委员会将依据《中华人民共和国政府采购法》及国家和地方政府有关法规的规定，遵循“客观、公正、审慎”的原则进行评审工作。</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从公开开标到签订合同，凡与审查、澄清、评审和投标有关的资料以及定标意见相关的事项，均不得向投标人及与评标无关的其他人透露。</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任何单位和个人不得非法干预、影响评标的过程和结果。</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59" w:name="_Toc3762"/>
      <w:r>
        <w:rPr>
          <w:rFonts w:hint="eastAsia" w:ascii="宋体" w:hAnsi="宋体" w:eastAsia="宋体"/>
          <w:color w:val="auto"/>
          <w:sz w:val="21"/>
          <w:szCs w:val="21"/>
          <w:highlight w:val="none"/>
        </w:rPr>
        <w:t>25.投标文件的初审</w:t>
      </w:r>
      <w:bookmarkEnd w:id="59"/>
    </w:p>
    <w:p>
      <w:pPr>
        <w:pStyle w:val="30"/>
        <w:widowControl w:val="0"/>
        <w:numPr>
          <w:ilvl w:val="0"/>
          <w:numId w:val="3"/>
        </w:numPr>
        <w:tabs>
          <w:tab w:val="left" w:pos="907"/>
        </w:tabs>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tabs>
          <w:tab w:val="left" w:pos="907"/>
        </w:tabs>
        <w:adjustRightInd/>
        <w:snapToGrid/>
        <w:spacing w:after="0" w:line="360" w:lineRule="exact"/>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eastAsia="宋体"/>
          <w:b/>
          <w:color w:val="auto"/>
          <w:sz w:val="21"/>
          <w:szCs w:val="21"/>
          <w:highlight w:val="none"/>
        </w:rPr>
        <w:t>资格性检查中发现下列情形之一的，其投标作无效处理：</w:t>
      </w:r>
    </w:p>
    <w:p>
      <w:pPr>
        <w:widowControl w:val="0"/>
        <w:tabs>
          <w:tab w:val="left" w:pos="907"/>
        </w:tabs>
        <w:adjustRightInd/>
        <w:snapToGrid/>
        <w:spacing w:after="0" w:line="360" w:lineRule="exact"/>
        <w:ind w:left="567"/>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1) 资格瑕疵</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tabs>
          <w:tab w:val="left" w:pos="907"/>
        </w:tabs>
        <w:adjustRightInd/>
        <w:snapToGrid/>
        <w:spacing w:after="0" w:line="360" w:lineRule="exact"/>
        <w:ind w:left="567"/>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2) 投标保证金瑕疵</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包括但不限于：①投标人未按招标文件要求提交投标保证金；②提交方式、提交时间、提交金额不符合招标文件要求；③投标保证金有效期不符合招标文件要求。</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eastAsia="宋体"/>
          <w:b/>
          <w:color w:val="auto"/>
          <w:sz w:val="21"/>
          <w:szCs w:val="21"/>
          <w:highlight w:val="none"/>
        </w:rPr>
        <w:t>发现下列情况之一的，其投标将作无效处理</w:t>
      </w:r>
      <w:r>
        <w:rPr>
          <w:rFonts w:hint="eastAsia" w:ascii="宋体" w:hAnsi="宋体" w:eastAsia="宋体"/>
          <w:color w:val="auto"/>
          <w:sz w:val="21"/>
          <w:szCs w:val="21"/>
          <w:highlight w:val="none"/>
        </w:rPr>
        <w:t>：</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1) 投标文件的有效性、完整性瑕疵</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tabs>
          <w:tab w:val="left" w:pos="907"/>
        </w:tabs>
        <w:adjustRightInd/>
        <w:snapToGrid/>
        <w:spacing w:after="0" w:line="360" w:lineRule="exact"/>
        <w:ind w:left="567"/>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2) 技术响应瑕疵</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将一个包中的内容拆开投标的；⑥投标人对同一货物或服务投标时，投标方案不唯一；⑦明显不符合技术规格、技术标准要求的；⑧其他未实质性响应招标文件技术要求的。</w:t>
      </w:r>
    </w:p>
    <w:p>
      <w:pPr>
        <w:widowControl w:val="0"/>
        <w:tabs>
          <w:tab w:val="left" w:pos="907"/>
        </w:tabs>
        <w:adjustRightInd/>
        <w:snapToGrid/>
        <w:spacing w:after="0" w:line="360" w:lineRule="exact"/>
        <w:ind w:left="567"/>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3) 商务响应瑕疵</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tabs>
          <w:tab w:val="left" w:pos="907"/>
        </w:tabs>
        <w:adjustRightInd/>
        <w:snapToGrid/>
        <w:spacing w:after="0" w:line="360" w:lineRule="exact"/>
        <w:ind w:left="567"/>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4）投标报价瑕疵</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tabs>
          <w:tab w:val="left" w:pos="907"/>
        </w:tabs>
        <w:adjustRightInd/>
        <w:snapToGrid/>
        <w:spacing w:after="0" w:line="360" w:lineRule="exact"/>
        <w:ind w:left="567"/>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5）违规行为</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tabs>
          <w:tab w:val="left" w:pos="907"/>
        </w:tabs>
        <w:adjustRightInd/>
        <w:snapToGrid/>
        <w:spacing w:after="0" w:line="360" w:lineRule="exact"/>
        <w:ind w:left="567"/>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6)法律法规及招标文件中规定的其它情形。</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对于投标文件中不构成实质性偏差的不正规、不一致或不规则，评标委员会可以接受，但这种接受不能损害或影响任何投标人的相对排序。</w:t>
      </w:r>
    </w:p>
    <w:p>
      <w:pPr>
        <w:widowControl w:val="0"/>
        <w:numPr>
          <w:ilvl w:val="1"/>
          <w:numId w:val="3"/>
        </w:numPr>
        <w:adjustRightInd/>
        <w:snapToGrid/>
        <w:spacing w:after="0" w:line="360" w:lineRule="exact"/>
        <w:jc w:val="both"/>
        <w:rPr>
          <w:color w:val="auto"/>
          <w:highlight w:val="none"/>
        </w:rPr>
      </w:pPr>
      <w:r>
        <w:rPr>
          <w:rFonts w:hint="eastAsia" w:ascii="宋体" w:hAnsi="宋体" w:eastAsia="宋体"/>
          <w:color w:val="auto"/>
          <w:sz w:val="21"/>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60" w:name="_Toc21742"/>
      <w:r>
        <w:rPr>
          <w:rFonts w:hint="eastAsia" w:ascii="宋体" w:hAnsi="宋体" w:eastAsia="宋体"/>
          <w:color w:val="auto"/>
          <w:sz w:val="21"/>
          <w:szCs w:val="21"/>
          <w:highlight w:val="none"/>
        </w:rPr>
        <w:t>26.商务、技术、价格评审（具体评审项目详见投标资料表）</w:t>
      </w:r>
      <w:bookmarkEnd w:id="60"/>
    </w:p>
    <w:p>
      <w:pPr>
        <w:pStyle w:val="30"/>
        <w:widowControl w:val="0"/>
        <w:numPr>
          <w:ilvl w:val="0"/>
          <w:numId w:val="3"/>
        </w:numPr>
        <w:tabs>
          <w:tab w:val="left" w:pos="907"/>
        </w:tabs>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ascii="宋体" w:hAnsi="宋体" w:eastAsia="宋体"/>
          <w:color w:val="auto"/>
          <w:sz w:val="21"/>
          <w:szCs w:val="21"/>
          <w:highlight w:val="none"/>
        </w:rPr>
        <w:t>对通过符合性检查的投标人进行商务技术综合评议，针对投标文件对招标文件的响应情况对各个投标人进行商务和技术评分</w:t>
      </w:r>
      <w:r>
        <w:rPr>
          <w:rFonts w:hint="eastAsia" w:ascii="宋体" w:hAnsi="宋体" w:eastAsia="宋体"/>
          <w:color w:val="auto"/>
          <w:sz w:val="21"/>
          <w:szCs w:val="21"/>
          <w:highlight w:val="none"/>
        </w:rPr>
        <w:t xml:space="preserve">。 </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投标文件报价出现前后不一致的，评标委员会按照下列规定修正：</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投标文件中开标一览表（报价表）内容与投标文件中相应内容不一致的，以开标一览表（报价表）为准；</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大写金额和小写金额不一致的，以大写金额为准；</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单价金额小数点或者百分比有明显错位的，以开标一览表的总价为准，并修改单价；</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总价金额与按单价汇总金额不一致的，以单价金额计算结果为准。</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同时出现两种以上不一致的，按照前款规定的顺序修正。修正后的报价按照经投标人确认后产生约束力，投标人不确认的，其投标无效。</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61" w:name="_Toc22192"/>
      <w:r>
        <w:rPr>
          <w:rFonts w:hint="eastAsia" w:ascii="宋体" w:hAnsi="宋体" w:eastAsia="宋体"/>
          <w:color w:val="auto"/>
          <w:sz w:val="21"/>
          <w:szCs w:val="21"/>
          <w:highlight w:val="none"/>
        </w:rPr>
        <w:t>27.优惠政策</w:t>
      </w:r>
      <w:bookmarkEnd w:id="61"/>
    </w:p>
    <w:p>
      <w:pPr>
        <w:pStyle w:val="30"/>
        <w:widowControl w:val="0"/>
        <w:numPr>
          <w:ilvl w:val="0"/>
          <w:numId w:val="3"/>
        </w:numPr>
        <w:tabs>
          <w:tab w:val="left" w:pos="907"/>
        </w:tabs>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对小型或微型企业、监狱企业、残疾人福利性单位投标的扶持：</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根据财政部、工业和信息化部制定了《</w:t>
      </w:r>
      <w:r>
        <w:rPr>
          <w:rFonts w:hint="eastAsia" w:ascii="宋体" w:hAnsi="宋体" w:eastAsia="宋体"/>
          <w:color w:val="auto"/>
          <w:sz w:val="21"/>
          <w:szCs w:val="21"/>
          <w:highlight w:val="none"/>
          <w:lang w:eastAsia="zh-CN"/>
        </w:rPr>
        <w:t>政府采购促进中小企业发展管理办法</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（财库〔2020〕46号）</w:t>
      </w:r>
      <w:r>
        <w:rPr>
          <w:rFonts w:hint="eastAsia" w:ascii="宋体" w:hAnsi="宋体" w:eastAsia="宋体"/>
          <w:color w:val="auto"/>
          <w:sz w:val="21"/>
          <w:szCs w:val="21"/>
          <w:highlight w:val="none"/>
        </w:rPr>
        <w:t>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投标人为小型或微型企业且投标产品含小型或微型企业产品时，其对应产品价格的扣除详见投标资料表。</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在货物采购项目中，供应商提供的货物既有中小企业制造货物，也有大型企业制造货物的，不享受</w:t>
      </w:r>
      <w:r>
        <w:rPr>
          <w:rFonts w:hint="eastAsia" w:ascii="宋体" w:hAnsi="宋体" w:eastAsia="宋体"/>
          <w:color w:val="auto"/>
          <w:sz w:val="21"/>
          <w:szCs w:val="21"/>
          <w:highlight w:val="none"/>
          <w:lang w:eastAsia="zh-CN"/>
        </w:rPr>
        <w:t>“财政部 工业和信息化部关于印发《政府采购促进中小企业发展管理办法》的通知（财库〔2020〕46号）”</w:t>
      </w:r>
      <w:r>
        <w:rPr>
          <w:rFonts w:hint="eastAsia" w:ascii="宋体" w:hAnsi="宋体" w:eastAsia="宋体"/>
          <w:color w:val="auto"/>
          <w:sz w:val="21"/>
          <w:szCs w:val="21"/>
          <w:highlight w:val="none"/>
        </w:rPr>
        <w:t>规定的中小企业扶持政策。</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投标人同时为小型、微型企业、监狱企业、残疾人福利性单位任两种或以上情况的，评审中只享受一次价格扣除，不重复进行价格扣除。</w:t>
      </w:r>
    </w:p>
    <w:p>
      <w:pPr>
        <w:widowControl w:val="0"/>
        <w:numPr>
          <w:ilvl w:val="1"/>
          <w:numId w:val="3"/>
        </w:numPr>
        <w:tabs>
          <w:tab w:val="left" w:pos="907"/>
        </w:tabs>
        <w:adjustRightInd/>
        <w:snapToGrid/>
        <w:spacing w:after="0" w:line="360" w:lineRule="exact"/>
        <w:jc w:val="both"/>
        <w:rPr>
          <w:rFonts w:ascii="宋体" w:hAnsi="宋体" w:eastAsia="宋体"/>
          <w:b/>
          <w:bCs/>
          <w:color w:val="auto"/>
          <w:sz w:val="21"/>
          <w:szCs w:val="21"/>
          <w:highlight w:val="none"/>
          <w:u w:val="single"/>
        </w:rPr>
      </w:pPr>
      <w:r>
        <w:rPr>
          <w:rFonts w:hint="eastAsia" w:ascii="宋体" w:hAnsi="宋体" w:eastAsia="宋体"/>
          <w:b/>
          <w:bCs/>
          <w:color w:val="auto"/>
          <w:sz w:val="21"/>
          <w:szCs w:val="21"/>
          <w:highlight w:val="none"/>
          <w:u w:val="single"/>
        </w:rPr>
        <w:t>中标、成交供应商享受本办法（财库〔2020〕46号）规定的中小企业扶持政策的，采购代理机构</w:t>
      </w:r>
      <w:r>
        <w:rPr>
          <w:rFonts w:hint="eastAsia" w:ascii="宋体" w:hAnsi="宋体" w:eastAsia="宋体"/>
          <w:b/>
          <w:bCs/>
          <w:color w:val="auto"/>
          <w:sz w:val="21"/>
          <w:szCs w:val="21"/>
          <w:highlight w:val="none"/>
          <w:u w:val="single"/>
          <w:lang w:eastAsia="zh-CN"/>
        </w:rPr>
        <w:t>将</w:t>
      </w:r>
      <w:r>
        <w:rPr>
          <w:rFonts w:hint="eastAsia" w:ascii="宋体" w:hAnsi="宋体" w:eastAsia="宋体"/>
          <w:b/>
          <w:bCs/>
          <w:color w:val="auto"/>
          <w:sz w:val="21"/>
          <w:szCs w:val="21"/>
          <w:highlight w:val="none"/>
          <w:u w:val="single"/>
        </w:rPr>
        <w:t>随中标、成交结果公开中标、成交供应商的《中小企业声明函》。</w:t>
      </w:r>
      <w:r>
        <w:rPr>
          <w:rFonts w:hint="eastAsia" w:ascii="宋体" w:hAnsi="宋体" w:eastAsia="宋体"/>
          <w:b/>
          <w:bCs/>
          <w:color w:val="auto"/>
          <w:sz w:val="21"/>
          <w:szCs w:val="21"/>
          <w:highlight w:val="none"/>
          <w:u w:val="single"/>
          <w:lang w:eastAsia="zh-CN"/>
        </w:rPr>
        <w:t>各供应商不得提供虚假声明，提供虚假声明取消中标、成交资格，并追究其法律责任。</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符合享受政府采购支持政策的残疾人福利性单位划分标准（根据财政部 民政部 中国残疾人联合会关于促进残疾人就业政府采购政策的通知(财库[2017]141号)）：</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（1）安置的残疾人占本单位在职职工人数的比例不低于25%（含25%），并且安置的残疾人人数不少于10人（含10人）；</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（2）依法与安置的每位残疾人签订了一年以上（含一年）的劳动合同或服务协议；</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（3）为安置的每位残疾人按月足额缴纳了基本养老保险、基本医疗保险、失业保险、工伤保险和生育保险等社会保险费；</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（4）通过银行等金融机构向安置的每位残疾人，按月支付了不低于单位所在区县适用的经省级人民政府批准的月最低工资标准的工资；</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（5）提供本单位制造的货物、承担的工程或者服务（以下简称产品），或者提供其他残疾人福利性单位制造的货物（不包括使用非残疾人福利性单位注册商标的货物）。</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对节能产品或环境标志产品的扶持：</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提供节能产品或环境标志产品的投标人其产品应符合以下规定：</w:t>
      </w:r>
    </w:p>
    <w:p>
      <w:pPr>
        <w:widowControl w:val="0"/>
        <w:numPr>
          <w:ilvl w:val="0"/>
          <w:numId w:val="6"/>
        </w:numPr>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widowControl w:val="0"/>
        <w:numPr>
          <w:ilvl w:val="0"/>
          <w:numId w:val="6"/>
        </w:numPr>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widowControl w:val="0"/>
        <w:numPr>
          <w:ilvl w:val="0"/>
          <w:numId w:val="6"/>
        </w:numPr>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若用户需求中含有《节能产品政府采购品目清单》中的政府强制采购产品，投标人应根据要求提供所对应的节能产品，否则做投标无效处理。</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62" w:name="_Toc316375620"/>
      <w:bookmarkStart w:id="63" w:name="_Toc382049120"/>
      <w:bookmarkStart w:id="64" w:name="_Toc22591"/>
      <w:bookmarkStart w:id="65" w:name="_Toc20328"/>
      <w:r>
        <w:rPr>
          <w:rFonts w:hint="eastAsia" w:ascii="宋体" w:hAnsi="宋体" w:eastAsia="宋体"/>
          <w:color w:val="auto"/>
          <w:sz w:val="21"/>
          <w:szCs w:val="21"/>
          <w:highlight w:val="none"/>
        </w:rPr>
        <w:t>28.纪律和</w:t>
      </w:r>
      <w:r>
        <w:rPr>
          <w:rFonts w:ascii="宋体" w:hAnsi="宋体" w:eastAsia="宋体"/>
          <w:color w:val="auto"/>
          <w:sz w:val="21"/>
          <w:szCs w:val="21"/>
          <w:highlight w:val="none"/>
        </w:rPr>
        <w:t>保密</w:t>
      </w:r>
      <w:bookmarkEnd w:id="62"/>
      <w:r>
        <w:rPr>
          <w:rFonts w:hint="eastAsia" w:ascii="宋体" w:hAnsi="宋体" w:eastAsia="宋体"/>
          <w:color w:val="auto"/>
          <w:sz w:val="21"/>
          <w:szCs w:val="21"/>
          <w:highlight w:val="none"/>
        </w:rPr>
        <w:t>事项</w:t>
      </w:r>
      <w:bookmarkEnd w:id="63"/>
      <w:bookmarkEnd w:id="64"/>
      <w:bookmarkEnd w:id="65"/>
    </w:p>
    <w:p>
      <w:pPr>
        <w:pStyle w:val="30"/>
        <w:widowControl w:val="0"/>
        <w:numPr>
          <w:ilvl w:val="0"/>
          <w:numId w:val="3"/>
        </w:numPr>
        <w:tabs>
          <w:tab w:val="left" w:pos="907"/>
        </w:tabs>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投标人不得串通作弊，以不正当的手段妨碍、排挤其他投标人，扰乱招标市场，破坏公平竞争原则。否则将按相关法律规定严肃处理。</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5"/>
        <w:numPr>
          <w:ilvl w:val="0"/>
          <w:numId w:val="2"/>
        </w:numPr>
        <w:spacing w:before="0" w:after="0" w:line="480" w:lineRule="auto"/>
        <w:jc w:val="center"/>
        <w:rPr>
          <w:rFonts w:ascii="宋体" w:hAnsi="宋体" w:eastAsia="宋体"/>
          <w:color w:val="auto"/>
          <w:highlight w:val="none"/>
        </w:rPr>
      </w:pPr>
      <w:bookmarkStart w:id="66" w:name="_Toc29310"/>
      <w:r>
        <w:rPr>
          <w:rFonts w:hint="eastAsia" w:ascii="宋体" w:hAnsi="宋体" w:eastAsia="宋体"/>
          <w:color w:val="auto"/>
          <w:highlight w:val="none"/>
        </w:rPr>
        <w:t>授予合同</w:t>
      </w:r>
      <w:bookmarkEnd w:id="66"/>
    </w:p>
    <w:p>
      <w:pPr>
        <w:pStyle w:val="6"/>
        <w:widowControl w:val="0"/>
        <w:overflowPunct w:val="0"/>
        <w:spacing w:before="0" w:after="0" w:line="240" w:lineRule="auto"/>
        <w:rPr>
          <w:rFonts w:ascii="宋体" w:hAnsi="宋体" w:eastAsia="宋体"/>
          <w:color w:val="auto"/>
          <w:sz w:val="21"/>
          <w:szCs w:val="21"/>
          <w:highlight w:val="none"/>
        </w:rPr>
      </w:pPr>
      <w:bookmarkStart w:id="67" w:name="_Toc508284011"/>
      <w:bookmarkStart w:id="68" w:name="_Toc27817"/>
      <w:r>
        <w:rPr>
          <w:rFonts w:hint="eastAsia" w:ascii="宋体" w:hAnsi="宋体" w:eastAsia="宋体"/>
          <w:color w:val="auto"/>
          <w:sz w:val="21"/>
          <w:szCs w:val="21"/>
          <w:highlight w:val="none"/>
        </w:rPr>
        <w:t>29.</w:t>
      </w:r>
      <w:r>
        <w:rPr>
          <w:rFonts w:ascii="宋体" w:hAnsi="宋体" w:eastAsia="宋体"/>
          <w:color w:val="auto"/>
          <w:sz w:val="21"/>
          <w:szCs w:val="21"/>
          <w:highlight w:val="none"/>
        </w:rPr>
        <w:t>合同授予标准</w:t>
      </w:r>
      <w:bookmarkEnd w:id="67"/>
      <w:bookmarkEnd w:id="68"/>
    </w:p>
    <w:p>
      <w:pPr>
        <w:pStyle w:val="30"/>
        <w:widowControl w:val="0"/>
        <w:numPr>
          <w:ilvl w:val="0"/>
          <w:numId w:val="3"/>
        </w:numPr>
        <w:tabs>
          <w:tab w:val="left" w:pos="907"/>
        </w:tabs>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根据评标委员会的评审结果，采购人按照评审报告推荐的中标候选人中按顺序依法确定中标人</w:t>
      </w:r>
      <w:r>
        <w:rPr>
          <w:rFonts w:ascii="宋体" w:hAnsi="宋体" w:eastAsia="宋体"/>
          <w:color w:val="auto"/>
          <w:sz w:val="21"/>
          <w:szCs w:val="21"/>
          <w:highlight w:val="none"/>
        </w:rPr>
        <w:t>。</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69" w:name="_Toc29283"/>
      <w:bookmarkStart w:id="70" w:name="_Toc508284013"/>
      <w:r>
        <w:rPr>
          <w:rFonts w:hint="eastAsia" w:ascii="宋体" w:hAnsi="宋体" w:eastAsia="宋体"/>
          <w:color w:val="auto"/>
          <w:sz w:val="21"/>
          <w:szCs w:val="21"/>
          <w:highlight w:val="none"/>
        </w:rPr>
        <w:t>30.发布采购结果</w:t>
      </w:r>
      <w:bookmarkEnd w:id="69"/>
      <w:bookmarkEnd w:id="70"/>
    </w:p>
    <w:p>
      <w:pPr>
        <w:pStyle w:val="30"/>
        <w:widowControl w:val="0"/>
        <w:numPr>
          <w:ilvl w:val="0"/>
          <w:numId w:val="3"/>
        </w:numPr>
        <w:tabs>
          <w:tab w:val="left" w:pos="907"/>
        </w:tabs>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评标委员会提出评标书面报告和推荐中标意见报采购人确认后，采购代理机构将在指定的信息发布媒体上发布公告。</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中标公告期限为1个工作日。</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结果公示发布后，中标单位应及时领取中标通知书。《中标通知书》是合同的一个组成部分，《中标通知书》对采购人和中标人均具有同等法律效力。</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中标人无正当理由不得放弃中标，因中标人放弃中标而对采购人造成的损失由放弃中标的中标人承担。</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中标人为残疾人福利性单位的，采购人或者其委托的采购代理机构应当随中标、成交结果同时公告其《残疾人福利性单位声明函》，接受社会监督。</w:t>
      </w:r>
    </w:p>
    <w:p>
      <w:pPr>
        <w:widowControl w:val="0"/>
        <w:numPr>
          <w:ilvl w:val="1"/>
          <w:numId w:val="3"/>
        </w:numPr>
        <w:tabs>
          <w:tab w:val="left" w:pos="907"/>
        </w:tabs>
        <w:adjustRightInd/>
        <w:snapToGrid/>
        <w:spacing w:after="0" w:line="360" w:lineRule="exact"/>
        <w:jc w:val="both"/>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原件核查</w:t>
      </w:r>
    </w:p>
    <w:p>
      <w:pPr>
        <w:widowControl w:val="0"/>
        <w:numPr>
          <w:ilvl w:val="2"/>
          <w:numId w:val="3"/>
        </w:numPr>
        <w:tabs>
          <w:tab w:val="left" w:pos="567"/>
          <w:tab w:val="left" w:pos="907"/>
          <w:tab w:val="clear" w:pos="794"/>
        </w:tabs>
        <w:adjustRightInd/>
        <w:snapToGrid/>
        <w:spacing w:after="0" w:line="360" w:lineRule="exact"/>
        <w:jc w:val="both"/>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3"/>
        </w:numPr>
        <w:tabs>
          <w:tab w:val="left" w:pos="567"/>
          <w:tab w:val="left" w:pos="907"/>
          <w:tab w:val="clear" w:pos="794"/>
        </w:tabs>
        <w:adjustRightInd/>
        <w:snapToGrid/>
        <w:spacing w:after="0" w:line="360" w:lineRule="exact"/>
        <w:jc w:val="both"/>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中标单位有下列情形之一的，取消中标资格：</w:t>
      </w:r>
    </w:p>
    <w:p>
      <w:pPr>
        <w:widowControl w:val="0"/>
        <w:numPr>
          <w:ilvl w:val="0"/>
          <w:numId w:val="7"/>
        </w:numPr>
        <w:tabs>
          <w:tab w:val="left" w:pos="567"/>
          <w:tab w:val="left" w:pos="907"/>
        </w:tabs>
        <w:adjustRightInd/>
        <w:snapToGrid/>
        <w:spacing w:after="0" w:line="360" w:lineRule="exact"/>
        <w:jc w:val="both"/>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拒绝采购人或采购代理机构原件核查要求的；</w:t>
      </w:r>
    </w:p>
    <w:p>
      <w:pPr>
        <w:widowControl w:val="0"/>
        <w:numPr>
          <w:ilvl w:val="0"/>
          <w:numId w:val="7"/>
        </w:numPr>
        <w:tabs>
          <w:tab w:val="left" w:pos="567"/>
          <w:tab w:val="left" w:pos="907"/>
        </w:tabs>
        <w:adjustRightInd/>
        <w:snapToGrid/>
        <w:spacing w:after="0" w:line="360" w:lineRule="exact"/>
        <w:jc w:val="both"/>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未在规定时间内将原件递交到到采购代理机构办公地址或采购人指定地址进行核查的；</w:t>
      </w:r>
    </w:p>
    <w:p>
      <w:pPr>
        <w:widowControl w:val="0"/>
        <w:numPr>
          <w:ilvl w:val="0"/>
          <w:numId w:val="7"/>
        </w:numPr>
        <w:tabs>
          <w:tab w:val="left" w:pos="567"/>
          <w:tab w:val="left" w:pos="907"/>
        </w:tabs>
        <w:adjustRightInd/>
        <w:snapToGrid/>
        <w:spacing w:after="0" w:line="360" w:lineRule="exact"/>
        <w:jc w:val="both"/>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在规定时间内递交的原件数量、内容与采购人、采购代理机构要求不一致的；</w:t>
      </w:r>
    </w:p>
    <w:p>
      <w:pPr>
        <w:widowControl w:val="0"/>
        <w:numPr>
          <w:ilvl w:val="0"/>
          <w:numId w:val="7"/>
        </w:numPr>
        <w:tabs>
          <w:tab w:val="left" w:pos="567"/>
          <w:tab w:val="left" w:pos="907"/>
        </w:tabs>
        <w:adjustRightInd/>
        <w:snapToGrid/>
        <w:spacing w:after="0" w:line="360" w:lineRule="exact"/>
        <w:jc w:val="both"/>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因原件续期、更改等原因不能按时递交原件且未能在规定时间内提供相应部门开具的变更、续期等证明的；</w:t>
      </w:r>
    </w:p>
    <w:p>
      <w:pPr>
        <w:widowControl w:val="0"/>
        <w:numPr>
          <w:ilvl w:val="0"/>
          <w:numId w:val="7"/>
        </w:numPr>
        <w:tabs>
          <w:tab w:val="left" w:pos="567"/>
          <w:tab w:val="left" w:pos="907"/>
        </w:tabs>
        <w:adjustRightInd/>
        <w:snapToGrid/>
        <w:spacing w:after="0" w:line="360" w:lineRule="exact"/>
        <w:jc w:val="both"/>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经查原件，投标文件内容有造假行为的。</w:t>
      </w:r>
    </w:p>
    <w:p>
      <w:pPr>
        <w:widowControl w:val="0"/>
        <w:numPr>
          <w:ilvl w:val="2"/>
          <w:numId w:val="3"/>
        </w:numPr>
        <w:tabs>
          <w:tab w:val="left" w:pos="567"/>
          <w:tab w:val="left" w:pos="907"/>
          <w:tab w:val="clear" w:pos="794"/>
        </w:tabs>
        <w:adjustRightInd/>
        <w:snapToGrid/>
        <w:spacing w:after="0" w:line="360" w:lineRule="exact"/>
        <w:jc w:val="both"/>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3"/>
        </w:numPr>
        <w:tabs>
          <w:tab w:val="left" w:pos="567"/>
          <w:tab w:val="left" w:pos="907"/>
          <w:tab w:val="clear" w:pos="794"/>
        </w:tabs>
        <w:adjustRightInd/>
        <w:snapToGrid/>
        <w:spacing w:after="0" w:line="360" w:lineRule="exact"/>
        <w:jc w:val="both"/>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投标人有下列情形之一的，投标文件作无效处理，其投标无效：</w:t>
      </w:r>
    </w:p>
    <w:p>
      <w:pPr>
        <w:widowControl w:val="0"/>
        <w:numPr>
          <w:ilvl w:val="0"/>
          <w:numId w:val="8"/>
        </w:numPr>
        <w:tabs>
          <w:tab w:val="left" w:pos="567"/>
          <w:tab w:val="left" w:pos="907"/>
        </w:tabs>
        <w:adjustRightInd/>
        <w:snapToGrid/>
        <w:spacing w:after="0" w:line="360" w:lineRule="exact"/>
        <w:jc w:val="both"/>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拒绝采购人或采购代理机构原件核查要求的；</w:t>
      </w:r>
    </w:p>
    <w:p>
      <w:pPr>
        <w:widowControl w:val="0"/>
        <w:numPr>
          <w:ilvl w:val="0"/>
          <w:numId w:val="8"/>
        </w:numPr>
        <w:tabs>
          <w:tab w:val="left" w:pos="567"/>
          <w:tab w:val="left" w:pos="907"/>
        </w:tabs>
        <w:adjustRightInd/>
        <w:snapToGrid/>
        <w:spacing w:after="0" w:line="360" w:lineRule="exact"/>
        <w:jc w:val="both"/>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未在规定时间内将原件递交到到采购代理机构办公地址或采购人指定地址进行核查的；</w:t>
      </w:r>
    </w:p>
    <w:p>
      <w:pPr>
        <w:widowControl w:val="0"/>
        <w:numPr>
          <w:ilvl w:val="0"/>
          <w:numId w:val="8"/>
        </w:numPr>
        <w:tabs>
          <w:tab w:val="left" w:pos="567"/>
          <w:tab w:val="left" w:pos="907"/>
        </w:tabs>
        <w:adjustRightInd/>
        <w:snapToGrid/>
        <w:spacing w:after="0" w:line="360" w:lineRule="exact"/>
        <w:jc w:val="both"/>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在规定时间内递交的原件数量、内容不符合采购人、采购代理机构要求的；</w:t>
      </w:r>
    </w:p>
    <w:p>
      <w:pPr>
        <w:widowControl w:val="0"/>
        <w:numPr>
          <w:ilvl w:val="0"/>
          <w:numId w:val="8"/>
        </w:numPr>
        <w:tabs>
          <w:tab w:val="left" w:pos="567"/>
          <w:tab w:val="left" w:pos="907"/>
        </w:tabs>
        <w:adjustRightInd/>
        <w:snapToGrid/>
        <w:spacing w:after="0" w:line="360" w:lineRule="exact"/>
        <w:jc w:val="both"/>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因原件续期、更改等原因不能按时递交原件且未能在规定时间内提供相应部门开具的变更、续期等证明的；</w:t>
      </w:r>
    </w:p>
    <w:p>
      <w:pPr>
        <w:widowControl w:val="0"/>
        <w:numPr>
          <w:ilvl w:val="0"/>
          <w:numId w:val="8"/>
        </w:numPr>
        <w:tabs>
          <w:tab w:val="left" w:pos="567"/>
          <w:tab w:val="left" w:pos="907"/>
        </w:tabs>
        <w:adjustRightInd/>
        <w:snapToGrid/>
        <w:spacing w:after="0" w:line="360" w:lineRule="exact"/>
        <w:jc w:val="both"/>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经查原件，投标文件内容有造假行为的。</w:t>
      </w:r>
    </w:p>
    <w:p>
      <w:pPr>
        <w:widowControl w:val="0"/>
        <w:numPr>
          <w:ilvl w:val="2"/>
          <w:numId w:val="3"/>
        </w:numPr>
        <w:tabs>
          <w:tab w:val="left" w:pos="567"/>
          <w:tab w:val="left" w:pos="907"/>
          <w:tab w:val="clear" w:pos="794"/>
        </w:tabs>
        <w:adjustRightInd/>
        <w:snapToGrid/>
        <w:spacing w:after="0" w:line="360" w:lineRule="exact"/>
        <w:jc w:val="both"/>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若投标人出现虚假应标情况，投标文件作无效处理，其投标、中标无效。并根据相关法律上报相关监管部门。</w:t>
      </w:r>
    </w:p>
    <w:p>
      <w:pPr>
        <w:widowControl w:val="0"/>
        <w:numPr>
          <w:ilvl w:val="2"/>
          <w:numId w:val="3"/>
        </w:numPr>
        <w:tabs>
          <w:tab w:val="left" w:pos="567"/>
          <w:tab w:val="left" w:pos="907"/>
          <w:tab w:val="clear" w:pos="794"/>
        </w:tabs>
        <w:adjustRightInd/>
        <w:snapToGrid/>
        <w:spacing w:after="0" w:line="360" w:lineRule="exact"/>
        <w:jc w:val="both"/>
        <w:rPr>
          <w:color w:val="auto"/>
          <w:highlight w:val="none"/>
        </w:rPr>
      </w:pPr>
      <w:r>
        <w:rPr>
          <w:rFonts w:hint="eastAsia" w:ascii="宋体" w:hAnsi="宋体" w:eastAsia="宋体"/>
          <w:color w:val="auto"/>
          <w:sz w:val="21"/>
          <w:szCs w:val="21"/>
          <w:highlight w:val="none"/>
        </w:rPr>
        <w:t>属于建办市函[2016]462号通知内的证件可不提供原件，仅提供带二维码原件的复印件即可。</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71" w:name="_Toc22451"/>
      <w:r>
        <w:rPr>
          <w:rFonts w:hint="eastAsia" w:ascii="宋体" w:hAnsi="宋体" w:eastAsia="宋体"/>
          <w:color w:val="auto"/>
          <w:sz w:val="21"/>
          <w:szCs w:val="21"/>
          <w:highlight w:val="none"/>
        </w:rPr>
        <w:t>31.合同的签订与履行</w:t>
      </w:r>
      <w:bookmarkEnd w:id="71"/>
    </w:p>
    <w:p>
      <w:pPr>
        <w:pStyle w:val="30"/>
        <w:widowControl w:val="0"/>
        <w:numPr>
          <w:ilvl w:val="0"/>
          <w:numId w:val="3"/>
        </w:numPr>
        <w:tabs>
          <w:tab w:val="left" w:pos="907"/>
        </w:tabs>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采购人与中标人应当根据合同的约定依法履行合同义务。</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政府采购合同的履行、违约责任和解决争议的方法等适用《中华人民共和国</w:t>
      </w:r>
      <w:r>
        <w:rPr>
          <w:rFonts w:hint="eastAsia" w:ascii="宋体" w:hAnsi="宋体" w:eastAsia="宋体"/>
          <w:color w:val="auto"/>
          <w:sz w:val="21"/>
          <w:szCs w:val="21"/>
          <w:highlight w:val="none"/>
          <w:lang w:eastAsia="zh-CN"/>
        </w:rPr>
        <w:t>民法典</w:t>
      </w:r>
      <w:r>
        <w:rPr>
          <w:rFonts w:hint="eastAsia" w:ascii="宋体" w:hAnsi="宋体" w:eastAsia="宋体"/>
          <w:color w:val="auto"/>
          <w:sz w:val="21"/>
          <w:szCs w:val="21"/>
          <w:highlight w:val="none"/>
        </w:rPr>
        <w:t>》。</w:t>
      </w:r>
    </w:p>
    <w:p>
      <w:pPr>
        <w:widowControl w:val="0"/>
        <w:numPr>
          <w:ilvl w:val="1"/>
          <w:numId w:val="3"/>
        </w:numPr>
        <w:tabs>
          <w:tab w:val="left" w:pos="907"/>
        </w:tabs>
        <w:adjustRightInd/>
        <w:snapToGrid/>
        <w:spacing w:after="0" w:line="360" w:lineRule="exact"/>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合同签订之日起2个工作日内，中标人应将所签订的合同副本（加盖公章）交至</w:t>
      </w:r>
      <w:r>
        <w:rPr>
          <w:rFonts w:hint="eastAsia" w:ascii="宋体" w:hAnsi="宋体" w:eastAsia="宋体"/>
          <w:b/>
          <w:color w:val="auto"/>
          <w:sz w:val="21"/>
          <w:szCs w:val="21"/>
          <w:highlight w:val="none"/>
          <w:lang w:eastAsia="zh-CN"/>
        </w:rPr>
        <w:t>广东政通招标有限公司</w:t>
      </w:r>
      <w:r>
        <w:rPr>
          <w:rFonts w:hint="eastAsia" w:ascii="宋体" w:hAnsi="宋体" w:eastAsia="宋体"/>
          <w:b/>
          <w:color w:val="auto"/>
          <w:sz w:val="21"/>
          <w:szCs w:val="21"/>
          <w:highlight w:val="none"/>
        </w:rPr>
        <w:t>归档。</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中标人拒绝与采购人签订合同的，采购人可以按照评审报告推荐的中标候选人名单排序，确定下一候选人为中标人，也可以重新开展政府采购活动。</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72" w:name="_Toc2744"/>
      <w:bookmarkStart w:id="73" w:name="_Toc303084277"/>
      <w:bookmarkStart w:id="74" w:name="_Toc29009"/>
      <w:bookmarkStart w:id="75" w:name="_Toc382049124"/>
      <w:r>
        <w:rPr>
          <w:rFonts w:hint="eastAsia" w:ascii="宋体" w:hAnsi="宋体" w:eastAsia="宋体"/>
          <w:color w:val="auto"/>
          <w:sz w:val="21"/>
          <w:szCs w:val="21"/>
          <w:highlight w:val="none"/>
        </w:rPr>
        <w:t>32.</w:t>
      </w:r>
      <w:r>
        <w:rPr>
          <w:rFonts w:ascii="宋体" w:hAnsi="宋体" w:eastAsia="宋体"/>
          <w:color w:val="auto"/>
          <w:sz w:val="21"/>
          <w:szCs w:val="21"/>
          <w:highlight w:val="none"/>
        </w:rPr>
        <w:t>履约</w:t>
      </w:r>
      <w:r>
        <w:rPr>
          <w:rFonts w:hint="eastAsia" w:ascii="宋体" w:hAnsi="宋体" w:eastAsia="宋体"/>
          <w:color w:val="auto"/>
          <w:sz w:val="21"/>
          <w:szCs w:val="21"/>
          <w:highlight w:val="none"/>
        </w:rPr>
        <w:t>保证金</w:t>
      </w:r>
      <w:bookmarkEnd w:id="72"/>
      <w:bookmarkEnd w:id="73"/>
      <w:bookmarkEnd w:id="74"/>
      <w:bookmarkEnd w:id="75"/>
    </w:p>
    <w:p>
      <w:pPr>
        <w:pStyle w:val="30"/>
        <w:widowControl w:val="0"/>
        <w:numPr>
          <w:ilvl w:val="0"/>
          <w:numId w:val="3"/>
        </w:numPr>
        <w:tabs>
          <w:tab w:val="left" w:pos="907"/>
        </w:tabs>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采用保证金（银行转帐、电汇）方式：中标人必须保证资金在签订合同前到帐。履约保证金账户采购人另行通知，到期后无息退还。</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5"/>
        <w:numPr>
          <w:ilvl w:val="0"/>
          <w:numId w:val="2"/>
        </w:numPr>
        <w:spacing w:before="0" w:after="0" w:line="480" w:lineRule="auto"/>
        <w:jc w:val="center"/>
        <w:rPr>
          <w:rFonts w:ascii="宋体" w:hAnsi="宋体" w:eastAsia="宋体"/>
          <w:color w:val="auto"/>
          <w:highlight w:val="none"/>
        </w:rPr>
      </w:pPr>
      <w:bookmarkStart w:id="76" w:name="_Toc13694"/>
      <w:r>
        <w:rPr>
          <w:rFonts w:hint="eastAsia" w:ascii="宋体" w:hAnsi="宋体" w:eastAsia="宋体"/>
          <w:color w:val="auto"/>
          <w:highlight w:val="none"/>
        </w:rPr>
        <w:t>询问或质疑</w:t>
      </w:r>
      <w:bookmarkEnd w:id="76"/>
    </w:p>
    <w:p>
      <w:pPr>
        <w:pStyle w:val="6"/>
        <w:widowControl w:val="0"/>
        <w:overflowPunct w:val="0"/>
        <w:spacing w:before="0" w:after="0" w:line="240" w:lineRule="auto"/>
        <w:rPr>
          <w:rFonts w:ascii="宋体" w:hAnsi="宋体" w:eastAsia="宋体"/>
          <w:color w:val="auto"/>
          <w:sz w:val="21"/>
          <w:szCs w:val="21"/>
          <w:highlight w:val="none"/>
        </w:rPr>
      </w:pPr>
      <w:bookmarkStart w:id="77" w:name="_Toc25498"/>
      <w:r>
        <w:rPr>
          <w:rFonts w:hint="eastAsia" w:ascii="宋体" w:hAnsi="宋体" w:eastAsia="宋体"/>
          <w:color w:val="auto"/>
          <w:sz w:val="21"/>
          <w:szCs w:val="21"/>
          <w:highlight w:val="none"/>
        </w:rPr>
        <w:t>33.询问</w:t>
      </w:r>
      <w:bookmarkEnd w:id="77"/>
    </w:p>
    <w:p>
      <w:pPr>
        <w:pStyle w:val="30"/>
        <w:widowControl w:val="0"/>
        <w:numPr>
          <w:ilvl w:val="0"/>
          <w:numId w:val="3"/>
        </w:numPr>
        <w:tabs>
          <w:tab w:val="left" w:pos="907"/>
        </w:tabs>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投标人对政府采购活动事项（招标文件、采购过程和采购结果）有疑问的，可以按规定向采购代理机构提出询问。</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78" w:name="_Toc8234"/>
      <w:r>
        <w:rPr>
          <w:rFonts w:hint="eastAsia" w:ascii="宋体" w:hAnsi="宋体" w:eastAsia="宋体"/>
          <w:color w:val="auto"/>
          <w:sz w:val="21"/>
          <w:szCs w:val="21"/>
          <w:highlight w:val="none"/>
        </w:rPr>
        <w:t>34.质疑</w:t>
      </w:r>
      <w:bookmarkEnd w:id="78"/>
    </w:p>
    <w:p>
      <w:pPr>
        <w:pStyle w:val="30"/>
        <w:widowControl w:val="0"/>
        <w:numPr>
          <w:ilvl w:val="0"/>
          <w:numId w:val="3"/>
        </w:numPr>
        <w:tabs>
          <w:tab w:val="left" w:pos="907"/>
        </w:tabs>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提出质疑的投标人应当是参与所质疑项目采购活动的供应商或是在规定的时间内已依法获取其可质疑的招标文件的潜在供应商。</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投标人在法定质疑期内须一次性提出针对同一采购程序环节的质疑，对同一采购程序环节的二次质疑采购代理机构不予受理。</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授权委托书应当载明代理人的姓名或者名称、代理事项、具体权限、期限和相关事项。</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投标人提出质疑应当提交质疑函和必要的证明材料（须注明法律依据），因缺少相关证明材料或证明材料存在不真实而导致的后果由投标人自行承担。</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不涉及对投标人利益造成损害的相关内容，不能作为质疑内容提交。</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投诉人在全国范围12个月内三次以上投诉查无实据的，由财政部门列入不良行为记录名单。</w:t>
      </w:r>
    </w:p>
    <w:p>
      <w:pPr>
        <w:widowControl w:val="0"/>
        <w:numPr>
          <w:ilvl w:val="1"/>
          <w:numId w:val="3"/>
        </w:numPr>
        <w:tabs>
          <w:tab w:val="left" w:pos="907"/>
        </w:tabs>
        <w:adjustRightInd/>
        <w:snapToGrid/>
        <w:spacing w:after="0" w:line="360" w:lineRule="exact"/>
        <w:jc w:val="both"/>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投诉人有下列行为之一的，属于虚假、恶意投诉，由财政部门列入不良行为记录名单，禁止其1至3年内参加全国范围内的政府采购活动：</w:t>
      </w:r>
    </w:p>
    <w:p>
      <w:pPr>
        <w:widowControl w:val="0"/>
        <w:tabs>
          <w:tab w:val="left" w:pos="907"/>
        </w:tabs>
        <w:adjustRightInd/>
        <w:snapToGrid/>
        <w:spacing w:after="0" w:line="360" w:lineRule="exact"/>
        <w:ind w:left="567"/>
        <w:jc w:val="both"/>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（一）捏造事实;</w:t>
      </w:r>
    </w:p>
    <w:p>
      <w:pPr>
        <w:widowControl w:val="0"/>
        <w:tabs>
          <w:tab w:val="left" w:pos="907"/>
        </w:tabs>
        <w:adjustRightInd/>
        <w:snapToGrid/>
        <w:spacing w:after="0" w:line="360" w:lineRule="exact"/>
        <w:ind w:left="567"/>
        <w:jc w:val="both"/>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（二）提供虚假材料;</w:t>
      </w:r>
    </w:p>
    <w:p>
      <w:pPr>
        <w:widowControl w:val="0"/>
        <w:tabs>
          <w:tab w:val="left" w:pos="907"/>
        </w:tabs>
        <w:adjustRightInd/>
        <w:snapToGrid/>
        <w:spacing w:after="0" w:line="360" w:lineRule="exact"/>
        <w:ind w:left="567"/>
        <w:jc w:val="both"/>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（三）以非法手段取得证明材料。证据来源的合法性存在明显疑问，投诉人无法证明其取得方式合法的，视为以非法手段取得证明材料。</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以联合体形式参加政府采购活动的，其质疑应当由组成联合体的所有投标人共同提出。</w:t>
      </w:r>
    </w:p>
    <w:p>
      <w:pPr>
        <w:rPr>
          <w:color w:val="auto"/>
          <w:highlight w:val="none"/>
        </w:rPr>
      </w:pPr>
    </w:p>
    <w:p>
      <w:pPr>
        <w:pStyle w:val="5"/>
        <w:numPr>
          <w:ilvl w:val="0"/>
          <w:numId w:val="2"/>
        </w:numPr>
        <w:spacing w:before="0" w:after="0" w:line="480" w:lineRule="auto"/>
        <w:jc w:val="center"/>
        <w:rPr>
          <w:rFonts w:ascii="宋体" w:hAnsi="宋体" w:eastAsia="宋体"/>
          <w:color w:val="auto"/>
          <w:highlight w:val="none"/>
        </w:rPr>
      </w:pPr>
      <w:bookmarkStart w:id="79" w:name="_Toc24383"/>
      <w:r>
        <w:rPr>
          <w:rFonts w:hint="eastAsia" w:ascii="宋体" w:hAnsi="宋体" w:eastAsia="宋体"/>
          <w:color w:val="auto"/>
          <w:highlight w:val="none"/>
        </w:rPr>
        <w:t>其他</w:t>
      </w:r>
      <w:bookmarkEnd w:id="79"/>
    </w:p>
    <w:p>
      <w:pPr>
        <w:pStyle w:val="6"/>
        <w:widowControl w:val="0"/>
        <w:overflowPunct w:val="0"/>
        <w:spacing w:before="0" w:after="0" w:line="240" w:lineRule="auto"/>
        <w:rPr>
          <w:rFonts w:ascii="宋体" w:hAnsi="宋体" w:eastAsia="宋体"/>
          <w:color w:val="auto"/>
          <w:sz w:val="21"/>
          <w:szCs w:val="21"/>
          <w:highlight w:val="none"/>
        </w:rPr>
      </w:pPr>
      <w:bookmarkStart w:id="80" w:name="_Toc10082"/>
      <w:r>
        <w:rPr>
          <w:rFonts w:hint="eastAsia" w:ascii="宋体" w:hAnsi="宋体" w:eastAsia="宋体"/>
          <w:color w:val="auto"/>
          <w:sz w:val="21"/>
          <w:szCs w:val="21"/>
          <w:highlight w:val="none"/>
        </w:rPr>
        <w:t>35.招标文件的解释权</w:t>
      </w:r>
      <w:bookmarkEnd w:id="80"/>
    </w:p>
    <w:p>
      <w:pPr>
        <w:pStyle w:val="30"/>
        <w:widowControl w:val="0"/>
        <w:numPr>
          <w:ilvl w:val="0"/>
          <w:numId w:val="3"/>
        </w:numPr>
        <w:tabs>
          <w:tab w:val="left" w:pos="907"/>
        </w:tabs>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招标文件版本号：</w:t>
      </w:r>
      <w:r>
        <w:rPr>
          <w:rFonts w:hint="eastAsia" w:ascii="宋体" w:hAnsi="宋体" w:eastAsia="宋体"/>
          <w:color w:val="auto"/>
          <w:sz w:val="21"/>
          <w:szCs w:val="21"/>
          <w:highlight w:val="none"/>
          <w:lang w:val="en-US" w:eastAsia="zh-CN"/>
        </w:rPr>
        <w:t>广东政通</w:t>
      </w:r>
      <w:r>
        <w:rPr>
          <w:rFonts w:hint="eastAsia" w:ascii="宋体" w:hAnsi="宋体" w:eastAsia="宋体"/>
          <w:color w:val="auto"/>
          <w:sz w:val="21"/>
          <w:szCs w:val="21"/>
          <w:highlight w:val="none"/>
        </w:rPr>
        <w:t>202</w:t>
      </w: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0</w:t>
      </w: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01。</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本招标文件是根据国家有关法律、法规以及政府采购管理有关规定和参照国际惯例编制，解释权属本采购代理机构。</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4"/>
        <w:spacing w:before="0" w:after="0" w:line="240" w:lineRule="auto"/>
        <w:rPr>
          <w:color w:val="auto"/>
          <w:sz w:val="28"/>
          <w:szCs w:val="28"/>
          <w:highlight w:val="none"/>
        </w:rPr>
      </w:pPr>
      <w:bookmarkStart w:id="81" w:name="_Toc21448"/>
      <w:r>
        <w:rPr>
          <w:rFonts w:hint="eastAsia"/>
          <w:color w:val="auto"/>
          <w:sz w:val="28"/>
          <w:szCs w:val="28"/>
          <w:highlight w:val="none"/>
        </w:rPr>
        <w:t>第五部分 合同格式（仅供参考）</w:t>
      </w:r>
      <w:bookmarkEnd w:id="81"/>
      <w:bookmarkStart w:id="82" w:name="_Toc1534"/>
      <w:bookmarkStart w:id="83" w:name="_Toc21155"/>
      <w:bookmarkStart w:id="84" w:name="_Toc13430"/>
    </w:p>
    <w:p>
      <w:pPr>
        <w:pStyle w:val="5"/>
        <w:spacing w:before="0" w:after="0" w:line="240" w:lineRule="auto"/>
        <w:jc w:val="center"/>
        <w:rPr>
          <w:rFonts w:ascii="宋体" w:hAnsi="宋体" w:eastAsia="宋体" w:cs="宋体"/>
          <w:color w:val="auto"/>
          <w:highlight w:val="none"/>
        </w:rPr>
      </w:pPr>
      <w:bookmarkStart w:id="85" w:name="_Toc16730"/>
      <w:r>
        <w:rPr>
          <w:rFonts w:hint="eastAsia" w:ascii="宋体" w:hAnsi="宋体" w:eastAsia="宋体" w:cs="宋体"/>
          <w:color w:val="auto"/>
          <w:highlight w:val="none"/>
        </w:rPr>
        <w:t>合同格式</w:t>
      </w:r>
      <w:bookmarkEnd w:id="82"/>
      <w:bookmarkEnd w:id="83"/>
      <w:bookmarkEnd w:id="84"/>
      <w:bookmarkEnd w:id="85"/>
    </w:p>
    <w:p>
      <w:pPr>
        <w:spacing w:line="420" w:lineRule="atLeast"/>
        <w:ind w:right="560"/>
        <w:rPr>
          <w:rFonts w:ascii="宋体" w:hAnsi="宋体" w:eastAsia="宋体"/>
          <w:color w:val="auto"/>
          <w:sz w:val="21"/>
          <w:szCs w:val="21"/>
          <w:highlight w:val="none"/>
        </w:rPr>
      </w:pPr>
      <w:r>
        <w:rPr>
          <w:rFonts w:hint="eastAsia" w:ascii="宋体" w:hAnsi="宋体" w:eastAsia="宋体"/>
          <w:color w:val="auto"/>
          <w:sz w:val="21"/>
          <w:szCs w:val="21"/>
          <w:highlight w:val="none"/>
        </w:rPr>
        <w:t>合同编号：</w:t>
      </w:r>
    </w:p>
    <w:p>
      <w:pPr>
        <w:spacing w:line="420" w:lineRule="atLeast"/>
        <w:rPr>
          <w:rFonts w:ascii="宋体" w:hAnsi="宋体" w:eastAsia="宋体"/>
          <w:color w:val="auto"/>
          <w:sz w:val="21"/>
          <w:szCs w:val="21"/>
          <w:highlight w:val="none"/>
        </w:rPr>
      </w:pPr>
      <w:r>
        <w:rPr>
          <w:rFonts w:hint="eastAsia" w:ascii="宋体" w:hAnsi="宋体" w:eastAsia="宋体"/>
          <w:color w:val="auto"/>
          <w:sz w:val="21"/>
          <w:szCs w:val="21"/>
          <w:highlight w:val="none"/>
        </w:rPr>
        <w:t>甲方：</w:t>
      </w:r>
    </w:p>
    <w:p>
      <w:pPr>
        <w:spacing w:line="420" w:lineRule="atLeast"/>
        <w:rPr>
          <w:rFonts w:ascii="宋体" w:hAnsi="宋体" w:eastAsia="宋体"/>
          <w:color w:val="auto"/>
          <w:sz w:val="21"/>
          <w:szCs w:val="21"/>
          <w:highlight w:val="none"/>
        </w:rPr>
      </w:pPr>
      <w:r>
        <w:rPr>
          <w:rFonts w:hint="eastAsia" w:ascii="宋体" w:hAnsi="宋体" w:eastAsia="宋体"/>
          <w:color w:val="auto"/>
          <w:sz w:val="21"/>
          <w:szCs w:val="21"/>
          <w:highlight w:val="none"/>
        </w:rPr>
        <w:t>乙方：“ ”为中标单位</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受甲方委托，</w:t>
      </w:r>
      <w:r>
        <w:rPr>
          <w:rFonts w:hint="eastAsia" w:ascii="宋体" w:hAnsi="宋体" w:eastAsia="宋体"/>
          <w:color w:val="auto"/>
          <w:sz w:val="21"/>
          <w:szCs w:val="21"/>
          <w:highlight w:val="none"/>
          <w:u w:val="single"/>
        </w:rPr>
        <w:t xml:space="preserve">           (采购代理机构)</w:t>
      </w:r>
      <w:r>
        <w:rPr>
          <w:rFonts w:hint="eastAsia" w:ascii="宋体" w:hAnsi="宋体" w:eastAsia="宋体"/>
          <w:color w:val="auto"/>
          <w:sz w:val="21"/>
          <w:szCs w:val="21"/>
          <w:highlight w:val="none"/>
        </w:rPr>
        <w:t>组织对</w:t>
      </w:r>
      <w:r>
        <w:rPr>
          <w:rFonts w:hint="eastAsia" w:ascii="宋体" w:hAnsi="宋体" w:eastAsia="宋体"/>
          <w:color w:val="auto"/>
          <w:sz w:val="21"/>
          <w:szCs w:val="21"/>
          <w:highlight w:val="none"/>
          <w:u w:val="single"/>
        </w:rPr>
        <w:t xml:space="preserve">         （项目名称）</w:t>
      </w:r>
      <w:r>
        <w:rPr>
          <w:rFonts w:hint="eastAsia" w:ascii="宋体" w:hAnsi="宋体" w:eastAsia="宋体"/>
          <w:color w:val="auto"/>
          <w:sz w:val="21"/>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eastAsia="宋体"/>
          <w:color w:val="auto"/>
          <w:highlight w:val="none"/>
          <w:lang w:val="en-US" w:eastAsia="zh-CN"/>
        </w:rPr>
        <w:t>民法典</w:t>
      </w:r>
      <w:r>
        <w:rPr>
          <w:rFonts w:hint="eastAsia" w:ascii="宋体" w:hAnsi="宋体" w:eastAsia="宋体"/>
          <w:color w:val="auto"/>
          <w:sz w:val="21"/>
          <w:szCs w:val="21"/>
          <w:highlight w:val="none"/>
        </w:rPr>
        <w:t>》，在平等自愿的基础上，按照下面的条款和条件，签署本合同。</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第一条 合同项目</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1、项目名称：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2、采购项目编号：                   。</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第二条 合同组成</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1、合同文件组成内容包括：本合同书 、中标通知书、投标文件（含澄清内容）、招标文件（含招标文件澄清通知）等。</w:t>
      </w:r>
    </w:p>
    <w:p>
      <w:pPr>
        <w:spacing w:after="0" w:line="360" w:lineRule="auto"/>
        <w:ind w:firstLine="422" w:firstLineChars="200"/>
        <w:rPr>
          <w:rFonts w:ascii="宋体" w:hAnsi="宋体" w:eastAsia="宋体"/>
          <w:b/>
          <w:color w:val="auto"/>
          <w:sz w:val="21"/>
          <w:szCs w:val="21"/>
          <w:highlight w:val="none"/>
        </w:rPr>
      </w:pPr>
      <w:bookmarkStart w:id="86" w:name="_Toc86481558"/>
      <w:r>
        <w:rPr>
          <w:rFonts w:hint="eastAsia" w:ascii="宋体" w:hAnsi="宋体" w:eastAsia="宋体"/>
          <w:b/>
          <w:color w:val="auto"/>
          <w:sz w:val="21"/>
          <w:szCs w:val="21"/>
          <w:highlight w:val="none"/>
        </w:rPr>
        <w:t>第三条 服务内容、标准及要求</w:t>
      </w:r>
    </w:p>
    <w:p>
      <w:pPr>
        <w:spacing w:after="0" w:line="360" w:lineRule="auto"/>
        <w:rPr>
          <w:rFonts w:ascii="宋体" w:hAnsi="宋体" w:eastAsia="宋体" w:cs="仿宋"/>
          <w:color w:val="auto"/>
          <w:sz w:val="21"/>
          <w:szCs w:val="21"/>
          <w:highlight w:val="none"/>
          <w:u w:val="single"/>
          <w:shd w:val="clear" w:color="auto" w:fill="FFFFFF"/>
        </w:rPr>
      </w:pPr>
      <w:r>
        <w:rPr>
          <w:rFonts w:hint="eastAsia" w:ascii="宋体" w:hAnsi="宋体" w:eastAsia="宋体" w:cs="仿宋"/>
          <w:color w:val="auto"/>
          <w:sz w:val="21"/>
          <w:szCs w:val="21"/>
          <w:highlight w:val="none"/>
          <w:shd w:val="clear" w:color="auto" w:fill="FFFFFF"/>
        </w:rPr>
        <w:t>1、采购内容：</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2、采购标准：</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3、采购要求：</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4、具体采购内容采购标准及要求以招标文件用户需求书及乙方投标文件承诺条款及方案为准。</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第四条 价格</w:t>
      </w:r>
    </w:p>
    <w:p>
      <w:pPr>
        <w:spacing w:after="0" w:line="360" w:lineRule="auto"/>
        <w:ind w:firstLine="420" w:firstLineChars="200"/>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2、合同总价：（人民币）大写 （¥）</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3、本合同价为固定不变价。</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第五条 服务期限及地点</w:t>
      </w:r>
    </w:p>
    <w:p>
      <w:pPr>
        <w:spacing w:after="0" w:line="360" w:lineRule="auto"/>
        <w:ind w:firstLine="495" w:firstLineChars="236"/>
        <w:rPr>
          <w:rFonts w:ascii="宋体" w:hAnsi="宋体" w:eastAsia="宋体"/>
          <w:color w:val="auto"/>
          <w:sz w:val="21"/>
          <w:szCs w:val="21"/>
          <w:highlight w:val="none"/>
        </w:rPr>
      </w:pPr>
      <w:r>
        <w:rPr>
          <w:rFonts w:hint="eastAsia" w:ascii="宋体" w:hAnsi="宋体" w:eastAsia="宋体"/>
          <w:color w:val="auto"/>
          <w:sz w:val="21"/>
          <w:szCs w:val="21"/>
          <w:highlight w:val="none"/>
        </w:rPr>
        <w:t>1、服务期：  年，合同生效之日自       年  月  日至     年  月  日止。</w:t>
      </w:r>
    </w:p>
    <w:p>
      <w:pPr>
        <w:spacing w:after="0" w:line="360" w:lineRule="auto"/>
        <w:ind w:firstLine="495" w:firstLineChars="236"/>
        <w:rPr>
          <w:rFonts w:ascii="宋体" w:hAnsi="宋体" w:eastAsia="宋体"/>
          <w:color w:val="auto"/>
          <w:sz w:val="21"/>
          <w:szCs w:val="21"/>
          <w:highlight w:val="none"/>
        </w:rPr>
      </w:pPr>
      <w:r>
        <w:rPr>
          <w:rFonts w:hint="eastAsia" w:ascii="宋体" w:hAnsi="宋体" w:eastAsia="宋体"/>
          <w:color w:val="auto"/>
          <w:sz w:val="21"/>
          <w:szCs w:val="21"/>
          <w:highlight w:val="none"/>
        </w:rPr>
        <w:t>2、服务地点：              或甲方指定地点。</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第六条 付款方式</w:t>
      </w:r>
    </w:p>
    <w:p>
      <w:pPr>
        <w:pStyle w:val="19"/>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19"/>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第七条 验收方式</w:t>
      </w:r>
    </w:p>
    <w:p>
      <w:pPr>
        <w:pStyle w:val="19"/>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19"/>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19"/>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第八条 税和关税</w:t>
      </w:r>
    </w:p>
    <w:p>
      <w:pPr>
        <w:pStyle w:val="19"/>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19"/>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pStyle w:val="19"/>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第九条 其它约定</w:t>
      </w:r>
    </w:p>
    <w:p>
      <w:pPr>
        <w:spacing w:after="0" w:line="360" w:lineRule="auto"/>
        <w:ind w:firstLine="420" w:firstLineChars="200"/>
        <w:rPr>
          <w:rFonts w:ascii="宋体" w:hAnsi="宋体" w:eastAsia="宋体"/>
          <w:color w:val="auto"/>
          <w:sz w:val="21"/>
          <w:szCs w:val="21"/>
          <w:highlight w:val="none"/>
        </w:rPr>
      </w:pPr>
      <w:r>
        <w:rPr>
          <w:rFonts w:ascii="宋体" w:hAnsi="宋体" w:eastAsia="宋体"/>
          <w:color w:val="auto"/>
          <w:sz w:val="21"/>
          <w:szCs w:val="21"/>
          <w:highlight w:val="none"/>
        </w:rPr>
        <w:t>1</w:t>
      </w:r>
      <w:r>
        <w:rPr>
          <w:rFonts w:hint="eastAsia" w:ascii="宋体" w:hAnsi="宋体" w:eastAsia="宋体"/>
          <w:color w:val="auto"/>
          <w:sz w:val="21"/>
          <w:szCs w:val="21"/>
          <w:highlight w:val="none"/>
        </w:rPr>
        <w:t>、严禁转包，未经甲方书面同意不得分包。</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2、乙方全部工作人员，须符合东莞市政府用工标准要求。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3、乙方服务人员进行服务期间的过失或故意行为，造成甲方经济损失的，由乙方负责赔偿。</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4、服务人员的劳动关系隶属乙方，乙方负责服务人员的工资、节假日和超时加班补助费、社会保险、住宿、伙食等。</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5、乙方负责本项目服务人员购买因意外身故或伤残和因意外事故住院治疗保险，并负责办理一切保险赔偿手续。</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第十条 违约责任</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1、合同双方任何一方不履行合同条款或不按合同约定履行条款的其它情况，均属违约，由违约方承担违约责任，赔偿因其违约造成的损失，并支付合同价款总额%的违约金。</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2、由于乙方的原因，导致双方签订的合同终止，乙方因此而遭受的损失，将由乙方独立承担，甲方对此不负任何责任，也不作任何赔偿。</w:t>
      </w:r>
    </w:p>
    <w:bookmarkEnd w:id="86"/>
    <w:p>
      <w:pPr>
        <w:spacing w:after="0" w:line="360" w:lineRule="auto"/>
        <w:ind w:firstLine="422" w:firstLineChars="200"/>
        <w:rPr>
          <w:rFonts w:ascii="宋体" w:hAnsi="宋体" w:eastAsia="宋体"/>
          <w:b/>
          <w:color w:val="auto"/>
          <w:sz w:val="21"/>
          <w:szCs w:val="21"/>
          <w:highlight w:val="none"/>
        </w:rPr>
      </w:pPr>
      <w:bookmarkStart w:id="87" w:name="_Toc86481570"/>
      <w:r>
        <w:rPr>
          <w:rFonts w:hint="eastAsia" w:ascii="宋体" w:hAnsi="宋体" w:eastAsia="宋体"/>
          <w:b/>
          <w:color w:val="auto"/>
          <w:sz w:val="21"/>
          <w:szCs w:val="21"/>
          <w:highlight w:val="none"/>
        </w:rPr>
        <w:t>第十一条 争议的解决</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1、凡与本合同有关而引起的一切争议，甲乙双方应首先通过友好协商解决，如经协商后仍不能达成协议时，任何一方可以向法院提出诉讼。</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2、本合同发生的诉讼管辖地为东莞市有管辖权的法院。</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3、在进行法院审理期间，除提交法院审理的事项外，合同其他部分仍继续履行。</w:t>
      </w:r>
    </w:p>
    <w:p>
      <w:pPr>
        <w:spacing w:after="0" w:line="360" w:lineRule="auto"/>
        <w:ind w:firstLine="420" w:firstLineChars="200"/>
        <w:rPr>
          <w:rFonts w:ascii="宋体" w:hAnsi="宋体" w:eastAsia="宋体" w:cs="仿宋"/>
          <w:color w:val="auto"/>
          <w:sz w:val="21"/>
          <w:szCs w:val="21"/>
          <w:highlight w:val="none"/>
          <w:shd w:val="clear" w:color="auto" w:fill="FFFFFF"/>
        </w:rPr>
      </w:pPr>
      <w:r>
        <w:rPr>
          <w:rFonts w:hint="eastAsia" w:ascii="宋体" w:hAnsi="宋体" w:eastAsia="宋体" w:cs="宋体"/>
          <w:color w:val="auto"/>
          <w:sz w:val="21"/>
          <w:szCs w:val="21"/>
          <w:highlight w:val="none"/>
        </w:rPr>
        <w:t>4、本合同按照中华人民共和国的法律进行解释</w:t>
      </w:r>
      <w:r>
        <w:rPr>
          <w:rFonts w:hint="eastAsia" w:ascii="宋体" w:hAnsi="宋体" w:eastAsia="宋体" w:cs="仿宋"/>
          <w:color w:val="auto"/>
          <w:sz w:val="21"/>
          <w:szCs w:val="21"/>
          <w:highlight w:val="none"/>
          <w:shd w:val="clear" w:color="auto" w:fill="FFFFFF"/>
        </w:rPr>
        <w:t>。</w:t>
      </w:r>
    </w:p>
    <w:p>
      <w:pPr>
        <w:spacing w:after="0" w:line="360" w:lineRule="auto"/>
        <w:ind w:firstLine="422" w:firstLineChars="200"/>
        <w:rPr>
          <w:rFonts w:ascii="宋体" w:hAnsi="宋体" w:eastAsia="宋体"/>
          <w:b/>
          <w:color w:val="auto"/>
          <w:sz w:val="21"/>
          <w:szCs w:val="21"/>
          <w:highlight w:val="none"/>
        </w:rPr>
      </w:pPr>
      <w:bookmarkStart w:id="88" w:name="_Toc86481569"/>
      <w:r>
        <w:rPr>
          <w:rFonts w:hint="eastAsia" w:ascii="宋体" w:hAnsi="宋体" w:eastAsia="宋体"/>
          <w:b/>
          <w:color w:val="auto"/>
          <w:sz w:val="21"/>
          <w:szCs w:val="21"/>
          <w:highlight w:val="none"/>
        </w:rPr>
        <w:t>第十二条 合同生效</w:t>
      </w:r>
      <w:bookmarkEnd w:id="88"/>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1、本合同由双方法定代表人或委托代理人签字盖章后立即生效，具有同等法律效力，合同有效期随服务期结束而自然终止。</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2、本合同一式    份，其中甲方    份、乙方    份，采购代理机构 壹 份（须在合同签订之日起7个工作日内递交）。</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第十三条 其它</w:t>
      </w:r>
      <w:bookmarkEnd w:id="87"/>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1、本合同未尽事宜，双方可签订补充合同，补充合同与所有附件均为合同的有效组成部分，与本合同具有同等法律效力。</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本合同合计   页A4纸张，缺页之合同为无效合同。</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甲方（盖章）：                      乙方（盖章）：</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法定代表(签字)：                   法定代表(签字)：</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地址：                             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                             电话：</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传真：</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传真：</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开户银行：</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 xml:space="preserve">                     开户银行：</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账号：                             账号：</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签约时间：</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签约地点：</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此仅为合同书样本，中标人需根据实际情况和甲方签订相应的合同！</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br w:type="page"/>
      </w:r>
    </w:p>
    <w:p>
      <w:pPr>
        <w:pStyle w:val="4"/>
        <w:spacing w:before="0" w:after="0" w:line="240" w:lineRule="auto"/>
        <w:rPr>
          <w:color w:val="auto"/>
          <w:sz w:val="28"/>
          <w:szCs w:val="28"/>
          <w:highlight w:val="none"/>
        </w:rPr>
      </w:pPr>
      <w:bookmarkStart w:id="89" w:name="_Toc23749"/>
      <w:r>
        <w:rPr>
          <w:rFonts w:hint="eastAsia"/>
          <w:color w:val="auto"/>
          <w:sz w:val="28"/>
          <w:szCs w:val="28"/>
          <w:highlight w:val="none"/>
        </w:rPr>
        <w:t>第六部分  附件－投标文件格式</w:t>
      </w:r>
      <w:bookmarkEnd w:id="89"/>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90" w:name="_Toc26830"/>
      <w:r>
        <w:rPr>
          <w:rFonts w:hint="eastAsia" w:ascii="宋体" w:hAnsi="宋体" w:eastAsia="宋体"/>
          <w:color w:val="auto"/>
          <w:sz w:val="21"/>
          <w:szCs w:val="21"/>
          <w:highlight w:val="none"/>
        </w:rPr>
        <w:t>附件1.投标文件目录</w:t>
      </w:r>
      <w:bookmarkEnd w:id="90"/>
    </w:p>
    <w:p>
      <w:pPr>
        <w:jc w:val="center"/>
        <w:rPr>
          <w:rFonts w:ascii="黑体" w:eastAsia="黑体"/>
          <w:color w:val="auto"/>
          <w:sz w:val="32"/>
          <w:szCs w:val="32"/>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目录</w:t>
      </w:r>
    </w:p>
    <w:p>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格式自理。</w:t>
      </w: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1、投标人制作的投标文件应当具备目录。</w:t>
      </w:r>
      <w:r>
        <w:rPr>
          <w:rFonts w:ascii="宋体" w:hAnsi="宋体" w:eastAsia="宋体"/>
          <w:color w:val="auto"/>
          <w:sz w:val="21"/>
          <w:szCs w:val="21"/>
          <w:highlight w:val="none"/>
        </w:rPr>
        <w:br w:type="page"/>
      </w:r>
    </w:p>
    <w:p>
      <w:pPr>
        <w:pStyle w:val="6"/>
        <w:widowControl w:val="0"/>
        <w:overflowPunct w:val="0"/>
        <w:spacing w:before="0" w:after="0" w:line="240" w:lineRule="auto"/>
        <w:rPr>
          <w:rFonts w:ascii="宋体" w:hAnsi="宋体" w:eastAsia="宋体"/>
          <w:color w:val="auto"/>
          <w:sz w:val="21"/>
          <w:szCs w:val="21"/>
          <w:highlight w:val="none"/>
        </w:rPr>
      </w:pPr>
      <w:bookmarkStart w:id="91" w:name="_Toc18893"/>
      <w:r>
        <w:rPr>
          <w:rFonts w:hint="eastAsia" w:ascii="宋体" w:hAnsi="宋体" w:eastAsia="宋体"/>
          <w:color w:val="auto"/>
          <w:sz w:val="21"/>
          <w:szCs w:val="21"/>
          <w:highlight w:val="none"/>
        </w:rPr>
        <w:t>附件1-1 评分标准索引表</w:t>
      </w:r>
      <w:bookmarkEnd w:id="91"/>
    </w:p>
    <w:p>
      <w:pPr>
        <w:adjustRightInd/>
        <w:snapToGrid/>
        <w:spacing w:line="276" w:lineRule="auto"/>
        <w:rPr>
          <w:rFonts w:ascii="宋体" w:hAnsi="宋体" w:eastAsia="宋体"/>
          <w:color w:val="auto"/>
          <w:sz w:val="21"/>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704" w:type="dxa"/>
            <w:vAlign w:val="center"/>
          </w:tcPr>
          <w:p>
            <w:pPr>
              <w:spacing w:after="0"/>
              <w:jc w:val="center"/>
              <w:rPr>
                <w:rFonts w:ascii="宋体" w:hAnsi="宋体" w:eastAsia="宋体" w:cs="宋体"/>
                <w:color w:val="auto"/>
                <w:highlight w:val="none"/>
              </w:rPr>
            </w:pPr>
            <w:r>
              <w:rPr>
                <w:rFonts w:hint="eastAsia" w:ascii="宋体" w:hAnsi="宋体" w:eastAsia="宋体" w:cs="宋体"/>
                <w:color w:val="auto"/>
                <w:highlight w:val="none"/>
              </w:rPr>
              <w:t>序号</w:t>
            </w:r>
          </w:p>
        </w:tc>
        <w:tc>
          <w:tcPr>
            <w:tcW w:w="1704" w:type="dxa"/>
            <w:vAlign w:val="center"/>
          </w:tcPr>
          <w:p>
            <w:pPr>
              <w:spacing w:after="0"/>
              <w:jc w:val="center"/>
              <w:rPr>
                <w:rFonts w:ascii="宋体" w:hAnsi="宋体" w:eastAsia="宋体" w:cs="宋体"/>
                <w:color w:val="auto"/>
                <w:highlight w:val="none"/>
              </w:rPr>
            </w:pPr>
            <w:r>
              <w:rPr>
                <w:rFonts w:hint="eastAsia" w:ascii="宋体" w:hAnsi="宋体" w:eastAsia="宋体" w:cs="宋体"/>
                <w:color w:val="auto"/>
                <w:highlight w:val="none"/>
              </w:rPr>
              <w:t>评审项目</w:t>
            </w:r>
          </w:p>
        </w:tc>
        <w:tc>
          <w:tcPr>
            <w:tcW w:w="1704" w:type="dxa"/>
            <w:vAlign w:val="center"/>
          </w:tcPr>
          <w:p>
            <w:pPr>
              <w:spacing w:after="0"/>
              <w:jc w:val="center"/>
              <w:rPr>
                <w:rFonts w:ascii="宋体" w:hAnsi="宋体" w:eastAsia="宋体" w:cs="宋体"/>
                <w:color w:val="auto"/>
                <w:highlight w:val="none"/>
              </w:rPr>
            </w:pPr>
            <w:r>
              <w:rPr>
                <w:rFonts w:hint="eastAsia" w:ascii="宋体" w:hAnsi="宋体" w:eastAsia="宋体" w:cs="宋体"/>
                <w:color w:val="auto"/>
                <w:highlight w:val="none"/>
              </w:rPr>
              <w:t>评分细则</w:t>
            </w:r>
          </w:p>
        </w:tc>
        <w:tc>
          <w:tcPr>
            <w:tcW w:w="1705" w:type="dxa"/>
            <w:vAlign w:val="center"/>
          </w:tcPr>
          <w:p>
            <w:pPr>
              <w:spacing w:after="0"/>
              <w:jc w:val="center"/>
              <w:rPr>
                <w:rFonts w:ascii="宋体" w:hAnsi="宋体" w:eastAsia="宋体" w:cs="宋体"/>
                <w:color w:val="auto"/>
                <w:highlight w:val="none"/>
              </w:rPr>
            </w:pPr>
            <w:r>
              <w:rPr>
                <w:rFonts w:hint="eastAsia" w:ascii="宋体" w:hAnsi="宋体" w:eastAsia="宋体" w:cs="宋体"/>
                <w:color w:val="auto"/>
                <w:highlight w:val="none"/>
              </w:rPr>
              <w:t>分值</w:t>
            </w:r>
          </w:p>
        </w:tc>
        <w:tc>
          <w:tcPr>
            <w:tcW w:w="1705" w:type="dxa"/>
            <w:vAlign w:val="center"/>
          </w:tcPr>
          <w:p>
            <w:pPr>
              <w:spacing w:after="0"/>
              <w:jc w:val="center"/>
              <w:rPr>
                <w:rFonts w:ascii="宋体" w:hAnsi="宋体" w:eastAsia="宋体" w:cs="宋体"/>
                <w:color w:val="auto"/>
                <w:highlight w:val="none"/>
              </w:rPr>
            </w:pPr>
            <w:r>
              <w:rPr>
                <w:rFonts w:hint="eastAsia" w:ascii="宋体" w:hAnsi="宋体" w:eastAsia="宋体" w:cs="宋体"/>
                <w:color w:val="auto"/>
                <w:highlight w:val="none"/>
              </w:rPr>
              <w:t>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8522" w:type="dxa"/>
            <w:gridSpan w:val="5"/>
            <w:vAlign w:val="center"/>
          </w:tcPr>
          <w:p>
            <w:pPr>
              <w:spacing w:after="0"/>
              <w:rPr>
                <w:rFonts w:ascii="宋体" w:hAnsi="宋体" w:eastAsia="宋体" w:cs="宋体"/>
                <w:color w:val="auto"/>
                <w:highlight w:val="none"/>
              </w:rPr>
            </w:pPr>
            <w:r>
              <w:rPr>
                <w:rFonts w:hint="eastAsia" w:ascii="宋体" w:hAnsi="宋体" w:eastAsia="宋体" w:cs="宋体"/>
                <w:color w:val="auto"/>
                <w:highlight w:val="none"/>
              </w:rPr>
              <w:t>商务评审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pPr>
              <w:spacing w:after="0"/>
              <w:jc w:val="center"/>
              <w:rPr>
                <w:rFonts w:ascii="宋体" w:hAnsi="宋体" w:eastAsia="宋体" w:cs="宋体"/>
                <w:color w:val="auto"/>
                <w:highlight w:val="none"/>
              </w:rPr>
            </w:pPr>
          </w:p>
        </w:tc>
        <w:tc>
          <w:tcPr>
            <w:tcW w:w="1704" w:type="dxa"/>
            <w:vAlign w:val="center"/>
          </w:tcPr>
          <w:p>
            <w:pPr>
              <w:spacing w:after="0"/>
              <w:jc w:val="center"/>
              <w:rPr>
                <w:rFonts w:ascii="宋体" w:hAnsi="宋体" w:eastAsia="宋体" w:cs="宋体"/>
                <w:color w:val="auto"/>
                <w:highlight w:val="none"/>
              </w:rPr>
            </w:pPr>
          </w:p>
        </w:tc>
        <w:tc>
          <w:tcPr>
            <w:tcW w:w="1704" w:type="dxa"/>
            <w:vAlign w:val="center"/>
          </w:tcPr>
          <w:p>
            <w:pPr>
              <w:spacing w:after="0"/>
              <w:jc w:val="center"/>
              <w:rPr>
                <w:rFonts w:ascii="宋体" w:hAnsi="宋体" w:eastAsia="宋体" w:cs="宋体"/>
                <w:color w:val="auto"/>
                <w:highlight w:val="none"/>
              </w:rPr>
            </w:pPr>
          </w:p>
        </w:tc>
        <w:tc>
          <w:tcPr>
            <w:tcW w:w="1705" w:type="dxa"/>
            <w:vAlign w:val="center"/>
          </w:tcPr>
          <w:p>
            <w:pPr>
              <w:spacing w:after="0"/>
              <w:jc w:val="center"/>
              <w:rPr>
                <w:rFonts w:ascii="宋体" w:hAnsi="宋体" w:eastAsia="宋体" w:cs="宋体"/>
                <w:color w:val="auto"/>
                <w:highlight w:val="none"/>
              </w:rPr>
            </w:pPr>
          </w:p>
        </w:tc>
        <w:tc>
          <w:tcPr>
            <w:tcW w:w="1705" w:type="dxa"/>
            <w:vAlign w:val="center"/>
          </w:tcPr>
          <w:p>
            <w:pPr>
              <w:spacing w:after="0"/>
              <w:jc w:val="center"/>
              <w:rPr>
                <w:rFonts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pPr>
              <w:spacing w:after="0"/>
              <w:jc w:val="center"/>
              <w:rPr>
                <w:rFonts w:ascii="宋体" w:hAnsi="宋体" w:eastAsia="宋体" w:cs="宋体"/>
                <w:color w:val="auto"/>
                <w:highlight w:val="none"/>
              </w:rPr>
            </w:pPr>
          </w:p>
        </w:tc>
        <w:tc>
          <w:tcPr>
            <w:tcW w:w="1704" w:type="dxa"/>
            <w:vAlign w:val="center"/>
          </w:tcPr>
          <w:p>
            <w:pPr>
              <w:spacing w:after="0"/>
              <w:jc w:val="center"/>
              <w:rPr>
                <w:rFonts w:ascii="宋体" w:hAnsi="宋体" w:eastAsia="宋体" w:cs="宋体"/>
                <w:color w:val="auto"/>
                <w:highlight w:val="none"/>
              </w:rPr>
            </w:pPr>
          </w:p>
        </w:tc>
        <w:tc>
          <w:tcPr>
            <w:tcW w:w="1704" w:type="dxa"/>
            <w:vAlign w:val="center"/>
          </w:tcPr>
          <w:p>
            <w:pPr>
              <w:spacing w:after="0"/>
              <w:jc w:val="center"/>
              <w:rPr>
                <w:rFonts w:ascii="宋体" w:hAnsi="宋体" w:eastAsia="宋体" w:cs="宋体"/>
                <w:color w:val="auto"/>
                <w:highlight w:val="none"/>
              </w:rPr>
            </w:pPr>
          </w:p>
        </w:tc>
        <w:tc>
          <w:tcPr>
            <w:tcW w:w="1705" w:type="dxa"/>
            <w:vAlign w:val="center"/>
          </w:tcPr>
          <w:p>
            <w:pPr>
              <w:spacing w:after="0"/>
              <w:jc w:val="center"/>
              <w:rPr>
                <w:rFonts w:ascii="宋体" w:hAnsi="宋体" w:eastAsia="宋体" w:cs="宋体"/>
                <w:color w:val="auto"/>
                <w:highlight w:val="none"/>
              </w:rPr>
            </w:pPr>
          </w:p>
        </w:tc>
        <w:tc>
          <w:tcPr>
            <w:tcW w:w="1705" w:type="dxa"/>
            <w:vAlign w:val="center"/>
          </w:tcPr>
          <w:p>
            <w:pPr>
              <w:spacing w:after="0"/>
              <w:jc w:val="center"/>
              <w:rPr>
                <w:rFonts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pPr>
              <w:spacing w:after="0"/>
              <w:jc w:val="center"/>
              <w:rPr>
                <w:rFonts w:ascii="宋体" w:hAnsi="宋体" w:eastAsia="宋体" w:cs="宋体"/>
                <w:color w:val="auto"/>
                <w:highlight w:val="none"/>
              </w:rPr>
            </w:pPr>
          </w:p>
        </w:tc>
        <w:tc>
          <w:tcPr>
            <w:tcW w:w="1704" w:type="dxa"/>
            <w:vAlign w:val="center"/>
          </w:tcPr>
          <w:p>
            <w:pPr>
              <w:spacing w:after="0"/>
              <w:jc w:val="center"/>
              <w:rPr>
                <w:rFonts w:ascii="宋体" w:hAnsi="宋体" w:eastAsia="宋体" w:cs="宋体"/>
                <w:color w:val="auto"/>
                <w:highlight w:val="none"/>
              </w:rPr>
            </w:pPr>
          </w:p>
        </w:tc>
        <w:tc>
          <w:tcPr>
            <w:tcW w:w="1704" w:type="dxa"/>
            <w:vAlign w:val="center"/>
          </w:tcPr>
          <w:p>
            <w:pPr>
              <w:spacing w:after="0"/>
              <w:jc w:val="center"/>
              <w:rPr>
                <w:rFonts w:ascii="宋体" w:hAnsi="宋体" w:eastAsia="宋体" w:cs="宋体"/>
                <w:color w:val="auto"/>
                <w:highlight w:val="none"/>
              </w:rPr>
            </w:pPr>
          </w:p>
        </w:tc>
        <w:tc>
          <w:tcPr>
            <w:tcW w:w="1705" w:type="dxa"/>
            <w:vAlign w:val="center"/>
          </w:tcPr>
          <w:p>
            <w:pPr>
              <w:spacing w:after="0"/>
              <w:jc w:val="center"/>
              <w:rPr>
                <w:rFonts w:ascii="宋体" w:hAnsi="宋体" w:eastAsia="宋体" w:cs="宋体"/>
                <w:color w:val="auto"/>
                <w:highlight w:val="none"/>
              </w:rPr>
            </w:pPr>
          </w:p>
        </w:tc>
        <w:tc>
          <w:tcPr>
            <w:tcW w:w="1705" w:type="dxa"/>
            <w:vAlign w:val="center"/>
          </w:tcPr>
          <w:p>
            <w:pPr>
              <w:spacing w:after="0"/>
              <w:jc w:val="center"/>
              <w:rPr>
                <w:rFonts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8522" w:type="dxa"/>
            <w:gridSpan w:val="5"/>
            <w:vAlign w:val="center"/>
          </w:tcPr>
          <w:p>
            <w:pPr>
              <w:spacing w:after="0"/>
              <w:rPr>
                <w:rFonts w:ascii="宋体" w:hAnsi="宋体" w:eastAsia="宋体" w:cs="宋体"/>
                <w:color w:val="auto"/>
                <w:highlight w:val="none"/>
              </w:rPr>
            </w:pPr>
            <w:r>
              <w:rPr>
                <w:rFonts w:hint="eastAsia" w:ascii="宋体" w:hAnsi="宋体" w:eastAsia="宋体" w:cs="宋体"/>
                <w:color w:val="auto"/>
                <w:highlight w:val="none"/>
              </w:rPr>
              <w:t>技术评审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pPr>
              <w:spacing w:after="0"/>
              <w:jc w:val="center"/>
              <w:rPr>
                <w:rFonts w:ascii="宋体" w:hAnsi="宋体" w:eastAsia="宋体" w:cs="宋体"/>
                <w:color w:val="auto"/>
                <w:highlight w:val="none"/>
              </w:rPr>
            </w:pPr>
          </w:p>
        </w:tc>
        <w:tc>
          <w:tcPr>
            <w:tcW w:w="1704" w:type="dxa"/>
            <w:vAlign w:val="center"/>
          </w:tcPr>
          <w:p>
            <w:pPr>
              <w:spacing w:after="0"/>
              <w:jc w:val="center"/>
              <w:rPr>
                <w:rFonts w:ascii="宋体" w:hAnsi="宋体" w:eastAsia="宋体" w:cs="宋体"/>
                <w:color w:val="auto"/>
                <w:highlight w:val="none"/>
              </w:rPr>
            </w:pPr>
          </w:p>
        </w:tc>
        <w:tc>
          <w:tcPr>
            <w:tcW w:w="1704" w:type="dxa"/>
            <w:vAlign w:val="center"/>
          </w:tcPr>
          <w:p>
            <w:pPr>
              <w:spacing w:after="0"/>
              <w:jc w:val="center"/>
              <w:rPr>
                <w:rFonts w:ascii="宋体" w:hAnsi="宋体" w:eastAsia="宋体" w:cs="宋体"/>
                <w:color w:val="auto"/>
                <w:highlight w:val="none"/>
              </w:rPr>
            </w:pPr>
          </w:p>
        </w:tc>
        <w:tc>
          <w:tcPr>
            <w:tcW w:w="1705" w:type="dxa"/>
            <w:vAlign w:val="center"/>
          </w:tcPr>
          <w:p>
            <w:pPr>
              <w:spacing w:after="0"/>
              <w:jc w:val="center"/>
              <w:rPr>
                <w:rFonts w:ascii="宋体" w:hAnsi="宋体" w:eastAsia="宋体" w:cs="宋体"/>
                <w:color w:val="auto"/>
                <w:highlight w:val="none"/>
              </w:rPr>
            </w:pPr>
          </w:p>
        </w:tc>
        <w:tc>
          <w:tcPr>
            <w:tcW w:w="1705" w:type="dxa"/>
            <w:vAlign w:val="center"/>
          </w:tcPr>
          <w:p>
            <w:pPr>
              <w:spacing w:after="0"/>
              <w:jc w:val="center"/>
              <w:rPr>
                <w:rFonts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pPr>
              <w:spacing w:after="0"/>
              <w:jc w:val="center"/>
              <w:rPr>
                <w:rFonts w:ascii="宋体" w:hAnsi="宋体" w:eastAsia="宋体" w:cs="宋体"/>
                <w:color w:val="auto"/>
                <w:highlight w:val="none"/>
              </w:rPr>
            </w:pPr>
          </w:p>
        </w:tc>
        <w:tc>
          <w:tcPr>
            <w:tcW w:w="1704" w:type="dxa"/>
            <w:vAlign w:val="center"/>
          </w:tcPr>
          <w:p>
            <w:pPr>
              <w:spacing w:after="0"/>
              <w:jc w:val="center"/>
              <w:rPr>
                <w:rFonts w:ascii="宋体" w:hAnsi="宋体" w:eastAsia="宋体" w:cs="宋体"/>
                <w:color w:val="auto"/>
                <w:highlight w:val="none"/>
              </w:rPr>
            </w:pPr>
          </w:p>
        </w:tc>
        <w:tc>
          <w:tcPr>
            <w:tcW w:w="1704" w:type="dxa"/>
            <w:vAlign w:val="center"/>
          </w:tcPr>
          <w:p>
            <w:pPr>
              <w:spacing w:after="0"/>
              <w:jc w:val="center"/>
              <w:rPr>
                <w:rFonts w:ascii="宋体" w:hAnsi="宋体" w:eastAsia="宋体" w:cs="宋体"/>
                <w:color w:val="auto"/>
                <w:highlight w:val="none"/>
              </w:rPr>
            </w:pPr>
          </w:p>
        </w:tc>
        <w:tc>
          <w:tcPr>
            <w:tcW w:w="1705" w:type="dxa"/>
            <w:vAlign w:val="center"/>
          </w:tcPr>
          <w:p>
            <w:pPr>
              <w:spacing w:after="0"/>
              <w:jc w:val="center"/>
              <w:rPr>
                <w:rFonts w:ascii="宋体" w:hAnsi="宋体" w:eastAsia="宋体" w:cs="宋体"/>
                <w:color w:val="auto"/>
                <w:highlight w:val="none"/>
              </w:rPr>
            </w:pPr>
          </w:p>
        </w:tc>
        <w:tc>
          <w:tcPr>
            <w:tcW w:w="1705" w:type="dxa"/>
            <w:vAlign w:val="center"/>
          </w:tcPr>
          <w:p>
            <w:pPr>
              <w:spacing w:after="0"/>
              <w:jc w:val="center"/>
              <w:rPr>
                <w:rFonts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pPr>
              <w:spacing w:after="0"/>
              <w:jc w:val="center"/>
              <w:rPr>
                <w:rFonts w:ascii="宋体" w:hAnsi="宋体" w:eastAsia="宋体" w:cs="宋体"/>
                <w:color w:val="auto"/>
                <w:highlight w:val="none"/>
              </w:rPr>
            </w:pPr>
          </w:p>
        </w:tc>
        <w:tc>
          <w:tcPr>
            <w:tcW w:w="1704" w:type="dxa"/>
            <w:vAlign w:val="center"/>
          </w:tcPr>
          <w:p>
            <w:pPr>
              <w:spacing w:after="0"/>
              <w:jc w:val="center"/>
              <w:rPr>
                <w:rFonts w:ascii="宋体" w:hAnsi="宋体" w:eastAsia="宋体" w:cs="宋体"/>
                <w:color w:val="auto"/>
                <w:highlight w:val="none"/>
              </w:rPr>
            </w:pPr>
          </w:p>
        </w:tc>
        <w:tc>
          <w:tcPr>
            <w:tcW w:w="1704" w:type="dxa"/>
            <w:vAlign w:val="center"/>
          </w:tcPr>
          <w:p>
            <w:pPr>
              <w:spacing w:after="0"/>
              <w:jc w:val="center"/>
              <w:rPr>
                <w:rFonts w:ascii="宋体" w:hAnsi="宋体" w:eastAsia="宋体" w:cs="宋体"/>
                <w:color w:val="auto"/>
                <w:highlight w:val="none"/>
              </w:rPr>
            </w:pPr>
          </w:p>
        </w:tc>
        <w:tc>
          <w:tcPr>
            <w:tcW w:w="1705" w:type="dxa"/>
            <w:vAlign w:val="center"/>
          </w:tcPr>
          <w:p>
            <w:pPr>
              <w:spacing w:after="0"/>
              <w:jc w:val="center"/>
              <w:rPr>
                <w:rFonts w:ascii="宋体" w:hAnsi="宋体" w:eastAsia="宋体" w:cs="宋体"/>
                <w:color w:val="auto"/>
                <w:highlight w:val="none"/>
              </w:rPr>
            </w:pPr>
          </w:p>
        </w:tc>
        <w:tc>
          <w:tcPr>
            <w:tcW w:w="1705" w:type="dxa"/>
            <w:vAlign w:val="center"/>
          </w:tcPr>
          <w:p>
            <w:pPr>
              <w:spacing w:after="0"/>
              <w:jc w:val="center"/>
              <w:rPr>
                <w:rFonts w:ascii="宋体" w:hAnsi="宋体" w:eastAsia="宋体" w:cs="宋体"/>
                <w:color w:val="auto"/>
                <w:highlight w:val="none"/>
              </w:rPr>
            </w:pP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numPr>
          <w:ilvl w:val="0"/>
          <w:numId w:val="9"/>
        </w:numPr>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该表格为参考格式，投标人可按实际情况自行制订评分标准索引表。</w:t>
      </w:r>
    </w:p>
    <w:p>
      <w:pPr>
        <w:pStyle w:val="8"/>
        <w:spacing w:before="0"/>
        <w:ind w:left="0"/>
        <w:rPr>
          <w:color w:val="auto"/>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6"/>
        <w:widowControl w:val="0"/>
        <w:overflowPunct w:val="0"/>
        <w:spacing w:before="0" w:after="0" w:line="240" w:lineRule="auto"/>
        <w:rPr>
          <w:rFonts w:ascii="宋体" w:hAnsi="宋体" w:eastAsia="宋体"/>
          <w:color w:val="auto"/>
          <w:sz w:val="21"/>
          <w:szCs w:val="21"/>
          <w:highlight w:val="none"/>
        </w:rPr>
      </w:pPr>
      <w:bookmarkStart w:id="92" w:name="_Toc30640"/>
      <w:r>
        <w:rPr>
          <w:rFonts w:hint="eastAsia" w:ascii="宋体" w:hAnsi="宋体" w:eastAsia="宋体"/>
          <w:color w:val="auto"/>
          <w:sz w:val="21"/>
          <w:szCs w:val="21"/>
          <w:highlight w:val="none"/>
        </w:rPr>
        <w:t>附件2.投标书格式</w:t>
      </w:r>
      <w:bookmarkEnd w:id="92"/>
    </w:p>
    <w:p>
      <w:pPr>
        <w:jc w:val="center"/>
        <w:rPr>
          <w:rFonts w:ascii="宋体" w:hAnsi="宋体" w:eastAsia="宋体"/>
          <w:color w:val="auto"/>
          <w:sz w:val="21"/>
          <w:szCs w:val="21"/>
          <w:highlight w:val="none"/>
        </w:rPr>
      </w:pPr>
      <w:r>
        <w:rPr>
          <w:rFonts w:hint="eastAsia" w:ascii="黑体" w:eastAsia="黑体"/>
          <w:color w:val="auto"/>
          <w:sz w:val="32"/>
          <w:szCs w:val="32"/>
          <w:highlight w:val="none"/>
        </w:rPr>
        <w:t>投标书</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spacing w:after="0" w:line="360" w:lineRule="auto"/>
        <w:rPr>
          <w:rFonts w:ascii="宋体" w:hAnsi="宋体" w:eastAsia="宋体"/>
          <w:color w:val="auto"/>
          <w:sz w:val="21"/>
          <w:szCs w:val="21"/>
          <w:highlight w:val="none"/>
        </w:rPr>
      </w:pP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根据贵方为</w:t>
      </w:r>
      <w:r>
        <w:rPr>
          <w:rFonts w:hint="eastAsia" w:ascii="宋体" w:hAnsi="宋体" w:eastAsia="宋体"/>
          <w:color w:val="auto"/>
          <w:sz w:val="21"/>
          <w:szCs w:val="21"/>
          <w:highlight w:val="none"/>
          <w:u w:val="single"/>
        </w:rPr>
        <w:t>（项目名称）（采购项目编号）</w:t>
      </w:r>
      <w:r>
        <w:rPr>
          <w:rFonts w:hint="eastAsia" w:ascii="宋体" w:hAnsi="宋体" w:eastAsia="宋体"/>
          <w:color w:val="auto"/>
          <w:sz w:val="21"/>
          <w:szCs w:val="21"/>
          <w:highlight w:val="none"/>
        </w:rPr>
        <w:t>项目招标公告/招标邀请，签字代表</w:t>
      </w:r>
      <w:r>
        <w:rPr>
          <w:rFonts w:hint="eastAsia" w:ascii="宋体" w:hAnsi="宋体" w:eastAsia="宋体"/>
          <w:color w:val="auto"/>
          <w:sz w:val="21"/>
          <w:szCs w:val="21"/>
          <w:highlight w:val="none"/>
          <w:u w:val="single"/>
        </w:rPr>
        <w:t>（姓名、职务）</w:t>
      </w:r>
      <w:r>
        <w:rPr>
          <w:rFonts w:hint="eastAsia" w:ascii="宋体" w:hAnsi="宋体" w:eastAsia="宋体"/>
          <w:color w:val="auto"/>
          <w:sz w:val="21"/>
          <w:szCs w:val="21"/>
          <w:highlight w:val="none"/>
        </w:rPr>
        <w:t>经正式授权并代表投标人</w:t>
      </w:r>
      <w:r>
        <w:rPr>
          <w:rFonts w:hint="eastAsia" w:ascii="宋体" w:hAnsi="宋体" w:eastAsia="宋体"/>
          <w:color w:val="auto"/>
          <w:sz w:val="21"/>
          <w:szCs w:val="21"/>
          <w:highlight w:val="none"/>
          <w:u w:val="single"/>
        </w:rPr>
        <w:t>（投标人名称、地址）</w:t>
      </w:r>
      <w:r>
        <w:rPr>
          <w:rFonts w:hint="eastAsia" w:ascii="宋体" w:hAnsi="宋体" w:eastAsia="宋体"/>
          <w:color w:val="auto"/>
          <w:sz w:val="21"/>
          <w:szCs w:val="21"/>
          <w:highlight w:val="none"/>
        </w:rPr>
        <w:t>提交投标文件及“开标文件”：</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在此，签字代表宣布同意如下： </w:t>
      </w:r>
    </w:p>
    <w:p>
      <w:pPr>
        <w:widowControl w:val="0"/>
        <w:numPr>
          <w:ilvl w:val="0"/>
          <w:numId w:val="10"/>
        </w:numPr>
        <w:adjustRightInd/>
        <w:snapToGrid/>
        <w:spacing w:after="0" w:line="360" w:lineRule="auto"/>
        <w:jc w:val="both"/>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我方将按招标文件的规定履行合同责任和义务。 </w:t>
      </w:r>
    </w:p>
    <w:p>
      <w:pPr>
        <w:widowControl w:val="0"/>
        <w:numPr>
          <w:ilvl w:val="0"/>
          <w:numId w:val="10"/>
        </w:numPr>
        <w:adjustRightInd/>
        <w:snapToGrid/>
        <w:spacing w:after="0" w:line="360" w:lineRule="auto"/>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我方已完整阅读了本项目招标文件的所有内容（包括澄清，以及所有已提供的参考资料和有关附件），并完全理解上述文件所表达的意思，该项目递交投标文件时间截止后，我方承诺不再对上述文件内容进行询问或质疑。</w:t>
      </w:r>
    </w:p>
    <w:p>
      <w:pPr>
        <w:widowControl w:val="0"/>
        <w:numPr>
          <w:ilvl w:val="0"/>
          <w:numId w:val="10"/>
        </w:numPr>
        <w:adjustRightInd/>
        <w:snapToGrid/>
        <w:spacing w:after="0" w:line="360" w:lineRule="auto"/>
        <w:jc w:val="both"/>
        <w:rPr>
          <w:rFonts w:ascii="宋体" w:hAnsi="宋体" w:eastAsia="宋体"/>
          <w:color w:val="auto"/>
          <w:sz w:val="21"/>
          <w:szCs w:val="21"/>
          <w:highlight w:val="none"/>
        </w:rPr>
      </w:pPr>
      <w:r>
        <w:rPr>
          <w:rFonts w:hint="eastAsia" w:ascii="宋体" w:hAnsi="宋体" w:eastAsia="宋体"/>
          <w:color w:val="auto"/>
          <w:sz w:val="21"/>
          <w:szCs w:val="21"/>
          <w:highlight w:val="none"/>
        </w:rPr>
        <w:t>本投标有效期为自开标日起</w:t>
      </w:r>
      <w:r>
        <w:rPr>
          <w:rFonts w:hint="eastAsia" w:ascii="宋体" w:hAnsi="宋体" w:eastAsia="宋体"/>
          <w:color w:val="auto"/>
          <w:sz w:val="21"/>
          <w:szCs w:val="21"/>
          <w:highlight w:val="none"/>
          <w:u w:val="single"/>
        </w:rPr>
        <w:t>90</w:t>
      </w:r>
      <w:r>
        <w:rPr>
          <w:rFonts w:hint="eastAsia" w:ascii="宋体" w:hAnsi="宋体" w:eastAsia="宋体"/>
          <w:color w:val="auto"/>
          <w:sz w:val="21"/>
          <w:szCs w:val="21"/>
          <w:highlight w:val="none"/>
        </w:rPr>
        <w:t xml:space="preserve">个日历日。 </w:t>
      </w:r>
    </w:p>
    <w:p>
      <w:pPr>
        <w:widowControl w:val="0"/>
        <w:numPr>
          <w:ilvl w:val="0"/>
          <w:numId w:val="10"/>
        </w:numPr>
        <w:adjustRightInd/>
        <w:snapToGrid/>
        <w:spacing w:after="0" w:line="360" w:lineRule="auto"/>
        <w:jc w:val="both"/>
        <w:rPr>
          <w:rFonts w:ascii="宋体" w:hAnsi="宋体" w:eastAsia="宋体"/>
          <w:color w:val="auto"/>
          <w:sz w:val="21"/>
          <w:szCs w:val="21"/>
          <w:highlight w:val="none"/>
        </w:rPr>
      </w:pPr>
      <w:r>
        <w:rPr>
          <w:rFonts w:hint="eastAsia" w:ascii="宋体" w:hAnsi="宋体" w:eastAsia="宋体"/>
          <w:color w:val="auto"/>
          <w:sz w:val="21"/>
          <w:szCs w:val="21"/>
          <w:highlight w:val="none"/>
        </w:rPr>
        <w:t>我方保证遵守投标人须知中关于没收投标保证金的规定。</w:t>
      </w:r>
    </w:p>
    <w:p>
      <w:pPr>
        <w:widowControl w:val="0"/>
        <w:numPr>
          <w:ilvl w:val="0"/>
          <w:numId w:val="10"/>
        </w:numPr>
        <w:adjustRightInd/>
        <w:snapToGrid/>
        <w:spacing w:after="0" w:line="360" w:lineRule="auto"/>
        <w:jc w:val="both"/>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我方承诺，与买方聘请的为此项目提供咨询服务的公司及任何附属机构均无关联，我方不是买方的附属机构。 </w:t>
      </w:r>
    </w:p>
    <w:p>
      <w:pPr>
        <w:widowControl w:val="0"/>
        <w:numPr>
          <w:ilvl w:val="0"/>
          <w:numId w:val="10"/>
        </w:numPr>
        <w:adjustRightInd/>
        <w:snapToGrid/>
        <w:spacing w:after="0" w:line="360" w:lineRule="auto"/>
        <w:jc w:val="both"/>
        <w:rPr>
          <w:rFonts w:ascii="宋体" w:hAnsi="宋体" w:eastAsia="宋体"/>
          <w:color w:val="auto"/>
          <w:sz w:val="21"/>
          <w:szCs w:val="21"/>
          <w:highlight w:val="none"/>
        </w:rPr>
      </w:pPr>
      <w:r>
        <w:rPr>
          <w:rFonts w:hint="eastAsia" w:ascii="宋体" w:hAnsi="宋体" w:eastAsia="宋体"/>
          <w:color w:val="auto"/>
          <w:sz w:val="21"/>
          <w:szCs w:val="21"/>
          <w:highlight w:val="none"/>
        </w:rPr>
        <w:t>我方承诺，我方具备《中华人民共和国政府采购法》第二十二条资格条件，已清楚招标文件所有要求及有关规定；并承诺参加本次政府采购活动中，如有违法、违规、弄虚作假行为，所造成的损失、不良后果及法律责任，一律由我方承担；</w:t>
      </w:r>
    </w:p>
    <w:p>
      <w:pPr>
        <w:widowControl w:val="0"/>
        <w:numPr>
          <w:ilvl w:val="0"/>
          <w:numId w:val="10"/>
        </w:numPr>
        <w:adjustRightInd/>
        <w:snapToGrid/>
        <w:spacing w:after="0" w:line="360" w:lineRule="auto"/>
        <w:jc w:val="both"/>
        <w:rPr>
          <w:rFonts w:ascii="宋体" w:hAnsi="宋体" w:eastAsia="宋体"/>
          <w:color w:val="auto"/>
          <w:sz w:val="21"/>
          <w:szCs w:val="21"/>
          <w:highlight w:val="none"/>
        </w:rPr>
      </w:pPr>
      <w:r>
        <w:rPr>
          <w:rFonts w:hint="eastAsia" w:ascii="宋体" w:hAnsi="宋体" w:eastAsia="宋体"/>
          <w:color w:val="auto"/>
          <w:sz w:val="21"/>
          <w:szCs w:val="21"/>
          <w:highlight w:val="none"/>
        </w:rPr>
        <w:t>我方同意提供按照贵方可能要求的与其投标有关的一切数据或资料。</w:t>
      </w:r>
    </w:p>
    <w:p>
      <w:pPr>
        <w:widowControl w:val="0"/>
        <w:numPr>
          <w:ilvl w:val="0"/>
          <w:numId w:val="10"/>
        </w:numPr>
        <w:adjustRightInd/>
        <w:snapToGrid/>
        <w:spacing w:after="0" w:line="360" w:lineRule="auto"/>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与本投标有关的一切正式信函请寄：</w:t>
      </w:r>
    </w:p>
    <w:p>
      <w:pPr>
        <w:spacing w:after="0" w:line="360" w:lineRule="auto"/>
        <w:rPr>
          <w:rFonts w:ascii="宋体" w:hAnsi="宋体" w:eastAsia="宋体"/>
          <w:color w:val="auto"/>
          <w:sz w:val="21"/>
          <w:szCs w:val="21"/>
          <w:highlight w:val="none"/>
        </w:rPr>
      </w:pP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地址：　　　　　　　　　　　　　　　　　　　传真：</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电话/移动电话：　　　　　　　　　　　　　　　电子函件：</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投标人代表签字：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投标人名称（全称）：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投标人盖章：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投标人开户银行（全称）：</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投标人银行帐号：</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pStyle w:val="6"/>
        <w:widowControl w:val="0"/>
        <w:overflowPunct w:val="0"/>
        <w:spacing w:before="0" w:after="0" w:line="240" w:lineRule="auto"/>
        <w:rPr>
          <w:rFonts w:ascii="宋体" w:hAnsi="宋体" w:eastAsia="宋体"/>
          <w:color w:val="auto"/>
          <w:sz w:val="21"/>
          <w:szCs w:val="21"/>
          <w:highlight w:val="none"/>
        </w:rPr>
      </w:pPr>
      <w:bookmarkStart w:id="93" w:name="_Toc6866"/>
      <w:r>
        <w:rPr>
          <w:rFonts w:hint="eastAsia" w:ascii="宋体" w:hAnsi="宋体" w:eastAsia="宋体"/>
          <w:color w:val="auto"/>
          <w:sz w:val="21"/>
          <w:szCs w:val="21"/>
          <w:highlight w:val="none"/>
        </w:rPr>
        <w:t>附件3.开标一览表格式</w:t>
      </w:r>
      <w:bookmarkEnd w:id="93"/>
    </w:p>
    <w:p>
      <w:pPr>
        <w:jc w:val="center"/>
        <w:rPr>
          <w:rFonts w:ascii="黑体" w:eastAsia="黑体"/>
          <w:color w:val="auto"/>
          <w:sz w:val="32"/>
          <w:szCs w:val="32"/>
          <w:highlight w:val="none"/>
        </w:rPr>
      </w:pPr>
      <w:r>
        <w:rPr>
          <w:rFonts w:hint="eastAsia" w:ascii="黑体" w:eastAsia="黑体"/>
          <w:color w:val="auto"/>
          <w:sz w:val="32"/>
          <w:szCs w:val="32"/>
          <w:highlight w:val="none"/>
        </w:rPr>
        <w:t>开标一览表</w:t>
      </w:r>
    </w:p>
    <w:p>
      <w:pPr>
        <w:spacing w:line="360" w:lineRule="auto"/>
        <w:rPr>
          <w:color w:val="auto"/>
          <w:highlight w:val="none"/>
        </w:rPr>
      </w:pP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投标人名称：</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采购项目编号：</w:t>
      </w:r>
    </w:p>
    <w:tbl>
      <w:tblPr>
        <w:tblStyle w:val="21"/>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投标总价</w:t>
            </w:r>
          </w:p>
        </w:tc>
        <w:tc>
          <w:tcPr>
            <w:tcW w:w="3262" w:type="dxa"/>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pPr>
        <w:spacing w:after="0" w:line="360" w:lineRule="auto"/>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pacing w:after="0" w:line="360" w:lineRule="auto"/>
        <w:ind w:firstLine="359" w:firstLineChars="171"/>
        <w:rPr>
          <w:rFonts w:ascii="宋体" w:hAnsi="宋体" w:eastAsia="宋体"/>
          <w:color w:val="auto"/>
          <w:sz w:val="21"/>
          <w:szCs w:val="21"/>
          <w:highlight w:val="none"/>
        </w:rPr>
      </w:pPr>
    </w:p>
    <w:p>
      <w:pPr>
        <w:spacing w:after="0" w:line="360" w:lineRule="auto"/>
        <w:ind w:left="391" w:hanging="390" w:hangingChars="186"/>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注：1、投标总价栏须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大写金额和小写金额两种方式</w:t>
      </w:r>
      <w:r>
        <w:rPr>
          <w:rFonts w:ascii="宋体" w:hAnsi="宋体" w:eastAsia="宋体"/>
          <w:color w:val="auto"/>
          <w:sz w:val="21"/>
          <w:szCs w:val="21"/>
          <w:highlight w:val="none"/>
        </w:rPr>
        <w:t>表示的投标总价</w:t>
      </w:r>
      <w:r>
        <w:rPr>
          <w:rFonts w:hint="eastAsia" w:ascii="宋体" w:hAnsi="宋体" w:eastAsia="宋体"/>
          <w:color w:val="auto"/>
          <w:sz w:val="21"/>
          <w:szCs w:val="21"/>
          <w:highlight w:val="none"/>
        </w:rPr>
        <w:t>，报价保留小数点后两位。投标总价大小写不一致，以大写为准。投标总价必须准确唯一且应包含招标文件要求的所有费用。</w:t>
      </w:r>
    </w:p>
    <w:p>
      <w:pPr>
        <w:spacing w:after="0" w:line="360" w:lineRule="auto"/>
        <w:ind w:left="374"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2、此表应按投标人须知的规定密封标记并与《授权委托书》、《投标保证金汇入情况说明》同密封单独提交。</w:t>
      </w:r>
    </w:p>
    <w:p>
      <w:pPr>
        <w:spacing w:after="0" w:line="360" w:lineRule="auto"/>
        <w:ind w:left="374"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3、未按招标文件要求报价、填写开标一览表是导致投标人废标的常见问题，请投标人仔细填写，认真核对。</w:t>
      </w:r>
    </w:p>
    <w:p>
      <w:pPr>
        <w:adjustRightInd/>
        <w:snapToGrid/>
        <w:spacing w:line="276" w:lineRule="auto"/>
        <w:rPr>
          <w:color w:val="auto"/>
          <w:highlight w:val="none"/>
        </w:rPr>
      </w:pPr>
    </w:p>
    <w:p>
      <w:pPr>
        <w:adjustRightInd/>
        <w:snapToGrid/>
        <w:spacing w:line="276" w:lineRule="auto"/>
        <w:rPr>
          <w:color w:val="auto"/>
          <w:highlight w:val="none"/>
        </w:rPr>
      </w:pPr>
      <w:r>
        <w:rPr>
          <w:color w:val="auto"/>
          <w:highlight w:val="none"/>
        </w:rPr>
        <w:br w:type="page"/>
      </w:r>
    </w:p>
    <w:p>
      <w:pPr>
        <w:pStyle w:val="6"/>
        <w:widowControl w:val="0"/>
        <w:overflowPunct w:val="0"/>
        <w:spacing w:before="0" w:after="0" w:line="240" w:lineRule="auto"/>
        <w:rPr>
          <w:rFonts w:ascii="宋体" w:hAnsi="宋体" w:eastAsia="宋体"/>
          <w:color w:val="auto"/>
          <w:sz w:val="21"/>
          <w:szCs w:val="21"/>
          <w:highlight w:val="none"/>
        </w:rPr>
      </w:pPr>
      <w:bookmarkStart w:id="94" w:name="_Toc3254"/>
      <w:r>
        <w:rPr>
          <w:rFonts w:hint="eastAsia" w:ascii="宋体" w:hAnsi="宋体" w:eastAsia="宋体"/>
          <w:color w:val="auto"/>
          <w:sz w:val="21"/>
          <w:szCs w:val="21"/>
          <w:highlight w:val="none"/>
        </w:rPr>
        <w:t xml:space="preserve">附件4. </w:t>
      </w:r>
      <w:r>
        <w:rPr>
          <w:rFonts w:hint="eastAsia" w:ascii="宋体" w:hAnsi="宋体" w:eastAsia="宋体" w:cs="Times New Roman"/>
          <w:color w:val="auto"/>
          <w:sz w:val="21"/>
          <w:szCs w:val="21"/>
          <w:highlight w:val="none"/>
        </w:rPr>
        <w:t>投标分项报价表格式</w:t>
      </w:r>
      <w:bookmarkEnd w:id="94"/>
    </w:p>
    <w:p>
      <w:pPr>
        <w:jc w:val="center"/>
        <w:rPr>
          <w:rFonts w:ascii="黑体" w:eastAsia="黑体"/>
          <w:color w:val="auto"/>
          <w:sz w:val="32"/>
          <w:szCs w:val="32"/>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货物（服务）分项报价表</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77"/>
        <w:gridCol w:w="1917"/>
        <w:gridCol w:w="1050"/>
        <w:gridCol w:w="1100"/>
        <w:gridCol w:w="1183"/>
        <w:gridCol w:w="1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817" w:type="dxa"/>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377" w:type="dxa"/>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货物（服务）名称</w:t>
            </w:r>
          </w:p>
        </w:tc>
        <w:tc>
          <w:tcPr>
            <w:tcW w:w="1917" w:type="dxa"/>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规格型号（服务内容）</w:t>
            </w:r>
          </w:p>
        </w:tc>
        <w:tc>
          <w:tcPr>
            <w:tcW w:w="1050" w:type="dxa"/>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数量</w:t>
            </w:r>
          </w:p>
        </w:tc>
        <w:tc>
          <w:tcPr>
            <w:tcW w:w="1100" w:type="dxa"/>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单价</w:t>
            </w:r>
          </w:p>
        </w:tc>
        <w:tc>
          <w:tcPr>
            <w:tcW w:w="1183" w:type="dxa"/>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服务要求</w:t>
            </w:r>
          </w:p>
        </w:tc>
        <w:tc>
          <w:tcPr>
            <w:tcW w:w="1078" w:type="dxa"/>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817" w:type="dxa"/>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w:t>
            </w:r>
          </w:p>
        </w:tc>
        <w:tc>
          <w:tcPr>
            <w:tcW w:w="1377" w:type="dxa"/>
            <w:vAlign w:val="center"/>
          </w:tcPr>
          <w:p>
            <w:pPr>
              <w:spacing w:before="100" w:beforeAutospacing="1" w:after="100" w:afterAutospacing="1"/>
              <w:rPr>
                <w:rFonts w:ascii="宋体" w:hAnsi="宋体" w:eastAsia="宋体"/>
                <w:color w:val="auto"/>
                <w:sz w:val="21"/>
                <w:szCs w:val="21"/>
                <w:highlight w:val="none"/>
              </w:rPr>
            </w:pPr>
          </w:p>
        </w:tc>
        <w:tc>
          <w:tcPr>
            <w:tcW w:w="1917" w:type="dxa"/>
            <w:vAlign w:val="center"/>
          </w:tcPr>
          <w:p>
            <w:pPr>
              <w:spacing w:before="100" w:beforeAutospacing="1" w:after="100" w:afterAutospacing="1"/>
              <w:jc w:val="center"/>
              <w:rPr>
                <w:rFonts w:ascii="宋体" w:hAnsi="宋体" w:eastAsia="宋体"/>
                <w:color w:val="auto"/>
                <w:sz w:val="21"/>
                <w:szCs w:val="21"/>
                <w:highlight w:val="none"/>
              </w:rPr>
            </w:pPr>
          </w:p>
        </w:tc>
        <w:tc>
          <w:tcPr>
            <w:tcW w:w="1050" w:type="dxa"/>
            <w:vAlign w:val="center"/>
          </w:tcPr>
          <w:p>
            <w:pPr>
              <w:spacing w:before="100" w:beforeAutospacing="1" w:after="100" w:afterAutospacing="1"/>
              <w:jc w:val="center"/>
              <w:rPr>
                <w:rFonts w:ascii="宋体" w:hAnsi="宋体" w:eastAsia="宋体"/>
                <w:color w:val="auto"/>
                <w:sz w:val="21"/>
                <w:szCs w:val="21"/>
                <w:highlight w:val="none"/>
              </w:rPr>
            </w:pPr>
          </w:p>
        </w:tc>
        <w:tc>
          <w:tcPr>
            <w:tcW w:w="1100" w:type="dxa"/>
            <w:vAlign w:val="center"/>
          </w:tcPr>
          <w:p>
            <w:pPr>
              <w:spacing w:before="100" w:beforeAutospacing="1" w:after="100" w:afterAutospacing="1"/>
              <w:jc w:val="center"/>
              <w:rPr>
                <w:rFonts w:ascii="宋体" w:hAnsi="宋体" w:eastAsia="宋体"/>
                <w:color w:val="auto"/>
                <w:sz w:val="21"/>
                <w:szCs w:val="21"/>
                <w:highlight w:val="none"/>
              </w:rPr>
            </w:pPr>
          </w:p>
        </w:tc>
        <w:tc>
          <w:tcPr>
            <w:tcW w:w="1183" w:type="dxa"/>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817" w:type="dxa"/>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2</w:t>
            </w:r>
          </w:p>
        </w:tc>
        <w:tc>
          <w:tcPr>
            <w:tcW w:w="1377" w:type="dxa"/>
            <w:vAlign w:val="center"/>
          </w:tcPr>
          <w:p>
            <w:pPr>
              <w:spacing w:before="100" w:beforeAutospacing="1" w:after="100" w:afterAutospacing="1"/>
              <w:rPr>
                <w:rFonts w:ascii="宋体" w:hAnsi="宋体" w:eastAsia="宋体"/>
                <w:color w:val="auto"/>
                <w:sz w:val="21"/>
                <w:szCs w:val="21"/>
                <w:highlight w:val="none"/>
              </w:rPr>
            </w:pPr>
          </w:p>
        </w:tc>
        <w:tc>
          <w:tcPr>
            <w:tcW w:w="1917" w:type="dxa"/>
            <w:vAlign w:val="center"/>
          </w:tcPr>
          <w:p>
            <w:pPr>
              <w:spacing w:before="100" w:beforeAutospacing="1" w:after="100" w:afterAutospacing="1"/>
              <w:jc w:val="center"/>
              <w:rPr>
                <w:rFonts w:ascii="宋体" w:hAnsi="宋体" w:eastAsia="宋体"/>
                <w:color w:val="auto"/>
                <w:sz w:val="21"/>
                <w:szCs w:val="21"/>
                <w:highlight w:val="none"/>
              </w:rPr>
            </w:pPr>
          </w:p>
        </w:tc>
        <w:tc>
          <w:tcPr>
            <w:tcW w:w="1050" w:type="dxa"/>
            <w:vAlign w:val="center"/>
          </w:tcPr>
          <w:p>
            <w:pPr>
              <w:spacing w:before="100" w:beforeAutospacing="1" w:after="100" w:afterAutospacing="1"/>
              <w:jc w:val="center"/>
              <w:rPr>
                <w:rFonts w:ascii="宋体" w:hAnsi="宋体" w:eastAsia="宋体"/>
                <w:color w:val="auto"/>
                <w:sz w:val="21"/>
                <w:szCs w:val="21"/>
                <w:highlight w:val="none"/>
              </w:rPr>
            </w:pPr>
          </w:p>
        </w:tc>
        <w:tc>
          <w:tcPr>
            <w:tcW w:w="1100" w:type="dxa"/>
            <w:vAlign w:val="center"/>
          </w:tcPr>
          <w:p>
            <w:pPr>
              <w:spacing w:before="100" w:beforeAutospacing="1" w:after="100" w:afterAutospacing="1"/>
              <w:jc w:val="center"/>
              <w:rPr>
                <w:rFonts w:ascii="宋体" w:hAnsi="宋体" w:eastAsia="宋体"/>
                <w:color w:val="auto"/>
                <w:sz w:val="21"/>
                <w:szCs w:val="21"/>
                <w:highlight w:val="none"/>
              </w:rPr>
            </w:pPr>
          </w:p>
        </w:tc>
        <w:tc>
          <w:tcPr>
            <w:tcW w:w="1183" w:type="dxa"/>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817" w:type="dxa"/>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3</w:t>
            </w:r>
          </w:p>
        </w:tc>
        <w:tc>
          <w:tcPr>
            <w:tcW w:w="1377" w:type="dxa"/>
            <w:vAlign w:val="center"/>
          </w:tcPr>
          <w:p>
            <w:pPr>
              <w:spacing w:before="100" w:beforeAutospacing="1" w:after="100" w:afterAutospacing="1"/>
              <w:rPr>
                <w:rFonts w:ascii="宋体" w:hAnsi="宋体" w:eastAsia="宋体"/>
                <w:color w:val="auto"/>
                <w:sz w:val="21"/>
                <w:szCs w:val="21"/>
                <w:highlight w:val="none"/>
              </w:rPr>
            </w:pPr>
          </w:p>
        </w:tc>
        <w:tc>
          <w:tcPr>
            <w:tcW w:w="1917" w:type="dxa"/>
            <w:vAlign w:val="center"/>
          </w:tcPr>
          <w:p>
            <w:pPr>
              <w:spacing w:before="100" w:beforeAutospacing="1" w:after="100" w:afterAutospacing="1"/>
              <w:jc w:val="center"/>
              <w:rPr>
                <w:rFonts w:ascii="宋体" w:hAnsi="宋体" w:eastAsia="宋体"/>
                <w:color w:val="auto"/>
                <w:sz w:val="21"/>
                <w:szCs w:val="21"/>
                <w:highlight w:val="none"/>
              </w:rPr>
            </w:pPr>
          </w:p>
        </w:tc>
        <w:tc>
          <w:tcPr>
            <w:tcW w:w="1050" w:type="dxa"/>
            <w:vAlign w:val="center"/>
          </w:tcPr>
          <w:p>
            <w:pPr>
              <w:spacing w:before="100" w:beforeAutospacing="1" w:after="100" w:afterAutospacing="1"/>
              <w:jc w:val="center"/>
              <w:rPr>
                <w:rFonts w:ascii="宋体" w:hAnsi="宋体" w:eastAsia="宋体"/>
                <w:color w:val="auto"/>
                <w:sz w:val="21"/>
                <w:szCs w:val="21"/>
                <w:highlight w:val="none"/>
              </w:rPr>
            </w:pPr>
          </w:p>
        </w:tc>
        <w:tc>
          <w:tcPr>
            <w:tcW w:w="1100" w:type="dxa"/>
            <w:vAlign w:val="center"/>
          </w:tcPr>
          <w:p>
            <w:pPr>
              <w:spacing w:before="100" w:beforeAutospacing="1" w:after="100" w:afterAutospacing="1"/>
              <w:jc w:val="center"/>
              <w:rPr>
                <w:rFonts w:ascii="宋体" w:hAnsi="宋体" w:eastAsia="宋体"/>
                <w:color w:val="auto"/>
                <w:sz w:val="21"/>
                <w:szCs w:val="21"/>
                <w:highlight w:val="none"/>
              </w:rPr>
            </w:pPr>
          </w:p>
        </w:tc>
        <w:tc>
          <w:tcPr>
            <w:tcW w:w="1183" w:type="dxa"/>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6261" w:type="dxa"/>
            <w:gridSpan w:val="5"/>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总价</w:t>
            </w:r>
          </w:p>
        </w:tc>
        <w:tc>
          <w:tcPr>
            <w:tcW w:w="2261" w:type="dxa"/>
            <w:gridSpan w:val="2"/>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trPr>
        <w:tc>
          <w:tcPr>
            <w:tcW w:w="8522" w:type="dxa"/>
            <w:gridSpan w:val="7"/>
            <w:vAlign w:val="center"/>
          </w:tcPr>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tc>
      </w:tr>
    </w:tbl>
    <w:p>
      <w:pPr>
        <w:rPr>
          <w:rFonts w:ascii="宋体" w:hAnsi="宋体" w:eastAsia="宋体" w:cs="宋体"/>
          <w:b/>
          <w:color w:val="auto"/>
          <w:sz w:val="21"/>
          <w:szCs w:val="21"/>
          <w:highlight w:val="none"/>
        </w:rPr>
      </w:pPr>
    </w:p>
    <w:p>
      <w:pPr>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br w:type="page"/>
      </w:r>
    </w:p>
    <w:p>
      <w:pPr>
        <w:jc w:val="center"/>
        <w:rPr>
          <w:rFonts w:ascii="黑体" w:eastAsia="黑体"/>
          <w:color w:val="auto"/>
          <w:sz w:val="32"/>
          <w:szCs w:val="32"/>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小型和微型企业（货物、承担的工程或者服务）列价表</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587"/>
        <w:gridCol w:w="1575"/>
        <w:gridCol w:w="1180"/>
        <w:gridCol w:w="778"/>
        <w:gridCol w:w="777"/>
        <w:gridCol w:w="778"/>
        <w:gridCol w:w="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87" w:type="dxa"/>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575" w:type="dxa"/>
            <w:vAlign w:val="center"/>
          </w:tcPr>
          <w:p>
            <w:pPr>
              <w:spacing w:after="0"/>
              <w:ind w:hanging="148"/>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品牌及原产地</w:t>
            </w:r>
          </w:p>
        </w:tc>
        <w:tc>
          <w:tcPr>
            <w:tcW w:w="1180" w:type="dxa"/>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778" w:type="dxa"/>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777" w:type="dxa"/>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778" w:type="dxa"/>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972" w:type="dxa"/>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trPr>
        <w:tc>
          <w:tcPr>
            <w:tcW w:w="875" w:type="dxa"/>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587" w:type="dxa"/>
            <w:vAlign w:val="center"/>
          </w:tcPr>
          <w:p>
            <w:pPr>
              <w:spacing w:after="0"/>
              <w:jc w:val="center"/>
              <w:textAlignment w:val="bottom"/>
              <w:rPr>
                <w:rFonts w:ascii="宋体" w:hAnsi="宋体" w:eastAsia="宋体" w:cs="宋体"/>
                <w:color w:val="auto"/>
                <w:sz w:val="21"/>
                <w:szCs w:val="21"/>
                <w:highlight w:val="none"/>
              </w:rPr>
            </w:pPr>
          </w:p>
        </w:tc>
        <w:tc>
          <w:tcPr>
            <w:tcW w:w="1575" w:type="dxa"/>
            <w:vAlign w:val="center"/>
          </w:tcPr>
          <w:p>
            <w:pPr>
              <w:spacing w:after="0"/>
              <w:jc w:val="center"/>
              <w:textAlignment w:val="bottom"/>
              <w:rPr>
                <w:rFonts w:ascii="宋体" w:hAnsi="宋体" w:eastAsia="宋体" w:cs="宋体"/>
                <w:color w:val="auto"/>
                <w:sz w:val="21"/>
                <w:szCs w:val="21"/>
                <w:highlight w:val="none"/>
              </w:rPr>
            </w:pPr>
          </w:p>
        </w:tc>
        <w:tc>
          <w:tcPr>
            <w:tcW w:w="1180" w:type="dxa"/>
            <w:vAlign w:val="center"/>
          </w:tcPr>
          <w:p>
            <w:pPr>
              <w:spacing w:after="0"/>
              <w:jc w:val="center"/>
              <w:textAlignment w:val="bottom"/>
              <w:rPr>
                <w:rFonts w:ascii="宋体" w:hAnsi="宋体" w:eastAsia="宋体" w:cs="宋体"/>
                <w:color w:val="auto"/>
                <w:sz w:val="21"/>
                <w:szCs w:val="21"/>
                <w:highlight w:val="none"/>
              </w:rPr>
            </w:pPr>
          </w:p>
        </w:tc>
        <w:tc>
          <w:tcPr>
            <w:tcW w:w="778" w:type="dxa"/>
            <w:vAlign w:val="center"/>
          </w:tcPr>
          <w:p>
            <w:pPr>
              <w:spacing w:after="0"/>
              <w:jc w:val="center"/>
              <w:textAlignment w:val="bottom"/>
              <w:rPr>
                <w:rFonts w:ascii="宋体" w:hAnsi="宋体" w:eastAsia="宋体" w:cs="宋体"/>
                <w:color w:val="auto"/>
                <w:sz w:val="21"/>
                <w:szCs w:val="21"/>
                <w:highlight w:val="none"/>
              </w:rPr>
            </w:pPr>
          </w:p>
        </w:tc>
        <w:tc>
          <w:tcPr>
            <w:tcW w:w="777" w:type="dxa"/>
            <w:vAlign w:val="center"/>
          </w:tcPr>
          <w:p>
            <w:pPr>
              <w:spacing w:after="0"/>
              <w:jc w:val="center"/>
              <w:textAlignment w:val="bottom"/>
              <w:rPr>
                <w:rFonts w:ascii="宋体" w:hAnsi="宋体" w:eastAsia="宋体" w:cs="宋体"/>
                <w:color w:val="auto"/>
                <w:sz w:val="21"/>
                <w:szCs w:val="21"/>
                <w:highlight w:val="none"/>
              </w:rPr>
            </w:pPr>
          </w:p>
        </w:tc>
        <w:tc>
          <w:tcPr>
            <w:tcW w:w="778" w:type="dxa"/>
            <w:vAlign w:val="center"/>
          </w:tcPr>
          <w:p>
            <w:pPr>
              <w:spacing w:after="0"/>
              <w:jc w:val="center"/>
              <w:textAlignment w:val="bottom"/>
              <w:rPr>
                <w:rFonts w:ascii="宋体" w:hAnsi="宋体" w:eastAsia="宋体" w:cs="宋体"/>
                <w:color w:val="auto"/>
                <w:sz w:val="21"/>
                <w:szCs w:val="21"/>
                <w:highlight w:val="none"/>
              </w:rPr>
            </w:pPr>
          </w:p>
        </w:tc>
        <w:tc>
          <w:tcPr>
            <w:tcW w:w="972" w:type="dxa"/>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875" w:type="dxa"/>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587" w:type="dxa"/>
            <w:vAlign w:val="center"/>
          </w:tcPr>
          <w:p>
            <w:pPr>
              <w:spacing w:after="0"/>
              <w:jc w:val="center"/>
              <w:textAlignment w:val="bottom"/>
              <w:rPr>
                <w:rFonts w:ascii="宋体" w:hAnsi="宋体" w:eastAsia="宋体" w:cs="宋体"/>
                <w:color w:val="auto"/>
                <w:sz w:val="21"/>
                <w:szCs w:val="21"/>
                <w:highlight w:val="none"/>
              </w:rPr>
            </w:pPr>
          </w:p>
        </w:tc>
        <w:tc>
          <w:tcPr>
            <w:tcW w:w="1575" w:type="dxa"/>
            <w:vAlign w:val="center"/>
          </w:tcPr>
          <w:p>
            <w:pPr>
              <w:spacing w:after="0"/>
              <w:jc w:val="center"/>
              <w:textAlignment w:val="bottom"/>
              <w:rPr>
                <w:rFonts w:ascii="宋体" w:hAnsi="宋体" w:eastAsia="宋体" w:cs="宋体"/>
                <w:color w:val="auto"/>
                <w:sz w:val="21"/>
                <w:szCs w:val="21"/>
                <w:highlight w:val="none"/>
              </w:rPr>
            </w:pPr>
          </w:p>
        </w:tc>
        <w:tc>
          <w:tcPr>
            <w:tcW w:w="1180" w:type="dxa"/>
            <w:vAlign w:val="center"/>
          </w:tcPr>
          <w:p>
            <w:pPr>
              <w:spacing w:after="0"/>
              <w:jc w:val="center"/>
              <w:textAlignment w:val="bottom"/>
              <w:rPr>
                <w:rFonts w:ascii="宋体" w:hAnsi="宋体" w:eastAsia="宋体" w:cs="宋体"/>
                <w:color w:val="auto"/>
                <w:sz w:val="21"/>
                <w:szCs w:val="21"/>
                <w:highlight w:val="none"/>
              </w:rPr>
            </w:pPr>
          </w:p>
        </w:tc>
        <w:tc>
          <w:tcPr>
            <w:tcW w:w="778" w:type="dxa"/>
            <w:vAlign w:val="center"/>
          </w:tcPr>
          <w:p>
            <w:pPr>
              <w:spacing w:after="0"/>
              <w:jc w:val="center"/>
              <w:textAlignment w:val="bottom"/>
              <w:rPr>
                <w:rFonts w:ascii="宋体" w:hAnsi="宋体" w:eastAsia="宋体" w:cs="宋体"/>
                <w:color w:val="auto"/>
                <w:sz w:val="21"/>
                <w:szCs w:val="21"/>
                <w:highlight w:val="none"/>
              </w:rPr>
            </w:pPr>
          </w:p>
        </w:tc>
        <w:tc>
          <w:tcPr>
            <w:tcW w:w="777" w:type="dxa"/>
            <w:vAlign w:val="center"/>
          </w:tcPr>
          <w:p>
            <w:pPr>
              <w:spacing w:after="0"/>
              <w:jc w:val="center"/>
              <w:textAlignment w:val="bottom"/>
              <w:rPr>
                <w:rFonts w:ascii="宋体" w:hAnsi="宋体" w:eastAsia="宋体" w:cs="宋体"/>
                <w:color w:val="auto"/>
                <w:sz w:val="21"/>
                <w:szCs w:val="21"/>
                <w:highlight w:val="none"/>
              </w:rPr>
            </w:pPr>
          </w:p>
        </w:tc>
        <w:tc>
          <w:tcPr>
            <w:tcW w:w="778" w:type="dxa"/>
            <w:vAlign w:val="center"/>
          </w:tcPr>
          <w:p>
            <w:pPr>
              <w:spacing w:after="0"/>
              <w:jc w:val="center"/>
              <w:textAlignment w:val="bottom"/>
              <w:rPr>
                <w:rFonts w:ascii="宋体" w:hAnsi="宋体" w:eastAsia="宋体" w:cs="宋体"/>
                <w:color w:val="auto"/>
                <w:sz w:val="21"/>
                <w:szCs w:val="21"/>
                <w:highlight w:val="none"/>
              </w:rPr>
            </w:pPr>
          </w:p>
        </w:tc>
        <w:tc>
          <w:tcPr>
            <w:tcW w:w="972" w:type="dxa"/>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875" w:type="dxa"/>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587" w:type="dxa"/>
            <w:vAlign w:val="center"/>
          </w:tcPr>
          <w:p>
            <w:pPr>
              <w:spacing w:after="0"/>
              <w:jc w:val="center"/>
              <w:textAlignment w:val="bottom"/>
              <w:rPr>
                <w:rFonts w:ascii="宋体" w:hAnsi="宋体" w:eastAsia="宋体" w:cs="宋体"/>
                <w:color w:val="auto"/>
                <w:sz w:val="21"/>
                <w:szCs w:val="21"/>
                <w:highlight w:val="none"/>
              </w:rPr>
            </w:pPr>
          </w:p>
        </w:tc>
        <w:tc>
          <w:tcPr>
            <w:tcW w:w="1575" w:type="dxa"/>
            <w:vAlign w:val="center"/>
          </w:tcPr>
          <w:p>
            <w:pPr>
              <w:spacing w:after="0"/>
              <w:jc w:val="center"/>
              <w:textAlignment w:val="bottom"/>
              <w:rPr>
                <w:rFonts w:ascii="宋体" w:hAnsi="宋体" w:eastAsia="宋体" w:cs="宋体"/>
                <w:color w:val="auto"/>
                <w:sz w:val="21"/>
                <w:szCs w:val="21"/>
                <w:highlight w:val="none"/>
              </w:rPr>
            </w:pPr>
          </w:p>
        </w:tc>
        <w:tc>
          <w:tcPr>
            <w:tcW w:w="1180" w:type="dxa"/>
            <w:vAlign w:val="center"/>
          </w:tcPr>
          <w:p>
            <w:pPr>
              <w:spacing w:after="0"/>
              <w:jc w:val="center"/>
              <w:textAlignment w:val="bottom"/>
              <w:rPr>
                <w:rFonts w:ascii="宋体" w:hAnsi="宋体" w:eastAsia="宋体" w:cs="宋体"/>
                <w:color w:val="auto"/>
                <w:sz w:val="21"/>
                <w:szCs w:val="21"/>
                <w:highlight w:val="none"/>
              </w:rPr>
            </w:pPr>
          </w:p>
        </w:tc>
        <w:tc>
          <w:tcPr>
            <w:tcW w:w="778" w:type="dxa"/>
            <w:vAlign w:val="center"/>
          </w:tcPr>
          <w:p>
            <w:pPr>
              <w:spacing w:after="0"/>
              <w:jc w:val="center"/>
              <w:textAlignment w:val="bottom"/>
              <w:rPr>
                <w:rFonts w:ascii="宋体" w:hAnsi="宋体" w:eastAsia="宋体" w:cs="宋体"/>
                <w:color w:val="auto"/>
                <w:sz w:val="21"/>
                <w:szCs w:val="21"/>
                <w:highlight w:val="none"/>
              </w:rPr>
            </w:pPr>
          </w:p>
        </w:tc>
        <w:tc>
          <w:tcPr>
            <w:tcW w:w="777" w:type="dxa"/>
            <w:vAlign w:val="center"/>
          </w:tcPr>
          <w:p>
            <w:pPr>
              <w:spacing w:after="0"/>
              <w:jc w:val="center"/>
              <w:textAlignment w:val="bottom"/>
              <w:rPr>
                <w:rFonts w:ascii="宋体" w:hAnsi="宋体" w:eastAsia="宋体" w:cs="宋体"/>
                <w:color w:val="auto"/>
                <w:sz w:val="21"/>
                <w:szCs w:val="21"/>
                <w:highlight w:val="none"/>
              </w:rPr>
            </w:pPr>
          </w:p>
        </w:tc>
        <w:tc>
          <w:tcPr>
            <w:tcW w:w="778" w:type="dxa"/>
            <w:vAlign w:val="center"/>
          </w:tcPr>
          <w:p>
            <w:pPr>
              <w:spacing w:after="0"/>
              <w:jc w:val="center"/>
              <w:textAlignment w:val="bottom"/>
              <w:rPr>
                <w:rFonts w:ascii="宋体" w:hAnsi="宋体" w:eastAsia="宋体" w:cs="宋体"/>
                <w:color w:val="auto"/>
                <w:sz w:val="21"/>
                <w:szCs w:val="21"/>
                <w:highlight w:val="none"/>
              </w:rPr>
            </w:pPr>
          </w:p>
        </w:tc>
        <w:tc>
          <w:tcPr>
            <w:tcW w:w="972" w:type="dxa"/>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75" w:type="dxa"/>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587" w:type="dxa"/>
            <w:vAlign w:val="center"/>
          </w:tcPr>
          <w:p>
            <w:pPr>
              <w:spacing w:after="0"/>
              <w:jc w:val="center"/>
              <w:textAlignment w:val="bottom"/>
              <w:rPr>
                <w:rFonts w:ascii="宋体" w:hAnsi="宋体" w:eastAsia="宋体" w:cs="宋体"/>
                <w:color w:val="auto"/>
                <w:sz w:val="21"/>
                <w:szCs w:val="21"/>
                <w:highlight w:val="none"/>
              </w:rPr>
            </w:pPr>
          </w:p>
        </w:tc>
        <w:tc>
          <w:tcPr>
            <w:tcW w:w="1575" w:type="dxa"/>
            <w:vAlign w:val="center"/>
          </w:tcPr>
          <w:p>
            <w:pPr>
              <w:spacing w:after="0"/>
              <w:jc w:val="center"/>
              <w:textAlignment w:val="bottom"/>
              <w:rPr>
                <w:rFonts w:ascii="宋体" w:hAnsi="宋体" w:eastAsia="宋体" w:cs="宋体"/>
                <w:color w:val="auto"/>
                <w:sz w:val="21"/>
                <w:szCs w:val="21"/>
                <w:highlight w:val="none"/>
              </w:rPr>
            </w:pPr>
          </w:p>
        </w:tc>
        <w:tc>
          <w:tcPr>
            <w:tcW w:w="1180" w:type="dxa"/>
            <w:vAlign w:val="center"/>
          </w:tcPr>
          <w:p>
            <w:pPr>
              <w:spacing w:after="0"/>
              <w:jc w:val="center"/>
              <w:textAlignment w:val="bottom"/>
              <w:rPr>
                <w:rFonts w:ascii="宋体" w:hAnsi="宋体" w:eastAsia="宋体" w:cs="宋体"/>
                <w:color w:val="auto"/>
                <w:sz w:val="21"/>
                <w:szCs w:val="21"/>
                <w:highlight w:val="none"/>
              </w:rPr>
            </w:pPr>
          </w:p>
        </w:tc>
        <w:tc>
          <w:tcPr>
            <w:tcW w:w="778" w:type="dxa"/>
            <w:vAlign w:val="center"/>
          </w:tcPr>
          <w:p>
            <w:pPr>
              <w:spacing w:after="0"/>
              <w:jc w:val="center"/>
              <w:textAlignment w:val="bottom"/>
              <w:rPr>
                <w:rFonts w:ascii="宋体" w:hAnsi="宋体" w:eastAsia="宋体" w:cs="宋体"/>
                <w:color w:val="auto"/>
                <w:sz w:val="21"/>
                <w:szCs w:val="21"/>
                <w:highlight w:val="none"/>
              </w:rPr>
            </w:pPr>
          </w:p>
        </w:tc>
        <w:tc>
          <w:tcPr>
            <w:tcW w:w="777" w:type="dxa"/>
            <w:vAlign w:val="center"/>
          </w:tcPr>
          <w:p>
            <w:pPr>
              <w:spacing w:after="0"/>
              <w:jc w:val="center"/>
              <w:textAlignment w:val="bottom"/>
              <w:rPr>
                <w:rFonts w:ascii="宋体" w:hAnsi="宋体" w:eastAsia="宋体" w:cs="宋体"/>
                <w:color w:val="auto"/>
                <w:sz w:val="21"/>
                <w:szCs w:val="21"/>
                <w:highlight w:val="none"/>
              </w:rPr>
            </w:pPr>
          </w:p>
        </w:tc>
        <w:tc>
          <w:tcPr>
            <w:tcW w:w="778" w:type="dxa"/>
            <w:vAlign w:val="center"/>
          </w:tcPr>
          <w:p>
            <w:pPr>
              <w:spacing w:after="0"/>
              <w:jc w:val="center"/>
              <w:textAlignment w:val="bottom"/>
              <w:rPr>
                <w:rFonts w:ascii="宋体" w:hAnsi="宋体" w:eastAsia="宋体" w:cs="宋体"/>
                <w:color w:val="auto"/>
                <w:sz w:val="21"/>
                <w:szCs w:val="21"/>
                <w:highlight w:val="none"/>
              </w:rPr>
            </w:pPr>
          </w:p>
        </w:tc>
        <w:tc>
          <w:tcPr>
            <w:tcW w:w="972" w:type="dxa"/>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8" w:hRule="atLeast"/>
        </w:trPr>
        <w:tc>
          <w:tcPr>
            <w:tcW w:w="2462" w:type="dxa"/>
            <w:gridSpan w:val="2"/>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060" w:type="dxa"/>
            <w:gridSpan w:val="6"/>
            <w:vAlign w:val="center"/>
          </w:tcPr>
          <w:p>
            <w:pPr>
              <w:spacing w:after="0"/>
              <w:rPr>
                <w:rFonts w:ascii="宋体" w:hAnsi="宋体" w:eastAsia="宋体" w:cs="宋体"/>
                <w:color w:val="auto"/>
                <w:sz w:val="21"/>
                <w:szCs w:val="21"/>
                <w:highlight w:val="none"/>
              </w:rPr>
            </w:pPr>
            <w:r>
              <w:rPr>
                <w:rStyle w:val="40"/>
                <w:rFonts w:hint="eastAsia" w:ascii="宋体" w:hAnsi="宋体" w:eastAsia="宋体" w:cs="宋体"/>
                <w:color w:val="auto"/>
                <w:sz w:val="21"/>
                <w:szCs w:val="21"/>
                <w:highlight w:val="none"/>
              </w:rPr>
              <w:t>￥    元（大写人民币       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18" w:hRule="atLeast"/>
        </w:trPr>
        <w:tc>
          <w:tcPr>
            <w:tcW w:w="8522" w:type="dxa"/>
            <w:gridSpan w:val="8"/>
            <w:vAlign w:val="center"/>
          </w:tcPr>
          <w:p>
            <w:pPr>
              <w:spacing w:after="0"/>
              <w:rPr>
                <w:rStyle w:val="40"/>
                <w:rFonts w:ascii="宋体" w:hAnsi="宋体" w:eastAsia="宋体" w:cs="宋体"/>
                <w:b/>
                <w:color w:val="auto"/>
                <w:sz w:val="21"/>
                <w:szCs w:val="21"/>
                <w:highlight w:val="none"/>
              </w:rPr>
            </w:pPr>
            <w:r>
              <w:rPr>
                <w:rStyle w:val="40"/>
                <w:rFonts w:hint="eastAsia" w:ascii="宋体" w:hAnsi="宋体" w:eastAsia="宋体" w:cs="宋体"/>
                <w:b/>
                <w:color w:val="auto"/>
                <w:sz w:val="21"/>
                <w:szCs w:val="21"/>
                <w:highlight w:val="none"/>
              </w:rPr>
              <w:t>注：1、投标人在“货物（服务）分项报价表”中的报价内容中，如有属于</w:t>
            </w:r>
            <w:r>
              <w:rPr>
                <w:rFonts w:hint="eastAsia" w:ascii="宋体" w:hAnsi="宋体" w:eastAsia="宋体" w:cs="宋体"/>
                <w:b/>
                <w:color w:val="auto"/>
                <w:sz w:val="21"/>
                <w:szCs w:val="21"/>
                <w:highlight w:val="none"/>
              </w:rPr>
              <w:t>小型和微型企业产品（货物、承担的工程或者服务）的，必须在此表单独列明，否则在计算价格得分时不予以相应的扣除</w:t>
            </w:r>
            <w:r>
              <w:rPr>
                <w:rStyle w:val="40"/>
                <w:rFonts w:hint="eastAsia" w:ascii="宋体" w:hAnsi="宋体" w:eastAsia="宋体" w:cs="宋体"/>
                <w:b/>
                <w:color w:val="auto"/>
                <w:sz w:val="21"/>
                <w:szCs w:val="21"/>
                <w:highlight w:val="none"/>
              </w:rPr>
              <w:t>；</w:t>
            </w:r>
          </w:p>
          <w:p>
            <w:pPr>
              <w:tabs>
                <w:tab w:val="left" w:pos="284"/>
              </w:tabs>
              <w:spacing w:after="0"/>
              <w:rPr>
                <w:rStyle w:val="40"/>
                <w:rFonts w:ascii="宋体" w:hAnsi="宋体" w:eastAsia="宋体" w:cs="宋体"/>
                <w:b/>
                <w:color w:val="auto"/>
                <w:sz w:val="21"/>
                <w:szCs w:val="21"/>
                <w:highlight w:val="none"/>
              </w:rPr>
            </w:pPr>
            <w:r>
              <w:rPr>
                <w:rStyle w:val="40"/>
                <w:rFonts w:hint="eastAsia" w:ascii="宋体" w:hAnsi="宋体" w:eastAsia="宋体" w:cs="宋体"/>
                <w:b/>
                <w:color w:val="auto"/>
                <w:sz w:val="21"/>
                <w:szCs w:val="21"/>
                <w:highlight w:val="none"/>
              </w:rPr>
              <w:t>2、投标人应该如实填写，如投标人所投产品中无小型和微型企业产品的，请留空或删除此表！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7" w:hRule="atLeast"/>
        </w:trPr>
        <w:tc>
          <w:tcPr>
            <w:tcW w:w="8522" w:type="dxa"/>
            <w:gridSpan w:val="8"/>
            <w:vAlign w:val="center"/>
          </w:tcPr>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tabs>
                <w:tab w:val="left" w:pos="284"/>
              </w:tabs>
              <w:spacing w:after="0"/>
              <w:rPr>
                <w:rStyle w:val="40"/>
                <w:rFonts w:ascii="宋体" w:hAnsi="宋体" w:eastAsia="宋体" w:cs="宋体"/>
                <w:b/>
                <w:color w:val="auto"/>
                <w:sz w:val="21"/>
                <w:szCs w:val="21"/>
                <w:highlight w:val="none"/>
              </w:rPr>
            </w:pPr>
            <w:r>
              <w:rPr>
                <w:rFonts w:hint="eastAsia" w:ascii="宋体" w:hAnsi="宋体" w:eastAsia="宋体"/>
                <w:color w:val="auto"/>
                <w:sz w:val="21"/>
                <w:szCs w:val="21"/>
                <w:highlight w:val="none"/>
              </w:rPr>
              <w:t>日期：</w:t>
            </w:r>
          </w:p>
        </w:tc>
      </w:tr>
    </w:tbl>
    <w:p>
      <w:pPr>
        <w:pStyle w:val="30"/>
        <w:spacing w:after="0" w:line="360" w:lineRule="auto"/>
        <w:ind w:firstLine="0" w:firstLineChars="0"/>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jc w:val="center"/>
        <w:rPr>
          <w:rFonts w:ascii="黑体" w:eastAsia="黑体"/>
          <w:color w:val="auto"/>
          <w:sz w:val="32"/>
          <w:szCs w:val="32"/>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节能产品或环境标志产品列价表</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81" w:type="dxa"/>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316" w:type="dxa"/>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1067" w:type="dxa"/>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150" w:type="dxa"/>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850" w:type="dxa"/>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833" w:type="dxa"/>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c>
          <w:tcPr>
            <w:tcW w:w="1050" w:type="dxa"/>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认证机构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trPr>
        <w:tc>
          <w:tcPr>
            <w:tcW w:w="875" w:type="dxa"/>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381" w:type="dxa"/>
            <w:vAlign w:val="center"/>
          </w:tcPr>
          <w:p>
            <w:pPr>
              <w:spacing w:after="0"/>
              <w:jc w:val="center"/>
              <w:textAlignment w:val="bottom"/>
              <w:rPr>
                <w:rFonts w:ascii="宋体" w:hAnsi="宋体" w:eastAsia="宋体" w:cs="宋体"/>
                <w:color w:val="auto"/>
                <w:sz w:val="21"/>
                <w:szCs w:val="21"/>
                <w:highlight w:val="none"/>
              </w:rPr>
            </w:pPr>
          </w:p>
        </w:tc>
        <w:tc>
          <w:tcPr>
            <w:tcW w:w="1316" w:type="dxa"/>
            <w:vAlign w:val="center"/>
          </w:tcPr>
          <w:p>
            <w:pPr>
              <w:spacing w:after="0"/>
              <w:jc w:val="center"/>
              <w:textAlignment w:val="bottom"/>
              <w:rPr>
                <w:rFonts w:ascii="宋体" w:hAnsi="宋体" w:eastAsia="宋体" w:cs="宋体"/>
                <w:color w:val="auto"/>
                <w:sz w:val="21"/>
                <w:szCs w:val="21"/>
                <w:highlight w:val="none"/>
              </w:rPr>
            </w:pPr>
          </w:p>
        </w:tc>
        <w:tc>
          <w:tcPr>
            <w:tcW w:w="1067" w:type="dxa"/>
            <w:vAlign w:val="center"/>
          </w:tcPr>
          <w:p>
            <w:pPr>
              <w:spacing w:after="0"/>
              <w:jc w:val="center"/>
              <w:textAlignment w:val="bottom"/>
              <w:rPr>
                <w:rFonts w:ascii="宋体" w:hAnsi="宋体" w:eastAsia="宋体" w:cs="宋体"/>
                <w:color w:val="auto"/>
                <w:sz w:val="21"/>
                <w:szCs w:val="21"/>
                <w:highlight w:val="none"/>
              </w:rPr>
            </w:pPr>
          </w:p>
        </w:tc>
        <w:tc>
          <w:tcPr>
            <w:tcW w:w="1150" w:type="dxa"/>
            <w:vAlign w:val="center"/>
          </w:tcPr>
          <w:p>
            <w:pPr>
              <w:spacing w:after="0"/>
              <w:jc w:val="center"/>
              <w:textAlignment w:val="bottom"/>
              <w:rPr>
                <w:rFonts w:ascii="宋体" w:hAnsi="宋体" w:eastAsia="宋体" w:cs="宋体"/>
                <w:color w:val="auto"/>
                <w:sz w:val="21"/>
                <w:szCs w:val="21"/>
                <w:highlight w:val="none"/>
              </w:rPr>
            </w:pPr>
          </w:p>
        </w:tc>
        <w:tc>
          <w:tcPr>
            <w:tcW w:w="850" w:type="dxa"/>
            <w:vAlign w:val="center"/>
          </w:tcPr>
          <w:p>
            <w:pPr>
              <w:spacing w:after="0"/>
              <w:jc w:val="center"/>
              <w:textAlignment w:val="bottom"/>
              <w:rPr>
                <w:rFonts w:ascii="宋体" w:hAnsi="宋体" w:eastAsia="宋体" w:cs="宋体"/>
                <w:color w:val="auto"/>
                <w:sz w:val="21"/>
                <w:szCs w:val="21"/>
                <w:highlight w:val="none"/>
              </w:rPr>
            </w:pPr>
          </w:p>
        </w:tc>
        <w:tc>
          <w:tcPr>
            <w:tcW w:w="833" w:type="dxa"/>
            <w:vAlign w:val="center"/>
          </w:tcPr>
          <w:p>
            <w:pPr>
              <w:spacing w:after="0"/>
              <w:jc w:val="center"/>
              <w:textAlignment w:val="bottom"/>
              <w:rPr>
                <w:rFonts w:ascii="宋体" w:hAnsi="宋体" w:eastAsia="宋体" w:cs="宋体"/>
                <w:color w:val="auto"/>
                <w:sz w:val="21"/>
                <w:szCs w:val="21"/>
                <w:highlight w:val="none"/>
              </w:rPr>
            </w:pPr>
          </w:p>
        </w:tc>
        <w:tc>
          <w:tcPr>
            <w:tcW w:w="1050" w:type="dxa"/>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875" w:type="dxa"/>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381" w:type="dxa"/>
            <w:vAlign w:val="center"/>
          </w:tcPr>
          <w:p>
            <w:pPr>
              <w:spacing w:after="0"/>
              <w:jc w:val="center"/>
              <w:textAlignment w:val="bottom"/>
              <w:rPr>
                <w:rFonts w:ascii="宋体" w:hAnsi="宋体" w:eastAsia="宋体" w:cs="宋体"/>
                <w:color w:val="auto"/>
                <w:sz w:val="21"/>
                <w:szCs w:val="21"/>
                <w:highlight w:val="none"/>
              </w:rPr>
            </w:pPr>
          </w:p>
        </w:tc>
        <w:tc>
          <w:tcPr>
            <w:tcW w:w="1316" w:type="dxa"/>
            <w:vAlign w:val="center"/>
          </w:tcPr>
          <w:p>
            <w:pPr>
              <w:spacing w:after="0"/>
              <w:jc w:val="center"/>
              <w:textAlignment w:val="bottom"/>
              <w:rPr>
                <w:rFonts w:ascii="宋体" w:hAnsi="宋体" w:eastAsia="宋体" w:cs="宋体"/>
                <w:color w:val="auto"/>
                <w:sz w:val="21"/>
                <w:szCs w:val="21"/>
                <w:highlight w:val="none"/>
              </w:rPr>
            </w:pPr>
          </w:p>
        </w:tc>
        <w:tc>
          <w:tcPr>
            <w:tcW w:w="1067" w:type="dxa"/>
            <w:vAlign w:val="center"/>
          </w:tcPr>
          <w:p>
            <w:pPr>
              <w:spacing w:after="0"/>
              <w:jc w:val="center"/>
              <w:textAlignment w:val="bottom"/>
              <w:rPr>
                <w:rFonts w:ascii="宋体" w:hAnsi="宋体" w:eastAsia="宋体" w:cs="宋体"/>
                <w:color w:val="auto"/>
                <w:sz w:val="21"/>
                <w:szCs w:val="21"/>
                <w:highlight w:val="none"/>
              </w:rPr>
            </w:pPr>
          </w:p>
        </w:tc>
        <w:tc>
          <w:tcPr>
            <w:tcW w:w="1150" w:type="dxa"/>
            <w:vAlign w:val="center"/>
          </w:tcPr>
          <w:p>
            <w:pPr>
              <w:spacing w:after="0"/>
              <w:jc w:val="center"/>
              <w:textAlignment w:val="bottom"/>
              <w:rPr>
                <w:rFonts w:ascii="宋体" w:hAnsi="宋体" w:eastAsia="宋体" w:cs="宋体"/>
                <w:color w:val="auto"/>
                <w:sz w:val="21"/>
                <w:szCs w:val="21"/>
                <w:highlight w:val="none"/>
              </w:rPr>
            </w:pPr>
          </w:p>
        </w:tc>
        <w:tc>
          <w:tcPr>
            <w:tcW w:w="850" w:type="dxa"/>
            <w:vAlign w:val="center"/>
          </w:tcPr>
          <w:p>
            <w:pPr>
              <w:spacing w:after="0"/>
              <w:jc w:val="center"/>
              <w:textAlignment w:val="bottom"/>
              <w:rPr>
                <w:rFonts w:ascii="宋体" w:hAnsi="宋体" w:eastAsia="宋体" w:cs="宋体"/>
                <w:color w:val="auto"/>
                <w:sz w:val="21"/>
                <w:szCs w:val="21"/>
                <w:highlight w:val="none"/>
              </w:rPr>
            </w:pPr>
          </w:p>
        </w:tc>
        <w:tc>
          <w:tcPr>
            <w:tcW w:w="833" w:type="dxa"/>
            <w:vAlign w:val="center"/>
          </w:tcPr>
          <w:p>
            <w:pPr>
              <w:spacing w:after="0"/>
              <w:jc w:val="center"/>
              <w:textAlignment w:val="bottom"/>
              <w:rPr>
                <w:rFonts w:ascii="宋体" w:hAnsi="宋体" w:eastAsia="宋体" w:cs="宋体"/>
                <w:color w:val="auto"/>
                <w:sz w:val="21"/>
                <w:szCs w:val="21"/>
                <w:highlight w:val="none"/>
              </w:rPr>
            </w:pPr>
          </w:p>
        </w:tc>
        <w:tc>
          <w:tcPr>
            <w:tcW w:w="1050" w:type="dxa"/>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875" w:type="dxa"/>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381" w:type="dxa"/>
            <w:vAlign w:val="center"/>
          </w:tcPr>
          <w:p>
            <w:pPr>
              <w:spacing w:after="0"/>
              <w:jc w:val="center"/>
              <w:textAlignment w:val="bottom"/>
              <w:rPr>
                <w:rFonts w:ascii="宋体" w:hAnsi="宋体" w:eastAsia="宋体" w:cs="宋体"/>
                <w:color w:val="auto"/>
                <w:sz w:val="21"/>
                <w:szCs w:val="21"/>
                <w:highlight w:val="none"/>
              </w:rPr>
            </w:pPr>
          </w:p>
        </w:tc>
        <w:tc>
          <w:tcPr>
            <w:tcW w:w="1316" w:type="dxa"/>
            <w:vAlign w:val="center"/>
          </w:tcPr>
          <w:p>
            <w:pPr>
              <w:spacing w:after="0"/>
              <w:jc w:val="center"/>
              <w:textAlignment w:val="bottom"/>
              <w:rPr>
                <w:rFonts w:ascii="宋体" w:hAnsi="宋体" w:eastAsia="宋体" w:cs="宋体"/>
                <w:color w:val="auto"/>
                <w:sz w:val="21"/>
                <w:szCs w:val="21"/>
                <w:highlight w:val="none"/>
              </w:rPr>
            </w:pPr>
          </w:p>
        </w:tc>
        <w:tc>
          <w:tcPr>
            <w:tcW w:w="1067" w:type="dxa"/>
            <w:vAlign w:val="center"/>
          </w:tcPr>
          <w:p>
            <w:pPr>
              <w:spacing w:after="0"/>
              <w:jc w:val="center"/>
              <w:textAlignment w:val="bottom"/>
              <w:rPr>
                <w:rFonts w:ascii="宋体" w:hAnsi="宋体" w:eastAsia="宋体" w:cs="宋体"/>
                <w:color w:val="auto"/>
                <w:sz w:val="21"/>
                <w:szCs w:val="21"/>
                <w:highlight w:val="none"/>
              </w:rPr>
            </w:pPr>
          </w:p>
        </w:tc>
        <w:tc>
          <w:tcPr>
            <w:tcW w:w="1150" w:type="dxa"/>
            <w:vAlign w:val="center"/>
          </w:tcPr>
          <w:p>
            <w:pPr>
              <w:spacing w:after="0"/>
              <w:jc w:val="center"/>
              <w:textAlignment w:val="bottom"/>
              <w:rPr>
                <w:rFonts w:ascii="宋体" w:hAnsi="宋体" w:eastAsia="宋体" w:cs="宋体"/>
                <w:color w:val="auto"/>
                <w:sz w:val="21"/>
                <w:szCs w:val="21"/>
                <w:highlight w:val="none"/>
              </w:rPr>
            </w:pPr>
          </w:p>
        </w:tc>
        <w:tc>
          <w:tcPr>
            <w:tcW w:w="850" w:type="dxa"/>
            <w:vAlign w:val="center"/>
          </w:tcPr>
          <w:p>
            <w:pPr>
              <w:spacing w:after="0"/>
              <w:jc w:val="center"/>
              <w:textAlignment w:val="bottom"/>
              <w:rPr>
                <w:rFonts w:ascii="宋体" w:hAnsi="宋体" w:eastAsia="宋体" w:cs="宋体"/>
                <w:color w:val="auto"/>
                <w:sz w:val="21"/>
                <w:szCs w:val="21"/>
                <w:highlight w:val="none"/>
              </w:rPr>
            </w:pPr>
          </w:p>
        </w:tc>
        <w:tc>
          <w:tcPr>
            <w:tcW w:w="833" w:type="dxa"/>
            <w:vAlign w:val="center"/>
          </w:tcPr>
          <w:p>
            <w:pPr>
              <w:spacing w:after="0"/>
              <w:jc w:val="center"/>
              <w:textAlignment w:val="bottom"/>
              <w:rPr>
                <w:rFonts w:ascii="宋体" w:hAnsi="宋体" w:eastAsia="宋体" w:cs="宋体"/>
                <w:color w:val="auto"/>
                <w:sz w:val="21"/>
                <w:szCs w:val="21"/>
                <w:highlight w:val="none"/>
              </w:rPr>
            </w:pPr>
          </w:p>
        </w:tc>
        <w:tc>
          <w:tcPr>
            <w:tcW w:w="1050" w:type="dxa"/>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75" w:type="dxa"/>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381" w:type="dxa"/>
            <w:vAlign w:val="center"/>
          </w:tcPr>
          <w:p>
            <w:pPr>
              <w:spacing w:after="0"/>
              <w:jc w:val="center"/>
              <w:textAlignment w:val="bottom"/>
              <w:rPr>
                <w:rFonts w:ascii="宋体" w:hAnsi="宋体" w:eastAsia="宋体" w:cs="宋体"/>
                <w:color w:val="auto"/>
                <w:sz w:val="21"/>
                <w:szCs w:val="21"/>
                <w:highlight w:val="none"/>
              </w:rPr>
            </w:pPr>
          </w:p>
        </w:tc>
        <w:tc>
          <w:tcPr>
            <w:tcW w:w="1316" w:type="dxa"/>
            <w:vAlign w:val="center"/>
          </w:tcPr>
          <w:p>
            <w:pPr>
              <w:spacing w:after="0"/>
              <w:jc w:val="center"/>
              <w:textAlignment w:val="bottom"/>
              <w:rPr>
                <w:rFonts w:ascii="宋体" w:hAnsi="宋体" w:eastAsia="宋体" w:cs="宋体"/>
                <w:color w:val="auto"/>
                <w:sz w:val="21"/>
                <w:szCs w:val="21"/>
                <w:highlight w:val="none"/>
              </w:rPr>
            </w:pPr>
          </w:p>
        </w:tc>
        <w:tc>
          <w:tcPr>
            <w:tcW w:w="1067" w:type="dxa"/>
            <w:vAlign w:val="center"/>
          </w:tcPr>
          <w:p>
            <w:pPr>
              <w:spacing w:after="0"/>
              <w:jc w:val="center"/>
              <w:textAlignment w:val="bottom"/>
              <w:rPr>
                <w:rFonts w:ascii="宋体" w:hAnsi="宋体" w:eastAsia="宋体" w:cs="宋体"/>
                <w:color w:val="auto"/>
                <w:sz w:val="21"/>
                <w:szCs w:val="21"/>
                <w:highlight w:val="none"/>
              </w:rPr>
            </w:pPr>
          </w:p>
        </w:tc>
        <w:tc>
          <w:tcPr>
            <w:tcW w:w="1150" w:type="dxa"/>
            <w:vAlign w:val="center"/>
          </w:tcPr>
          <w:p>
            <w:pPr>
              <w:spacing w:after="0"/>
              <w:jc w:val="center"/>
              <w:textAlignment w:val="bottom"/>
              <w:rPr>
                <w:rFonts w:ascii="宋体" w:hAnsi="宋体" w:eastAsia="宋体" w:cs="宋体"/>
                <w:color w:val="auto"/>
                <w:sz w:val="21"/>
                <w:szCs w:val="21"/>
                <w:highlight w:val="none"/>
              </w:rPr>
            </w:pPr>
          </w:p>
        </w:tc>
        <w:tc>
          <w:tcPr>
            <w:tcW w:w="850" w:type="dxa"/>
            <w:vAlign w:val="center"/>
          </w:tcPr>
          <w:p>
            <w:pPr>
              <w:spacing w:after="0"/>
              <w:jc w:val="center"/>
              <w:textAlignment w:val="bottom"/>
              <w:rPr>
                <w:rFonts w:ascii="宋体" w:hAnsi="宋体" w:eastAsia="宋体" w:cs="宋体"/>
                <w:color w:val="auto"/>
                <w:sz w:val="21"/>
                <w:szCs w:val="21"/>
                <w:highlight w:val="none"/>
              </w:rPr>
            </w:pPr>
          </w:p>
        </w:tc>
        <w:tc>
          <w:tcPr>
            <w:tcW w:w="833" w:type="dxa"/>
            <w:vAlign w:val="center"/>
          </w:tcPr>
          <w:p>
            <w:pPr>
              <w:spacing w:after="0"/>
              <w:jc w:val="center"/>
              <w:textAlignment w:val="bottom"/>
              <w:rPr>
                <w:rFonts w:ascii="宋体" w:hAnsi="宋体" w:eastAsia="宋体" w:cs="宋体"/>
                <w:color w:val="auto"/>
                <w:sz w:val="21"/>
                <w:szCs w:val="21"/>
                <w:highlight w:val="none"/>
              </w:rPr>
            </w:pPr>
          </w:p>
        </w:tc>
        <w:tc>
          <w:tcPr>
            <w:tcW w:w="1050" w:type="dxa"/>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8" w:hRule="atLeast"/>
        </w:trPr>
        <w:tc>
          <w:tcPr>
            <w:tcW w:w="2256" w:type="dxa"/>
            <w:gridSpan w:val="2"/>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266" w:type="dxa"/>
            <w:gridSpan w:val="6"/>
            <w:vAlign w:val="center"/>
          </w:tcPr>
          <w:p>
            <w:pPr>
              <w:spacing w:after="0"/>
              <w:rPr>
                <w:rFonts w:ascii="宋体" w:hAnsi="宋体" w:eastAsia="宋体" w:cs="宋体"/>
                <w:color w:val="auto"/>
                <w:sz w:val="21"/>
                <w:szCs w:val="21"/>
                <w:highlight w:val="none"/>
              </w:rPr>
            </w:pPr>
            <w:r>
              <w:rPr>
                <w:rStyle w:val="40"/>
                <w:rFonts w:hint="eastAsia" w:ascii="宋体" w:hAnsi="宋体" w:eastAsia="宋体" w:cs="宋体"/>
                <w:color w:val="auto"/>
                <w:sz w:val="21"/>
                <w:szCs w:val="21"/>
                <w:highlight w:val="none"/>
              </w:rPr>
              <w:t>￥    元（大写人民币       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18" w:hRule="atLeast"/>
        </w:trPr>
        <w:tc>
          <w:tcPr>
            <w:tcW w:w="8522" w:type="dxa"/>
            <w:gridSpan w:val="8"/>
            <w:vAlign w:val="center"/>
          </w:tcPr>
          <w:p>
            <w:pPr>
              <w:tabs>
                <w:tab w:val="left" w:pos="284"/>
              </w:tabs>
              <w:spacing w:after="0"/>
              <w:rPr>
                <w:rStyle w:val="40"/>
                <w:rFonts w:ascii="宋体" w:hAnsi="宋体" w:eastAsia="宋体" w:cs="宋体"/>
                <w:b/>
                <w:color w:val="auto"/>
                <w:sz w:val="21"/>
                <w:szCs w:val="21"/>
                <w:highlight w:val="none"/>
              </w:rPr>
            </w:pPr>
            <w:r>
              <w:rPr>
                <w:rStyle w:val="40"/>
                <w:rFonts w:hint="eastAsia" w:ascii="宋体" w:hAnsi="宋体" w:eastAsia="宋体" w:cs="宋体"/>
                <w:b/>
                <w:color w:val="auto"/>
                <w:sz w:val="21"/>
                <w:szCs w:val="21"/>
                <w:highlight w:val="none"/>
              </w:rPr>
              <w:t>注：1、投标人在“货物（服务）分项报价表”中的报价内容中，如有属于节能产品或环境标志产的，必须在此表单独列明且提供相应的证明材料，否则在计算价格得分时不予以相应的扣除；</w:t>
            </w:r>
          </w:p>
          <w:p>
            <w:pPr>
              <w:tabs>
                <w:tab w:val="left" w:pos="284"/>
              </w:tabs>
              <w:spacing w:after="0"/>
              <w:rPr>
                <w:rStyle w:val="40"/>
                <w:rFonts w:ascii="宋体" w:hAnsi="宋体" w:eastAsia="宋体" w:cs="宋体"/>
                <w:b/>
                <w:color w:val="auto"/>
                <w:sz w:val="21"/>
                <w:szCs w:val="21"/>
                <w:highlight w:val="none"/>
              </w:rPr>
            </w:pPr>
            <w:r>
              <w:rPr>
                <w:rStyle w:val="40"/>
                <w:rFonts w:hint="eastAsia" w:ascii="宋体" w:hAnsi="宋体" w:eastAsia="宋体" w:cs="宋体"/>
                <w:b/>
                <w:color w:val="auto"/>
                <w:sz w:val="21"/>
                <w:szCs w:val="21"/>
                <w:highlight w:val="none"/>
              </w:rPr>
              <w:t>2、投标人应该如实填写，如投标人所投产品中无节能或环保产品的，请留空或删除此表！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7" w:hRule="atLeast"/>
        </w:trPr>
        <w:tc>
          <w:tcPr>
            <w:tcW w:w="8522" w:type="dxa"/>
            <w:gridSpan w:val="8"/>
            <w:vAlign w:val="center"/>
          </w:tcPr>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tabs>
                <w:tab w:val="left" w:pos="284"/>
              </w:tabs>
              <w:spacing w:after="0"/>
              <w:rPr>
                <w:rStyle w:val="40"/>
                <w:rFonts w:ascii="宋体" w:hAnsi="宋体" w:eastAsia="宋体" w:cs="宋体"/>
                <w:b/>
                <w:color w:val="auto"/>
                <w:sz w:val="21"/>
                <w:szCs w:val="21"/>
                <w:highlight w:val="none"/>
              </w:rPr>
            </w:pPr>
            <w:r>
              <w:rPr>
                <w:rFonts w:hint="eastAsia" w:ascii="宋体" w:hAnsi="宋体" w:eastAsia="宋体"/>
                <w:color w:val="auto"/>
                <w:sz w:val="21"/>
                <w:szCs w:val="21"/>
                <w:highlight w:val="none"/>
              </w:rPr>
              <w:t>日期：</w:t>
            </w:r>
          </w:p>
        </w:tc>
      </w:tr>
    </w:tbl>
    <w:p>
      <w:pPr>
        <w:jc w:val="both"/>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6"/>
        <w:widowControl w:val="0"/>
        <w:overflowPunct w:val="0"/>
        <w:spacing w:before="0" w:after="0" w:line="240" w:lineRule="auto"/>
        <w:rPr>
          <w:rFonts w:ascii="宋体" w:hAnsi="宋体" w:eastAsia="宋体"/>
          <w:color w:val="auto"/>
          <w:sz w:val="21"/>
          <w:szCs w:val="21"/>
          <w:highlight w:val="none"/>
        </w:rPr>
      </w:pPr>
      <w:bookmarkStart w:id="95" w:name="_Toc16412"/>
      <w:r>
        <w:rPr>
          <w:rFonts w:hint="eastAsia" w:ascii="宋体" w:hAnsi="宋体" w:eastAsia="宋体"/>
          <w:color w:val="auto"/>
          <w:sz w:val="21"/>
          <w:szCs w:val="21"/>
          <w:highlight w:val="none"/>
        </w:rPr>
        <w:t>附件5. 法定代表人证明书格式</w:t>
      </w:r>
      <w:bookmarkEnd w:id="95"/>
    </w:p>
    <w:p>
      <w:pPr>
        <w:rPr>
          <w:color w:val="auto"/>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法定代表人证明书</w:t>
      </w:r>
    </w:p>
    <w:p>
      <w:pPr>
        <w:pStyle w:val="33"/>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3"/>
        <w:spacing w:line="420" w:lineRule="atLeast"/>
        <w:ind w:firstLine="433"/>
        <w:rPr>
          <w:rFonts w:ascii="宋体" w:eastAsia="宋体"/>
          <w:color w:val="auto"/>
          <w:sz w:val="21"/>
          <w:szCs w:val="21"/>
          <w:highlight w:val="none"/>
        </w:rPr>
      </w:pPr>
    </w:p>
    <w:p>
      <w:pPr>
        <w:pStyle w:val="33"/>
        <w:spacing w:line="420" w:lineRule="atLeast"/>
        <w:ind w:firstLine="433"/>
        <w:rPr>
          <w:rFonts w:ascii="宋体" w:eastAsia="宋体"/>
          <w:color w:val="auto"/>
          <w:sz w:val="21"/>
          <w:szCs w:val="21"/>
          <w:highlight w:val="none"/>
          <w:u w:val="single"/>
        </w:rPr>
      </w:pPr>
      <w:r>
        <w:rPr>
          <w:rFonts w:hint="eastAsia" w:ascii="宋体" w:eastAsia="宋体"/>
          <w:color w:val="auto"/>
          <w:sz w:val="21"/>
          <w:szCs w:val="21"/>
          <w:highlight w:val="none"/>
        </w:rPr>
        <w:t>投标人名称:</w:t>
      </w:r>
    </w:p>
    <w:p>
      <w:pPr>
        <w:pStyle w:val="33"/>
        <w:spacing w:line="420" w:lineRule="atLeast"/>
        <w:ind w:firstLine="433"/>
        <w:rPr>
          <w:rFonts w:ascii="宋体" w:eastAsia="宋体"/>
          <w:color w:val="auto"/>
          <w:sz w:val="21"/>
          <w:szCs w:val="21"/>
          <w:highlight w:val="none"/>
          <w:u w:val="single"/>
        </w:rPr>
      </w:pPr>
      <w:r>
        <w:rPr>
          <w:rFonts w:hint="eastAsia" w:ascii="宋体" w:eastAsia="宋体"/>
          <w:color w:val="auto"/>
          <w:sz w:val="21"/>
          <w:szCs w:val="21"/>
          <w:highlight w:val="none"/>
        </w:rPr>
        <w:t>单 位 性质：</w:t>
      </w:r>
    </w:p>
    <w:p>
      <w:pPr>
        <w:pStyle w:val="33"/>
        <w:spacing w:line="420" w:lineRule="atLeast"/>
        <w:ind w:firstLine="433"/>
        <w:rPr>
          <w:rFonts w:ascii="宋体" w:eastAsia="宋体"/>
          <w:color w:val="auto"/>
          <w:sz w:val="21"/>
          <w:szCs w:val="21"/>
          <w:highlight w:val="none"/>
          <w:u w:val="single"/>
        </w:rPr>
      </w:pPr>
      <w:r>
        <w:rPr>
          <w:rFonts w:hint="eastAsia" w:ascii="宋体" w:eastAsia="宋体"/>
          <w:color w:val="auto"/>
          <w:sz w:val="21"/>
          <w:szCs w:val="21"/>
          <w:highlight w:val="none"/>
        </w:rPr>
        <w:t>地      址：</w:t>
      </w:r>
    </w:p>
    <w:p>
      <w:pPr>
        <w:pStyle w:val="33"/>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成 立 时间：年月日</w:t>
      </w:r>
    </w:p>
    <w:p>
      <w:pPr>
        <w:pStyle w:val="33"/>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经 营 期限：</w:t>
      </w:r>
    </w:p>
    <w:p>
      <w:pPr>
        <w:pStyle w:val="33"/>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姓名：性别：年龄：职务：</w:t>
      </w:r>
    </w:p>
    <w:p>
      <w:pPr>
        <w:pStyle w:val="33"/>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系（投标人名称）的法定代表人。</w:t>
      </w:r>
    </w:p>
    <w:p>
      <w:pPr>
        <w:spacing w:line="420" w:lineRule="atLeas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特此证明。</w:t>
      </w:r>
    </w:p>
    <w:p>
      <w:pPr>
        <w:pStyle w:val="33"/>
        <w:spacing w:line="500" w:lineRule="atLeast"/>
        <w:ind w:firstLine="3517" w:firstLineChars="1675"/>
        <w:rPr>
          <w:rFonts w:ascii="宋体" w:eastAsia="宋体"/>
          <w:color w:val="auto"/>
          <w:sz w:val="21"/>
          <w:szCs w:val="21"/>
          <w:highlight w:val="none"/>
        </w:rPr>
      </w:pPr>
    </w:p>
    <w:p>
      <w:pPr>
        <w:pStyle w:val="33"/>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投标人名称（加盖公章）：</w:t>
      </w:r>
    </w:p>
    <w:p>
      <w:pPr>
        <w:pStyle w:val="33"/>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法定代表人（签名或盖私章）：</w:t>
      </w:r>
    </w:p>
    <w:p>
      <w:pPr>
        <w:pStyle w:val="33"/>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法定代表人联系方式：</w:t>
      </w:r>
    </w:p>
    <w:p>
      <w:pPr>
        <w:pStyle w:val="33"/>
        <w:spacing w:line="500" w:lineRule="atLeast"/>
        <w:ind w:firstLine="3517" w:firstLineChars="1675"/>
        <w:rPr>
          <w:rFonts w:ascii="宋体" w:eastAsia="宋体"/>
          <w:color w:val="auto"/>
          <w:sz w:val="21"/>
          <w:szCs w:val="21"/>
          <w:highlight w:val="none"/>
          <w:u w:val="single"/>
        </w:rPr>
      </w:pPr>
      <w:r>
        <w:rPr>
          <w:rFonts w:hint="eastAsia" w:ascii="宋体" w:eastAsia="宋体"/>
          <w:color w:val="auto"/>
          <w:sz w:val="21"/>
          <w:szCs w:val="21"/>
          <w:highlight w:val="none"/>
        </w:rPr>
        <w:t>身份证号码：</w:t>
      </w:r>
    </w:p>
    <w:p>
      <w:pPr>
        <w:pStyle w:val="33"/>
        <w:spacing w:line="500" w:lineRule="atLeast"/>
        <w:ind w:firstLine="3507" w:firstLineChars="1670"/>
        <w:rPr>
          <w:rFonts w:ascii="宋体" w:eastAsia="宋体"/>
          <w:color w:val="auto"/>
          <w:sz w:val="21"/>
          <w:szCs w:val="21"/>
          <w:highlight w:val="none"/>
        </w:rPr>
      </w:pPr>
      <w:r>
        <w:rPr>
          <w:rFonts w:hint="eastAsia" w:ascii="宋体" w:eastAsia="宋体"/>
          <w:color w:val="auto"/>
          <w:sz w:val="21"/>
          <w:szCs w:val="21"/>
          <w:highlight w:val="none"/>
        </w:rPr>
        <w:t>日     期：年月日</w:t>
      </w:r>
    </w:p>
    <w:p>
      <w:pPr>
        <w:ind w:firstLine="420" w:firstLineChars="200"/>
        <w:rPr>
          <w:rFonts w:ascii="宋体" w:hAnsi="宋体" w:eastAsia="宋体"/>
          <w:color w:val="auto"/>
          <w:sz w:val="21"/>
          <w:szCs w:val="21"/>
          <w:highlight w:val="none"/>
        </w:rPr>
      </w:pPr>
    </w:p>
    <w:p>
      <w:pPr>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注：法定代表人身份证明书需附法人代表身份证复印件。</w:t>
      </w:r>
    </w:p>
    <w:tbl>
      <w:tblPr>
        <w:tblStyle w:val="21"/>
        <w:tblW w:w="8364"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182"/>
        <w:gridCol w:w="418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517" w:hRule="atLeast"/>
          <w:jc w:val="center"/>
        </w:trPr>
        <w:tc>
          <w:tcPr>
            <w:tcW w:w="4182" w:type="dxa"/>
            <w:vAlign w:val="center"/>
          </w:tcPr>
          <w:p>
            <w:pPr>
              <w:pStyle w:val="33"/>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正面</w:t>
            </w:r>
          </w:p>
        </w:tc>
        <w:tc>
          <w:tcPr>
            <w:tcW w:w="4182" w:type="dxa"/>
            <w:vAlign w:val="center"/>
          </w:tcPr>
          <w:p>
            <w:pPr>
              <w:pStyle w:val="33"/>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背面</w:t>
            </w:r>
          </w:p>
        </w:tc>
      </w:tr>
    </w:tbl>
    <w:p>
      <w:pPr>
        <w:rPr>
          <w:color w:val="auto"/>
          <w:highlight w:val="none"/>
        </w:rPr>
      </w:pPr>
    </w:p>
    <w:p>
      <w:pPr>
        <w:adjustRightInd/>
        <w:snapToGrid/>
        <w:spacing w:line="276" w:lineRule="auto"/>
        <w:rPr>
          <w:rFonts w:ascii="楷体_GB2312" w:eastAsia="楷体_GB2312" w:hAnsiTheme="majorHAnsi" w:cstheme="majorBidi"/>
          <w:b/>
          <w:bCs/>
          <w:color w:val="auto"/>
          <w:sz w:val="24"/>
          <w:szCs w:val="28"/>
          <w:highlight w:val="none"/>
        </w:rPr>
      </w:pPr>
      <w:r>
        <w:rPr>
          <w:rFonts w:ascii="楷体_GB2312" w:eastAsia="楷体_GB2312"/>
          <w:color w:val="auto"/>
          <w:sz w:val="24"/>
          <w:highlight w:val="none"/>
        </w:rPr>
        <w:br w:type="page"/>
      </w:r>
    </w:p>
    <w:p>
      <w:pPr>
        <w:pStyle w:val="6"/>
        <w:widowControl w:val="0"/>
        <w:overflowPunct w:val="0"/>
        <w:spacing w:before="0" w:after="0" w:line="240" w:lineRule="auto"/>
        <w:rPr>
          <w:color w:val="auto"/>
          <w:highlight w:val="none"/>
        </w:rPr>
      </w:pPr>
      <w:bookmarkStart w:id="96" w:name="_Toc31205"/>
      <w:r>
        <w:rPr>
          <w:rFonts w:hint="eastAsia" w:ascii="宋体" w:hAnsi="宋体" w:eastAsia="宋体"/>
          <w:color w:val="auto"/>
          <w:sz w:val="21"/>
          <w:szCs w:val="21"/>
          <w:highlight w:val="none"/>
        </w:rPr>
        <w:t>附件6.法定代表人授权书格式</w:t>
      </w:r>
      <w:bookmarkEnd w:id="96"/>
    </w:p>
    <w:p>
      <w:pPr>
        <w:rPr>
          <w:color w:val="auto"/>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法定代表人授权书</w:t>
      </w:r>
    </w:p>
    <w:p>
      <w:pPr>
        <w:pStyle w:val="33"/>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3"/>
        <w:spacing w:line="420" w:lineRule="atLeast"/>
        <w:ind w:firstLine="433"/>
        <w:rPr>
          <w:rFonts w:ascii="宋体" w:eastAsia="宋体"/>
          <w:color w:val="auto"/>
          <w:sz w:val="21"/>
          <w:szCs w:val="21"/>
          <w:highlight w:val="none"/>
        </w:rPr>
      </w:pPr>
    </w:p>
    <w:p>
      <w:pPr>
        <w:spacing w:after="0" w:line="360" w:lineRule="auto"/>
        <w:ind w:firstLine="420" w:firstLineChars="20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本授权书声明：注册于</w:t>
      </w:r>
      <w:r>
        <w:rPr>
          <w:rFonts w:hint="eastAsia" w:ascii="宋体" w:hAnsi="宋体" w:eastAsia="宋体" w:cs="Times New Roman"/>
          <w:color w:val="auto"/>
          <w:sz w:val="21"/>
          <w:szCs w:val="21"/>
          <w:highlight w:val="none"/>
          <w:u w:val="single"/>
        </w:rPr>
        <w:t>（国家或地区的名称）</w:t>
      </w:r>
      <w:r>
        <w:rPr>
          <w:rFonts w:hint="eastAsia" w:ascii="宋体" w:hAnsi="宋体" w:eastAsia="宋体" w:cs="Times New Roman"/>
          <w:color w:val="auto"/>
          <w:sz w:val="21"/>
          <w:szCs w:val="21"/>
          <w:highlight w:val="none"/>
        </w:rPr>
        <w:t>的</w:t>
      </w:r>
      <w:r>
        <w:rPr>
          <w:rFonts w:hint="eastAsia" w:ascii="宋体" w:hAnsi="宋体" w:eastAsia="宋体" w:cs="Times New Roman"/>
          <w:color w:val="auto"/>
          <w:sz w:val="21"/>
          <w:szCs w:val="21"/>
          <w:highlight w:val="none"/>
          <w:u w:val="single"/>
        </w:rPr>
        <w:t>（单位名称）</w:t>
      </w:r>
      <w:r>
        <w:rPr>
          <w:rFonts w:hint="eastAsia" w:ascii="宋体" w:hAnsi="宋体" w:eastAsia="宋体" w:cs="Times New Roman"/>
          <w:color w:val="auto"/>
          <w:sz w:val="21"/>
          <w:szCs w:val="21"/>
          <w:highlight w:val="none"/>
        </w:rPr>
        <w:t>的在下面签字的</w:t>
      </w:r>
      <w:r>
        <w:rPr>
          <w:rFonts w:hint="eastAsia" w:ascii="宋体" w:hAnsi="宋体" w:eastAsia="宋体" w:cs="Times New Roman"/>
          <w:color w:val="auto"/>
          <w:sz w:val="21"/>
          <w:szCs w:val="21"/>
          <w:highlight w:val="none"/>
          <w:u w:val="single"/>
        </w:rPr>
        <w:t>（法定代表人姓名、职务）</w:t>
      </w:r>
      <w:r>
        <w:rPr>
          <w:rFonts w:hint="eastAsia" w:ascii="宋体" w:hAnsi="宋体" w:eastAsia="宋体" w:cs="Times New Roman"/>
          <w:color w:val="auto"/>
          <w:sz w:val="21"/>
          <w:szCs w:val="21"/>
          <w:highlight w:val="none"/>
        </w:rPr>
        <w:t>代表本单位授权</w:t>
      </w:r>
      <w:r>
        <w:rPr>
          <w:rFonts w:hint="eastAsia" w:ascii="宋体" w:hAnsi="宋体" w:eastAsia="宋体" w:cs="Times New Roman"/>
          <w:color w:val="auto"/>
          <w:sz w:val="21"/>
          <w:szCs w:val="21"/>
          <w:highlight w:val="none"/>
          <w:u w:val="single"/>
        </w:rPr>
        <w:t>（单位名称）</w:t>
      </w:r>
      <w:r>
        <w:rPr>
          <w:rFonts w:hint="eastAsia" w:ascii="宋体" w:hAnsi="宋体" w:eastAsia="宋体" w:cs="Times New Roman"/>
          <w:color w:val="auto"/>
          <w:sz w:val="21"/>
          <w:szCs w:val="21"/>
          <w:highlight w:val="none"/>
        </w:rPr>
        <w:t>的在下面签字的</w:t>
      </w:r>
      <w:r>
        <w:rPr>
          <w:rFonts w:hint="eastAsia" w:ascii="宋体" w:hAnsi="宋体" w:eastAsia="宋体" w:cs="Times New Roman"/>
          <w:color w:val="auto"/>
          <w:sz w:val="21"/>
          <w:szCs w:val="21"/>
          <w:highlight w:val="none"/>
          <w:u w:val="single"/>
        </w:rPr>
        <w:t>（被授权人的姓名、职务）</w:t>
      </w:r>
      <w:r>
        <w:rPr>
          <w:rFonts w:hint="eastAsia" w:ascii="宋体" w:hAnsi="宋体" w:eastAsia="宋体" w:cs="Times New Roman"/>
          <w:color w:val="auto"/>
          <w:sz w:val="21"/>
          <w:szCs w:val="21"/>
          <w:highlight w:val="none"/>
        </w:rPr>
        <w:t>为本单位的合法代理人，就</w:t>
      </w:r>
      <w:r>
        <w:rPr>
          <w:rFonts w:hint="eastAsia" w:ascii="宋体" w:hAnsi="宋体" w:eastAsia="宋体" w:cs="Times New Roman"/>
          <w:color w:val="auto"/>
          <w:sz w:val="21"/>
          <w:szCs w:val="21"/>
          <w:highlight w:val="none"/>
          <w:u w:val="single"/>
        </w:rPr>
        <w:t>（项目名称）</w:t>
      </w:r>
      <w:r>
        <w:rPr>
          <w:rFonts w:hint="eastAsia" w:ascii="宋体" w:hAnsi="宋体" w:eastAsia="宋体" w:cs="Times New Roman"/>
          <w:color w:val="auto"/>
          <w:sz w:val="21"/>
          <w:szCs w:val="21"/>
          <w:highlight w:val="none"/>
        </w:rPr>
        <w:t>投标及参加项目谈判，以本单位名义处理一切与之有关的事务。</w:t>
      </w:r>
    </w:p>
    <w:p>
      <w:pPr>
        <w:spacing w:after="0" w:line="360" w:lineRule="auto"/>
        <w:ind w:firstLine="315" w:firstLineChars="15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本授权书于</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年</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月</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日签字生效，特此声明。</w:t>
      </w:r>
    </w:p>
    <w:p>
      <w:pPr>
        <w:pStyle w:val="33"/>
        <w:spacing w:line="500" w:lineRule="atLeast"/>
        <w:ind w:firstLine="3517" w:firstLineChars="1675"/>
        <w:rPr>
          <w:rFonts w:ascii="宋体" w:eastAsia="宋体"/>
          <w:color w:val="auto"/>
          <w:sz w:val="21"/>
          <w:szCs w:val="21"/>
          <w:highlight w:val="none"/>
        </w:rPr>
      </w:pPr>
    </w:p>
    <w:p>
      <w:pPr>
        <w:pStyle w:val="33"/>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投标人名称（加盖公章）：</w:t>
      </w:r>
    </w:p>
    <w:p>
      <w:pPr>
        <w:pStyle w:val="33"/>
        <w:spacing w:line="500" w:lineRule="atLeast"/>
        <w:ind w:firstLine="3517" w:firstLineChars="1675"/>
        <w:rPr>
          <w:rFonts w:ascii="宋体" w:eastAsia="宋体"/>
          <w:color w:val="auto"/>
          <w:sz w:val="21"/>
          <w:szCs w:val="21"/>
          <w:highlight w:val="none"/>
          <w:u w:val="single"/>
        </w:rPr>
      </w:pPr>
      <w:r>
        <w:rPr>
          <w:rFonts w:hint="eastAsia" w:ascii="宋体" w:eastAsia="宋体"/>
          <w:color w:val="auto"/>
          <w:sz w:val="21"/>
          <w:szCs w:val="21"/>
          <w:highlight w:val="none"/>
        </w:rPr>
        <w:t>法定代表人签字（签名或盖私章）：</w:t>
      </w:r>
    </w:p>
    <w:p>
      <w:pPr>
        <w:pStyle w:val="33"/>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被授权人签字：</w:t>
      </w:r>
    </w:p>
    <w:p>
      <w:pPr>
        <w:pStyle w:val="33"/>
        <w:spacing w:line="500" w:lineRule="atLeast"/>
        <w:ind w:firstLine="3517" w:firstLineChars="1675"/>
        <w:rPr>
          <w:rFonts w:ascii="宋体" w:eastAsia="宋体"/>
          <w:color w:val="auto"/>
          <w:sz w:val="21"/>
          <w:szCs w:val="21"/>
          <w:highlight w:val="none"/>
          <w:u w:val="single"/>
        </w:rPr>
      </w:pPr>
      <w:r>
        <w:rPr>
          <w:rFonts w:hint="eastAsia" w:ascii="宋体" w:eastAsia="宋体"/>
          <w:color w:val="auto"/>
          <w:sz w:val="21"/>
          <w:szCs w:val="21"/>
          <w:highlight w:val="none"/>
        </w:rPr>
        <w:t>职务：</w:t>
      </w:r>
    </w:p>
    <w:p>
      <w:pPr>
        <w:pStyle w:val="33"/>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 xml:space="preserve">移动电话： </w:t>
      </w:r>
    </w:p>
    <w:p>
      <w:pPr>
        <w:pStyle w:val="33"/>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详细通讯地址：</w:t>
      </w:r>
    </w:p>
    <w:p>
      <w:pPr>
        <w:pStyle w:val="33"/>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 xml:space="preserve">邮箱：                          </w:t>
      </w:r>
    </w:p>
    <w:p>
      <w:pPr>
        <w:pStyle w:val="33"/>
        <w:spacing w:line="500" w:lineRule="atLeast"/>
        <w:ind w:firstLine="3507" w:firstLineChars="1670"/>
        <w:rPr>
          <w:rFonts w:ascii="宋体" w:eastAsia="宋体"/>
          <w:color w:val="auto"/>
          <w:sz w:val="21"/>
          <w:szCs w:val="21"/>
          <w:highlight w:val="none"/>
        </w:rPr>
      </w:pPr>
      <w:r>
        <w:rPr>
          <w:rFonts w:hint="eastAsia" w:ascii="宋体" w:eastAsia="宋体"/>
          <w:color w:val="auto"/>
          <w:sz w:val="21"/>
          <w:szCs w:val="21"/>
          <w:highlight w:val="none"/>
        </w:rPr>
        <w:t>日     期：年月日</w:t>
      </w:r>
    </w:p>
    <w:p>
      <w:pPr>
        <w:pStyle w:val="33"/>
        <w:spacing w:line="460" w:lineRule="exact"/>
        <w:ind w:firstLine="433"/>
        <w:rPr>
          <w:rFonts w:ascii="宋体" w:eastAsia="宋体"/>
          <w:color w:val="auto"/>
          <w:sz w:val="21"/>
          <w:szCs w:val="21"/>
          <w:highlight w:val="none"/>
        </w:rPr>
      </w:pPr>
    </w:p>
    <w:p>
      <w:pPr>
        <w:ind w:firstLine="420" w:firstLineChars="200"/>
        <w:rPr>
          <w:rFonts w:eastAsia="宋体"/>
          <w:color w:val="auto"/>
          <w:highlight w:val="none"/>
        </w:rPr>
      </w:pPr>
      <w:r>
        <w:rPr>
          <w:rFonts w:hint="eastAsia" w:ascii="宋体" w:hAnsi="宋体" w:eastAsia="宋体"/>
          <w:color w:val="auto"/>
          <w:sz w:val="21"/>
          <w:szCs w:val="21"/>
          <w:highlight w:val="none"/>
        </w:rPr>
        <w:t>须附：被授权人身份证复印件。</w:t>
      </w:r>
    </w:p>
    <w:tbl>
      <w:tblPr>
        <w:tblStyle w:val="21"/>
        <w:tblW w:w="8464"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232"/>
        <w:gridCol w:w="42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661" w:hRule="atLeast"/>
          <w:jc w:val="center"/>
        </w:trPr>
        <w:tc>
          <w:tcPr>
            <w:tcW w:w="4232" w:type="dxa"/>
            <w:vAlign w:val="center"/>
          </w:tcPr>
          <w:p>
            <w:pPr>
              <w:pStyle w:val="33"/>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正面</w:t>
            </w:r>
          </w:p>
        </w:tc>
        <w:tc>
          <w:tcPr>
            <w:tcW w:w="4232" w:type="dxa"/>
            <w:vAlign w:val="center"/>
          </w:tcPr>
          <w:p>
            <w:pPr>
              <w:pStyle w:val="33"/>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背面</w:t>
            </w:r>
          </w:p>
        </w:tc>
      </w:tr>
    </w:tbl>
    <w:p>
      <w:pPr>
        <w:adjustRightInd/>
        <w:snapToGrid/>
        <w:spacing w:line="276" w:lineRule="auto"/>
        <w:rPr>
          <w:color w:val="auto"/>
          <w:highlight w:val="none"/>
        </w:rPr>
      </w:pPr>
      <w:bookmarkStart w:id="97" w:name="_Toc22486"/>
      <w:r>
        <w:rPr>
          <w:rFonts w:hint="eastAsia" w:ascii="宋体" w:hAnsi="宋体" w:eastAsia="宋体"/>
          <w:color w:val="auto"/>
          <w:sz w:val="21"/>
          <w:szCs w:val="21"/>
          <w:highlight w:val="none"/>
        </w:rPr>
        <w:br w:type="page"/>
      </w:r>
    </w:p>
    <w:p>
      <w:pPr>
        <w:pStyle w:val="6"/>
        <w:widowControl w:val="0"/>
        <w:overflowPunct w:val="0"/>
        <w:spacing w:before="0" w:after="0" w:line="240" w:lineRule="auto"/>
        <w:rPr>
          <w:rFonts w:ascii="宋体" w:hAnsi="宋体" w:eastAsia="宋体"/>
          <w:color w:val="auto"/>
          <w:sz w:val="21"/>
          <w:szCs w:val="21"/>
          <w:highlight w:val="none"/>
        </w:rPr>
      </w:pPr>
      <w:bookmarkStart w:id="98" w:name="_Toc17164"/>
      <w:r>
        <w:rPr>
          <w:rFonts w:hint="eastAsia" w:ascii="宋体" w:hAnsi="宋体" w:eastAsia="宋体"/>
          <w:color w:val="auto"/>
          <w:sz w:val="21"/>
          <w:szCs w:val="21"/>
          <w:highlight w:val="none"/>
        </w:rPr>
        <w:t>附件7.资格申明</w:t>
      </w:r>
      <w:bookmarkEnd w:id="98"/>
    </w:p>
    <w:p>
      <w:pPr>
        <w:jc w:val="center"/>
        <w:rPr>
          <w:rFonts w:ascii="黑体" w:eastAsia="黑体"/>
          <w:color w:val="auto"/>
          <w:sz w:val="28"/>
          <w:szCs w:val="28"/>
          <w:highlight w:val="none"/>
        </w:rPr>
      </w:pPr>
      <w:r>
        <w:rPr>
          <w:rFonts w:hint="eastAsia" w:ascii="黑体" w:eastAsia="黑体"/>
          <w:color w:val="auto"/>
          <w:sz w:val="28"/>
          <w:szCs w:val="28"/>
          <w:highlight w:val="none"/>
        </w:rPr>
        <w:t>资格申明</w:t>
      </w:r>
    </w:p>
    <w:p>
      <w:pPr>
        <w:pStyle w:val="33"/>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eastAsia="zh-CN"/>
        </w:rPr>
        <w:t>广东政通招标有限公司</w:t>
      </w:r>
      <w:r>
        <w:rPr>
          <w:rFonts w:hint="eastAsia" w:ascii="宋体" w:eastAsia="宋体"/>
          <w:color w:val="auto"/>
          <w:sz w:val="21"/>
          <w:szCs w:val="21"/>
          <w:highlight w:val="none"/>
        </w:rPr>
        <w:t>：</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我方</w:t>
      </w:r>
      <w:r>
        <w:rPr>
          <w:rFonts w:ascii="宋体" w:hAnsi="宋体" w:eastAsia="宋体"/>
          <w:color w:val="auto"/>
          <w:sz w:val="21"/>
          <w:szCs w:val="21"/>
          <w:highlight w:val="none"/>
        </w:rPr>
        <w:t>愿响应</w:t>
      </w:r>
      <w:r>
        <w:rPr>
          <w:rFonts w:hint="eastAsia" w:ascii="宋体" w:hAnsi="宋体" w:eastAsia="宋体"/>
          <w:color w:val="auto"/>
          <w:sz w:val="21"/>
          <w:szCs w:val="21"/>
          <w:highlight w:val="none"/>
        </w:rPr>
        <w:t>贵</w:t>
      </w:r>
      <w:r>
        <w:rPr>
          <w:rFonts w:ascii="宋体" w:hAnsi="宋体" w:eastAsia="宋体"/>
          <w:color w:val="auto"/>
          <w:sz w:val="21"/>
          <w:szCs w:val="21"/>
          <w:highlight w:val="none"/>
        </w:rPr>
        <w:t>方</w:t>
      </w:r>
      <w:r>
        <w:rPr>
          <w:rFonts w:hint="eastAsia" w:ascii="宋体" w:hAnsi="宋体" w:eastAsia="宋体"/>
          <w:color w:val="auto"/>
          <w:sz w:val="21"/>
          <w:szCs w:val="21"/>
          <w:highlight w:val="none"/>
        </w:rPr>
        <w:t>关于（项目名称）</w:t>
      </w:r>
      <w:r>
        <w:rPr>
          <w:rFonts w:ascii="宋体" w:hAnsi="宋体" w:eastAsia="宋体"/>
          <w:color w:val="auto"/>
          <w:sz w:val="21"/>
          <w:szCs w:val="21"/>
          <w:highlight w:val="none"/>
        </w:rPr>
        <w:t>（</w:t>
      </w:r>
      <w:r>
        <w:rPr>
          <w:rFonts w:hint="eastAsia" w:ascii="宋体" w:hAnsi="宋体" w:eastAsia="宋体"/>
          <w:color w:val="auto"/>
          <w:sz w:val="21"/>
          <w:szCs w:val="21"/>
          <w:highlight w:val="none"/>
        </w:rPr>
        <w:t>采购项目编号</w:t>
      </w:r>
      <w:r>
        <w:rPr>
          <w:rFonts w:ascii="宋体" w:hAnsi="宋体" w:eastAsia="宋体"/>
          <w:color w:val="auto"/>
          <w:sz w:val="21"/>
          <w:szCs w:val="21"/>
          <w:highlight w:val="none"/>
        </w:rPr>
        <w:t>）</w:t>
      </w:r>
      <w:r>
        <w:rPr>
          <w:rFonts w:hint="eastAsia" w:ascii="宋体" w:hAnsi="宋体" w:eastAsia="宋体"/>
          <w:color w:val="auto"/>
          <w:sz w:val="21"/>
          <w:szCs w:val="21"/>
          <w:highlight w:val="none"/>
        </w:rPr>
        <w:t>的</w:t>
      </w:r>
      <w:r>
        <w:rPr>
          <w:rFonts w:ascii="宋体" w:hAnsi="宋体" w:eastAsia="宋体"/>
          <w:color w:val="auto"/>
          <w:sz w:val="21"/>
          <w:szCs w:val="21"/>
          <w:highlight w:val="none"/>
        </w:rPr>
        <w:t>投标邀请，参与投标，提供用户需求书中规定的</w:t>
      </w:r>
      <w:r>
        <w:rPr>
          <w:rFonts w:hint="eastAsia" w:ascii="宋体" w:hAnsi="宋体" w:eastAsia="宋体"/>
          <w:color w:val="auto"/>
          <w:sz w:val="21"/>
          <w:szCs w:val="21"/>
          <w:highlight w:val="none"/>
        </w:rPr>
        <w:t>货物及相关服务</w:t>
      </w:r>
      <w:r>
        <w:rPr>
          <w:rFonts w:ascii="宋体" w:hAnsi="宋体" w:eastAsia="宋体"/>
          <w:color w:val="auto"/>
          <w:sz w:val="21"/>
          <w:szCs w:val="21"/>
          <w:highlight w:val="none"/>
        </w:rPr>
        <w:t>，并按招标文件要求提交所附资格文件且声明和保证如下：</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一、我方具备《中华人民共和国政府采购法》第二十二条资格条件，已清楚招标文件所有要求及有关规定；并承诺参加本次政府采购活动中，如有违法、违规、弄虚作假行为，所造成的损失、不良后果及法律责任，一律由我方承担；</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二、</w:t>
      </w:r>
      <w:r>
        <w:rPr>
          <w:rFonts w:ascii="宋体" w:hAnsi="宋体" w:eastAsia="宋体"/>
          <w:color w:val="auto"/>
          <w:sz w:val="21"/>
          <w:szCs w:val="21"/>
          <w:highlight w:val="none"/>
        </w:rPr>
        <w:t>我方依法注册，在法律上、财务上和运作上完全独立于（采购人名称）（采购人）及</w:t>
      </w: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（采购代理机构）</w:t>
      </w:r>
      <w:r>
        <w:rPr>
          <w:rFonts w:hint="eastAsia" w:ascii="宋体" w:hAnsi="宋体" w:eastAsia="宋体"/>
          <w:color w:val="auto"/>
          <w:sz w:val="21"/>
          <w:szCs w:val="21"/>
          <w:highlight w:val="none"/>
        </w:rPr>
        <w:t>。</w:t>
      </w:r>
    </w:p>
    <w:p>
      <w:pPr>
        <w:pStyle w:val="33"/>
        <w:spacing w:line="500" w:lineRule="atLeast"/>
        <w:ind w:firstLine="3517" w:firstLineChars="1675"/>
        <w:rPr>
          <w:rFonts w:ascii="宋体" w:eastAsia="宋体"/>
          <w:color w:val="auto"/>
          <w:sz w:val="21"/>
          <w:szCs w:val="21"/>
          <w:highlight w:val="none"/>
        </w:rPr>
      </w:pPr>
    </w:p>
    <w:p>
      <w:pPr>
        <w:pStyle w:val="33"/>
        <w:spacing w:line="500" w:lineRule="atLeast"/>
        <w:ind w:firstLine="3517" w:firstLineChars="1675"/>
        <w:rPr>
          <w:rFonts w:ascii="宋体" w:eastAsia="宋体"/>
          <w:color w:val="auto"/>
          <w:sz w:val="21"/>
          <w:szCs w:val="21"/>
          <w:highlight w:val="none"/>
        </w:rPr>
      </w:pPr>
    </w:p>
    <w:p>
      <w:pPr>
        <w:pStyle w:val="33"/>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t>投标人名称（加盖公章）：</w:t>
      </w:r>
    </w:p>
    <w:p>
      <w:pPr>
        <w:pStyle w:val="33"/>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t>法定代表人签字（签名或盖私章）：</w:t>
      </w:r>
    </w:p>
    <w:p>
      <w:pPr>
        <w:pStyle w:val="33"/>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t>日     期：年月日</w:t>
      </w:r>
    </w:p>
    <w:p>
      <w:pPr>
        <w:pStyle w:val="33"/>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br w:type="page"/>
      </w:r>
    </w:p>
    <w:p>
      <w:pPr>
        <w:pStyle w:val="6"/>
        <w:widowControl w:val="0"/>
        <w:overflowPunct w:val="0"/>
        <w:spacing w:before="0" w:after="0" w:line="240" w:lineRule="auto"/>
        <w:rPr>
          <w:rFonts w:ascii="宋体" w:hAnsi="宋体" w:eastAsia="宋体"/>
          <w:color w:val="auto"/>
          <w:sz w:val="21"/>
          <w:szCs w:val="21"/>
          <w:highlight w:val="none"/>
        </w:rPr>
      </w:pPr>
      <w:bookmarkStart w:id="99" w:name="_Toc27839"/>
      <w:r>
        <w:rPr>
          <w:rFonts w:hint="eastAsia" w:ascii="宋体" w:hAnsi="宋体" w:eastAsia="宋体"/>
          <w:color w:val="auto"/>
          <w:sz w:val="21"/>
          <w:szCs w:val="21"/>
          <w:highlight w:val="none"/>
        </w:rPr>
        <w:t>附件8.营业执照</w:t>
      </w:r>
      <w:bookmarkEnd w:id="99"/>
    </w:p>
    <w:p>
      <w:pPr>
        <w:jc w:val="center"/>
        <w:rPr>
          <w:rFonts w:ascii="黑体" w:eastAsia="黑体"/>
          <w:color w:val="auto"/>
          <w:sz w:val="28"/>
          <w:szCs w:val="28"/>
          <w:highlight w:val="none"/>
        </w:rPr>
      </w:pPr>
      <w:bookmarkStart w:id="100" w:name="_Toc1511"/>
      <w:bookmarkStart w:id="101" w:name="_Toc4926"/>
      <w:bookmarkStart w:id="102" w:name="_Toc5919"/>
      <w:bookmarkStart w:id="103" w:name="_Toc17470"/>
      <w:bookmarkStart w:id="104" w:name="_Toc24210"/>
      <w:r>
        <w:rPr>
          <w:rFonts w:hint="eastAsia" w:ascii="黑体" w:eastAsia="黑体"/>
          <w:color w:val="auto"/>
          <w:sz w:val="28"/>
          <w:szCs w:val="28"/>
          <w:highlight w:val="none"/>
        </w:rPr>
        <w:t>营业执照</w:t>
      </w:r>
      <w:bookmarkEnd w:id="100"/>
      <w:bookmarkEnd w:id="101"/>
      <w:bookmarkEnd w:id="102"/>
      <w:bookmarkEnd w:id="103"/>
      <w:bookmarkEnd w:id="104"/>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6"/>
        <w:widowControl w:val="0"/>
        <w:overflowPunct w:val="0"/>
        <w:spacing w:before="0" w:after="0" w:line="240" w:lineRule="auto"/>
        <w:rPr>
          <w:rFonts w:ascii="宋体" w:hAnsi="宋体" w:eastAsia="宋体"/>
          <w:color w:val="auto"/>
          <w:sz w:val="21"/>
          <w:szCs w:val="21"/>
          <w:highlight w:val="none"/>
        </w:rPr>
      </w:pPr>
      <w:bookmarkStart w:id="105" w:name="_Toc26141"/>
      <w:r>
        <w:rPr>
          <w:rFonts w:hint="eastAsia" w:ascii="宋体" w:hAnsi="宋体" w:eastAsia="宋体"/>
          <w:color w:val="auto"/>
          <w:sz w:val="21"/>
          <w:szCs w:val="21"/>
          <w:highlight w:val="none"/>
        </w:rPr>
        <w:t>附件9.相关资质证明文件</w:t>
      </w:r>
      <w:bookmarkEnd w:id="105"/>
    </w:p>
    <w:p>
      <w:pPr>
        <w:rPr>
          <w:color w:val="auto"/>
          <w:highlight w:val="none"/>
        </w:rPr>
      </w:pPr>
    </w:p>
    <w:p>
      <w:pPr>
        <w:jc w:val="center"/>
        <w:rPr>
          <w:rFonts w:ascii="黑体" w:eastAsia="黑体"/>
          <w:color w:val="auto"/>
          <w:sz w:val="28"/>
          <w:szCs w:val="28"/>
          <w:highlight w:val="none"/>
        </w:rPr>
      </w:pPr>
      <w:bookmarkStart w:id="106" w:name="_Toc9592"/>
      <w:bookmarkStart w:id="107" w:name="_Toc13458"/>
      <w:bookmarkStart w:id="108" w:name="_Toc16698"/>
      <w:bookmarkStart w:id="109" w:name="_Toc30307"/>
      <w:bookmarkStart w:id="110" w:name="_Toc16233"/>
      <w:r>
        <w:rPr>
          <w:rFonts w:hint="eastAsia" w:ascii="黑体" w:eastAsia="黑体"/>
          <w:color w:val="auto"/>
          <w:sz w:val="28"/>
          <w:szCs w:val="28"/>
          <w:highlight w:val="none"/>
        </w:rPr>
        <w:t>相关资质证明文件</w:t>
      </w:r>
      <w:bookmarkEnd w:id="97"/>
      <w:bookmarkEnd w:id="106"/>
      <w:bookmarkEnd w:id="107"/>
      <w:bookmarkEnd w:id="108"/>
      <w:bookmarkEnd w:id="109"/>
      <w:bookmarkEnd w:id="110"/>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6"/>
        <w:widowControl w:val="0"/>
        <w:overflowPunct w:val="0"/>
        <w:spacing w:before="0" w:after="0" w:line="240" w:lineRule="auto"/>
        <w:rPr>
          <w:rFonts w:ascii="宋体" w:hAnsi="宋体" w:eastAsia="宋体"/>
          <w:color w:val="auto"/>
          <w:sz w:val="21"/>
          <w:szCs w:val="21"/>
          <w:highlight w:val="none"/>
        </w:rPr>
      </w:pPr>
      <w:bookmarkStart w:id="111" w:name="_Toc17618"/>
      <w:r>
        <w:rPr>
          <w:rFonts w:hint="eastAsia" w:ascii="宋体" w:hAnsi="宋体" w:eastAsia="宋体"/>
          <w:color w:val="auto"/>
          <w:sz w:val="21"/>
          <w:szCs w:val="21"/>
          <w:highlight w:val="none"/>
        </w:rPr>
        <w:t>附件10. 商务条款偏离表格式</w:t>
      </w:r>
      <w:bookmarkEnd w:id="111"/>
    </w:p>
    <w:p>
      <w:pPr>
        <w:jc w:val="center"/>
        <w:rPr>
          <w:rFonts w:ascii="黑体" w:eastAsia="黑体"/>
          <w:color w:val="auto"/>
          <w:sz w:val="28"/>
          <w:szCs w:val="28"/>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商务条款偏离表</w:t>
      </w:r>
    </w:p>
    <w:tbl>
      <w:tblPr>
        <w:tblStyle w:val="21"/>
        <w:tblW w:w="84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620"/>
        <w:gridCol w:w="1360"/>
        <w:gridCol w:w="1587"/>
        <w:gridCol w:w="1133"/>
        <w:gridCol w:w="1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008"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620"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服务项目名称</w:t>
            </w:r>
          </w:p>
        </w:tc>
        <w:tc>
          <w:tcPr>
            <w:tcW w:w="1360"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招标要求</w:t>
            </w:r>
          </w:p>
        </w:tc>
        <w:tc>
          <w:tcPr>
            <w:tcW w:w="1587"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投标实际响应</w:t>
            </w:r>
          </w:p>
        </w:tc>
        <w:tc>
          <w:tcPr>
            <w:tcW w:w="1133"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是否偏离</w:t>
            </w:r>
          </w:p>
        </w:tc>
        <w:tc>
          <w:tcPr>
            <w:tcW w:w="1730"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eastAsia="宋体"/>
                <w:color w:val="auto"/>
                <w:sz w:val="21"/>
                <w:szCs w:val="21"/>
                <w:highlight w:val="none"/>
              </w:rPr>
            </w:pPr>
          </w:p>
        </w:tc>
        <w:tc>
          <w:tcPr>
            <w:tcW w:w="1620" w:type="dxa"/>
            <w:vAlign w:val="center"/>
          </w:tcPr>
          <w:p>
            <w:pPr>
              <w:jc w:val="center"/>
              <w:rPr>
                <w:rFonts w:ascii="宋体" w:hAnsi="宋体" w:eastAsia="宋体"/>
                <w:color w:val="auto"/>
                <w:sz w:val="21"/>
                <w:szCs w:val="21"/>
                <w:highlight w:val="none"/>
              </w:rPr>
            </w:pPr>
          </w:p>
        </w:tc>
        <w:tc>
          <w:tcPr>
            <w:tcW w:w="1360" w:type="dxa"/>
            <w:vAlign w:val="center"/>
          </w:tcPr>
          <w:p>
            <w:pPr>
              <w:jc w:val="center"/>
              <w:rPr>
                <w:rFonts w:ascii="宋体" w:hAnsi="宋体" w:eastAsia="宋体"/>
                <w:color w:val="auto"/>
                <w:sz w:val="21"/>
                <w:szCs w:val="21"/>
                <w:highlight w:val="none"/>
              </w:rPr>
            </w:pPr>
          </w:p>
        </w:tc>
        <w:tc>
          <w:tcPr>
            <w:tcW w:w="1587" w:type="dxa"/>
            <w:vAlign w:val="center"/>
          </w:tcPr>
          <w:p>
            <w:pPr>
              <w:jc w:val="center"/>
              <w:rPr>
                <w:rFonts w:ascii="宋体" w:hAnsi="宋体" w:eastAsia="宋体"/>
                <w:color w:val="auto"/>
                <w:sz w:val="21"/>
                <w:szCs w:val="21"/>
                <w:highlight w:val="none"/>
              </w:rPr>
            </w:pPr>
          </w:p>
        </w:tc>
        <w:tc>
          <w:tcPr>
            <w:tcW w:w="1133" w:type="dxa"/>
            <w:vAlign w:val="center"/>
          </w:tcPr>
          <w:p>
            <w:pPr>
              <w:jc w:val="center"/>
              <w:rPr>
                <w:rFonts w:ascii="宋体" w:hAnsi="宋体" w:eastAsia="宋体"/>
                <w:color w:val="auto"/>
                <w:sz w:val="21"/>
                <w:szCs w:val="21"/>
                <w:highlight w:val="none"/>
              </w:rPr>
            </w:pPr>
          </w:p>
        </w:tc>
        <w:tc>
          <w:tcPr>
            <w:tcW w:w="1730"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eastAsia="宋体"/>
                <w:color w:val="auto"/>
                <w:sz w:val="21"/>
                <w:szCs w:val="21"/>
                <w:highlight w:val="none"/>
              </w:rPr>
            </w:pPr>
          </w:p>
        </w:tc>
        <w:tc>
          <w:tcPr>
            <w:tcW w:w="1620" w:type="dxa"/>
            <w:vAlign w:val="center"/>
          </w:tcPr>
          <w:p>
            <w:pPr>
              <w:jc w:val="center"/>
              <w:rPr>
                <w:rFonts w:ascii="宋体" w:hAnsi="宋体" w:eastAsia="宋体"/>
                <w:color w:val="auto"/>
                <w:sz w:val="21"/>
                <w:szCs w:val="21"/>
                <w:highlight w:val="none"/>
              </w:rPr>
            </w:pPr>
          </w:p>
        </w:tc>
        <w:tc>
          <w:tcPr>
            <w:tcW w:w="1360" w:type="dxa"/>
            <w:vAlign w:val="center"/>
          </w:tcPr>
          <w:p>
            <w:pPr>
              <w:jc w:val="center"/>
              <w:rPr>
                <w:rFonts w:ascii="宋体" w:hAnsi="宋体" w:eastAsia="宋体"/>
                <w:color w:val="auto"/>
                <w:sz w:val="21"/>
                <w:szCs w:val="21"/>
                <w:highlight w:val="none"/>
              </w:rPr>
            </w:pPr>
          </w:p>
        </w:tc>
        <w:tc>
          <w:tcPr>
            <w:tcW w:w="1587" w:type="dxa"/>
            <w:vAlign w:val="center"/>
          </w:tcPr>
          <w:p>
            <w:pPr>
              <w:jc w:val="center"/>
              <w:rPr>
                <w:rFonts w:ascii="宋体" w:hAnsi="宋体" w:eastAsia="宋体"/>
                <w:color w:val="auto"/>
                <w:sz w:val="21"/>
                <w:szCs w:val="21"/>
                <w:highlight w:val="none"/>
              </w:rPr>
            </w:pPr>
          </w:p>
        </w:tc>
        <w:tc>
          <w:tcPr>
            <w:tcW w:w="1133" w:type="dxa"/>
            <w:vAlign w:val="center"/>
          </w:tcPr>
          <w:p>
            <w:pPr>
              <w:jc w:val="center"/>
              <w:rPr>
                <w:rFonts w:ascii="宋体" w:hAnsi="宋体" w:eastAsia="宋体"/>
                <w:color w:val="auto"/>
                <w:sz w:val="21"/>
                <w:szCs w:val="21"/>
                <w:highlight w:val="none"/>
              </w:rPr>
            </w:pPr>
          </w:p>
        </w:tc>
        <w:tc>
          <w:tcPr>
            <w:tcW w:w="1730"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eastAsia="宋体"/>
                <w:color w:val="auto"/>
                <w:sz w:val="21"/>
                <w:szCs w:val="21"/>
                <w:highlight w:val="none"/>
              </w:rPr>
            </w:pPr>
          </w:p>
        </w:tc>
        <w:tc>
          <w:tcPr>
            <w:tcW w:w="1620" w:type="dxa"/>
            <w:vAlign w:val="center"/>
          </w:tcPr>
          <w:p>
            <w:pPr>
              <w:jc w:val="center"/>
              <w:rPr>
                <w:rFonts w:ascii="宋体" w:hAnsi="宋体" w:eastAsia="宋体"/>
                <w:color w:val="auto"/>
                <w:sz w:val="21"/>
                <w:szCs w:val="21"/>
                <w:highlight w:val="none"/>
              </w:rPr>
            </w:pPr>
          </w:p>
        </w:tc>
        <w:tc>
          <w:tcPr>
            <w:tcW w:w="1360" w:type="dxa"/>
            <w:vAlign w:val="center"/>
          </w:tcPr>
          <w:p>
            <w:pPr>
              <w:jc w:val="center"/>
              <w:rPr>
                <w:rFonts w:ascii="宋体" w:hAnsi="宋体" w:eastAsia="宋体"/>
                <w:color w:val="auto"/>
                <w:sz w:val="21"/>
                <w:szCs w:val="21"/>
                <w:highlight w:val="none"/>
              </w:rPr>
            </w:pPr>
          </w:p>
        </w:tc>
        <w:tc>
          <w:tcPr>
            <w:tcW w:w="1587" w:type="dxa"/>
            <w:vAlign w:val="center"/>
          </w:tcPr>
          <w:p>
            <w:pPr>
              <w:jc w:val="center"/>
              <w:rPr>
                <w:rFonts w:ascii="宋体" w:hAnsi="宋体" w:eastAsia="宋体"/>
                <w:color w:val="auto"/>
                <w:sz w:val="21"/>
                <w:szCs w:val="21"/>
                <w:highlight w:val="none"/>
              </w:rPr>
            </w:pPr>
          </w:p>
        </w:tc>
        <w:tc>
          <w:tcPr>
            <w:tcW w:w="1133" w:type="dxa"/>
            <w:vAlign w:val="center"/>
          </w:tcPr>
          <w:p>
            <w:pPr>
              <w:jc w:val="center"/>
              <w:rPr>
                <w:rFonts w:ascii="宋体" w:hAnsi="宋体" w:eastAsia="宋体"/>
                <w:color w:val="auto"/>
                <w:sz w:val="21"/>
                <w:szCs w:val="21"/>
                <w:highlight w:val="none"/>
              </w:rPr>
            </w:pPr>
          </w:p>
        </w:tc>
        <w:tc>
          <w:tcPr>
            <w:tcW w:w="1730"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eastAsia="宋体"/>
                <w:color w:val="auto"/>
                <w:sz w:val="21"/>
                <w:szCs w:val="21"/>
                <w:highlight w:val="none"/>
              </w:rPr>
            </w:pPr>
          </w:p>
        </w:tc>
        <w:tc>
          <w:tcPr>
            <w:tcW w:w="1620" w:type="dxa"/>
            <w:vAlign w:val="center"/>
          </w:tcPr>
          <w:p>
            <w:pPr>
              <w:jc w:val="center"/>
              <w:rPr>
                <w:rFonts w:ascii="宋体" w:hAnsi="宋体" w:eastAsia="宋体"/>
                <w:color w:val="auto"/>
                <w:sz w:val="21"/>
                <w:szCs w:val="21"/>
                <w:highlight w:val="none"/>
              </w:rPr>
            </w:pPr>
          </w:p>
        </w:tc>
        <w:tc>
          <w:tcPr>
            <w:tcW w:w="1360" w:type="dxa"/>
            <w:vAlign w:val="center"/>
          </w:tcPr>
          <w:p>
            <w:pPr>
              <w:jc w:val="center"/>
              <w:rPr>
                <w:rFonts w:ascii="宋体" w:hAnsi="宋体" w:eastAsia="宋体"/>
                <w:color w:val="auto"/>
                <w:sz w:val="21"/>
                <w:szCs w:val="21"/>
                <w:highlight w:val="none"/>
              </w:rPr>
            </w:pPr>
          </w:p>
        </w:tc>
        <w:tc>
          <w:tcPr>
            <w:tcW w:w="1587" w:type="dxa"/>
            <w:vAlign w:val="center"/>
          </w:tcPr>
          <w:p>
            <w:pPr>
              <w:jc w:val="center"/>
              <w:rPr>
                <w:rFonts w:ascii="宋体" w:hAnsi="宋体" w:eastAsia="宋体"/>
                <w:color w:val="auto"/>
                <w:sz w:val="21"/>
                <w:szCs w:val="21"/>
                <w:highlight w:val="none"/>
              </w:rPr>
            </w:pPr>
          </w:p>
        </w:tc>
        <w:tc>
          <w:tcPr>
            <w:tcW w:w="1133" w:type="dxa"/>
            <w:vAlign w:val="center"/>
          </w:tcPr>
          <w:p>
            <w:pPr>
              <w:jc w:val="center"/>
              <w:rPr>
                <w:rFonts w:ascii="宋体" w:hAnsi="宋体" w:eastAsia="宋体"/>
                <w:color w:val="auto"/>
                <w:sz w:val="21"/>
                <w:szCs w:val="21"/>
                <w:highlight w:val="none"/>
              </w:rPr>
            </w:pPr>
          </w:p>
        </w:tc>
        <w:tc>
          <w:tcPr>
            <w:tcW w:w="1730"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eastAsia="宋体"/>
                <w:color w:val="auto"/>
                <w:sz w:val="21"/>
                <w:szCs w:val="21"/>
                <w:highlight w:val="none"/>
              </w:rPr>
            </w:pPr>
          </w:p>
        </w:tc>
        <w:tc>
          <w:tcPr>
            <w:tcW w:w="1620" w:type="dxa"/>
            <w:vAlign w:val="center"/>
          </w:tcPr>
          <w:p>
            <w:pPr>
              <w:jc w:val="center"/>
              <w:rPr>
                <w:rFonts w:ascii="宋体" w:hAnsi="宋体" w:eastAsia="宋体"/>
                <w:color w:val="auto"/>
                <w:sz w:val="21"/>
                <w:szCs w:val="21"/>
                <w:highlight w:val="none"/>
              </w:rPr>
            </w:pPr>
          </w:p>
        </w:tc>
        <w:tc>
          <w:tcPr>
            <w:tcW w:w="1360" w:type="dxa"/>
            <w:vAlign w:val="center"/>
          </w:tcPr>
          <w:p>
            <w:pPr>
              <w:jc w:val="center"/>
              <w:rPr>
                <w:rFonts w:ascii="宋体" w:hAnsi="宋体" w:eastAsia="宋体"/>
                <w:color w:val="auto"/>
                <w:sz w:val="21"/>
                <w:szCs w:val="21"/>
                <w:highlight w:val="none"/>
              </w:rPr>
            </w:pPr>
          </w:p>
        </w:tc>
        <w:tc>
          <w:tcPr>
            <w:tcW w:w="1587" w:type="dxa"/>
            <w:vAlign w:val="center"/>
          </w:tcPr>
          <w:p>
            <w:pPr>
              <w:jc w:val="center"/>
              <w:rPr>
                <w:rFonts w:ascii="宋体" w:hAnsi="宋体" w:eastAsia="宋体"/>
                <w:color w:val="auto"/>
                <w:sz w:val="21"/>
                <w:szCs w:val="21"/>
                <w:highlight w:val="none"/>
              </w:rPr>
            </w:pPr>
          </w:p>
        </w:tc>
        <w:tc>
          <w:tcPr>
            <w:tcW w:w="1133" w:type="dxa"/>
            <w:vAlign w:val="center"/>
          </w:tcPr>
          <w:p>
            <w:pPr>
              <w:jc w:val="center"/>
              <w:rPr>
                <w:rFonts w:ascii="宋体" w:hAnsi="宋体" w:eastAsia="宋体"/>
                <w:color w:val="auto"/>
                <w:sz w:val="21"/>
                <w:szCs w:val="21"/>
                <w:highlight w:val="none"/>
              </w:rPr>
            </w:pPr>
          </w:p>
        </w:tc>
        <w:tc>
          <w:tcPr>
            <w:tcW w:w="1730"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eastAsia="宋体"/>
                <w:color w:val="auto"/>
                <w:sz w:val="21"/>
                <w:szCs w:val="21"/>
                <w:highlight w:val="none"/>
              </w:rPr>
            </w:pPr>
          </w:p>
        </w:tc>
        <w:tc>
          <w:tcPr>
            <w:tcW w:w="1620" w:type="dxa"/>
            <w:vAlign w:val="center"/>
          </w:tcPr>
          <w:p>
            <w:pPr>
              <w:jc w:val="center"/>
              <w:rPr>
                <w:rFonts w:ascii="宋体" w:hAnsi="宋体" w:eastAsia="宋体"/>
                <w:color w:val="auto"/>
                <w:sz w:val="21"/>
                <w:szCs w:val="21"/>
                <w:highlight w:val="none"/>
              </w:rPr>
            </w:pPr>
          </w:p>
        </w:tc>
        <w:tc>
          <w:tcPr>
            <w:tcW w:w="1360" w:type="dxa"/>
            <w:vAlign w:val="center"/>
          </w:tcPr>
          <w:p>
            <w:pPr>
              <w:jc w:val="center"/>
              <w:rPr>
                <w:rFonts w:ascii="宋体" w:hAnsi="宋体" w:eastAsia="宋体"/>
                <w:color w:val="auto"/>
                <w:sz w:val="21"/>
                <w:szCs w:val="21"/>
                <w:highlight w:val="none"/>
              </w:rPr>
            </w:pPr>
          </w:p>
        </w:tc>
        <w:tc>
          <w:tcPr>
            <w:tcW w:w="1587" w:type="dxa"/>
            <w:vAlign w:val="center"/>
          </w:tcPr>
          <w:p>
            <w:pPr>
              <w:jc w:val="center"/>
              <w:rPr>
                <w:rFonts w:ascii="宋体" w:hAnsi="宋体" w:eastAsia="宋体"/>
                <w:color w:val="auto"/>
                <w:sz w:val="21"/>
                <w:szCs w:val="21"/>
                <w:highlight w:val="none"/>
              </w:rPr>
            </w:pPr>
          </w:p>
        </w:tc>
        <w:tc>
          <w:tcPr>
            <w:tcW w:w="1133" w:type="dxa"/>
            <w:vAlign w:val="center"/>
          </w:tcPr>
          <w:p>
            <w:pPr>
              <w:jc w:val="center"/>
              <w:rPr>
                <w:rFonts w:ascii="宋体" w:hAnsi="宋体" w:eastAsia="宋体"/>
                <w:color w:val="auto"/>
                <w:sz w:val="21"/>
                <w:szCs w:val="21"/>
                <w:highlight w:val="none"/>
              </w:rPr>
            </w:pPr>
          </w:p>
        </w:tc>
        <w:tc>
          <w:tcPr>
            <w:tcW w:w="1730"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eastAsia="宋体"/>
                <w:color w:val="auto"/>
                <w:sz w:val="21"/>
                <w:szCs w:val="21"/>
                <w:highlight w:val="none"/>
              </w:rPr>
            </w:pPr>
          </w:p>
        </w:tc>
        <w:tc>
          <w:tcPr>
            <w:tcW w:w="1620" w:type="dxa"/>
            <w:vAlign w:val="center"/>
          </w:tcPr>
          <w:p>
            <w:pPr>
              <w:jc w:val="center"/>
              <w:rPr>
                <w:rFonts w:ascii="宋体" w:hAnsi="宋体" w:eastAsia="宋体"/>
                <w:color w:val="auto"/>
                <w:sz w:val="21"/>
                <w:szCs w:val="21"/>
                <w:highlight w:val="none"/>
              </w:rPr>
            </w:pPr>
          </w:p>
        </w:tc>
        <w:tc>
          <w:tcPr>
            <w:tcW w:w="1360" w:type="dxa"/>
            <w:vAlign w:val="center"/>
          </w:tcPr>
          <w:p>
            <w:pPr>
              <w:jc w:val="center"/>
              <w:rPr>
                <w:rFonts w:ascii="宋体" w:hAnsi="宋体" w:eastAsia="宋体"/>
                <w:color w:val="auto"/>
                <w:sz w:val="21"/>
                <w:szCs w:val="21"/>
                <w:highlight w:val="none"/>
              </w:rPr>
            </w:pPr>
          </w:p>
        </w:tc>
        <w:tc>
          <w:tcPr>
            <w:tcW w:w="1587" w:type="dxa"/>
            <w:vAlign w:val="center"/>
          </w:tcPr>
          <w:p>
            <w:pPr>
              <w:jc w:val="center"/>
              <w:rPr>
                <w:rFonts w:ascii="宋体" w:hAnsi="宋体" w:eastAsia="宋体"/>
                <w:color w:val="auto"/>
                <w:sz w:val="21"/>
                <w:szCs w:val="21"/>
                <w:highlight w:val="none"/>
              </w:rPr>
            </w:pPr>
          </w:p>
        </w:tc>
        <w:tc>
          <w:tcPr>
            <w:tcW w:w="1133" w:type="dxa"/>
            <w:vAlign w:val="center"/>
          </w:tcPr>
          <w:p>
            <w:pPr>
              <w:jc w:val="center"/>
              <w:rPr>
                <w:rFonts w:ascii="宋体" w:hAnsi="宋体" w:eastAsia="宋体"/>
                <w:color w:val="auto"/>
                <w:sz w:val="21"/>
                <w:szCs w:val="21"/>
                <w:highlight w:val="none"/>
              </w:rPr>
            </w:pPr>
          </w:p>
        </w:tc>
        <w:tc>
          <w:tcPr>
            <w:tcW w:w="1730"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eastAsia="宋体"/>
                <w:color w:val="auto"/>
                <w:sz w:val="21"/>
                <w:szCs w:val="21"/>
                <w:highlight w:val="none"/>
              </w:rPr>
            </w:pPr>
          </w:p>
        </w:tc>
        <w:tc>
          <w:tcPr>
            <w:tcW w:w="1620" w:type="dxa"/>
            <w:vAlign w:val="center"/>
          </w:tcPr>
          <w:p>
            <w:pPr>
              <w:jc w:val="center"/>
              <w:rPr>
                <w:rFonts w:ascii="宋体" w:hAnsi="宋体" w:eastAsia="宋体"/>
                <w:color w:val="auto"/>
                <w:sz w:val="21"/>
                <w:szCs w:val="21"/>
                <w:highlight w:val="none"/>
              </w:rPr>
            </w:pPr>
          </w:p>
        </w:tc>
        <w:tc>
          <w:tcPr>
            <w:tcW w:w="1360" w:type="dxa"/>
            <w:vAlign w:val="center"/>
          </w:tcPr>
          <w:p>
            <w:pPr>
              <w:jc w:val="center"/>
              <w:rPr>
                <w:rFonts w:ascii="宋体" w:hAnsi="宋体" w:eastAsia="宋体"/>
                <w:color w:val="auto"/>
                <w:sz w:val="21"/>
                <w:szCs w:val="21"/>
                <w:highlight w:val="none"/>
              </w:rPr>
            </w:pPr>
          </w:p>
        </w:tc>
        <w:tc>
          <w:tcPr>
            <w:tcW w:w="1587" w:type="dxa"/>
            <w:vAlign w:val="center"/>
          </w:tcPr>
          <w:p>
            <w:pPr>
              <w:jc w:val="center"/>
              <w:rPr>
                <w:rFonts w:ascii="宋体" w:hAnsi="宋体" w:eastAsia="宋体"/>
                <w:color w:val="auto"/>
                <w:sz w:val="21"/>
                <w:szCs w:val="21"/>
                <w:highlight w:val="none"/>
              </w:rPr>
            </w:pPr>
          </w:p>
        </w:tc>
        <w:tc>
          <w:tcPr>
            <w:tcW w:w="1133" w:type="dxa"/>
            <w:vAlign w:val="center"/>
          </w:tcPr>
          <w:p>
            <w:pPr>
              <w:jc w:val="center"/>
              <w:rPr>
                <w:rFonts w:ascii="宋体" w:hAnsi="宋体" w:eastAsia="宋体"/>
                <w:color w:val="auto"/>
                <w:sz w:val="21"/>
                <w:szCs w:val="21"/>
                <w:highlight w:val="none"/>
              </w:rPr>
            </w:pPr>
          </w:p>
        </w:tc>
        <w:tc>
          <w:tcPr>
            <w:tcW w:w="1730"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eastAsia="宋体"/>
                <w:color w:val="auto"/>
                <w:sz w:val="21"/>
                <w:szCs w:val="21"/>
                <w:highlight w:val="none"/>
              </w:rPr>
            </w:pPr>
          </w:p>
        </w:tc>
        <w:tc>
          <w:tcPr>
            <w:tcW w:w="1620" w:type="dxa"/>
            <w:vAlign w:val="center"/>
          </w:tcPr>
          <w:p>
            <w:pPr>
              <w:jc w:val="center"/>
              <w:rPr>
                <w:rFonts w:ascii="宋体" w:hAnsi="宋体" w:eastAsia="宋体"/>
                <w:color w:val="auto"/>
                <w:sz w:val="21"/>
                <w:szCs w:val="21"/>
                <w:highlight w:val="none"/>
              </w:rPr>
            </w:pPr>
          </w:p>
        </w:tc>
        <w:tc>
          <w:tcPr>
            <w:tcW w:w="1360" w:type="dxa"/>
            <w:vAlign w:val="center"/>
          </w:tcPr>
          <w:p>
            <w:pPr>
              <w:jc w:val="center"/>
              <w:rPr>
                <w:rFonts w:ascii="宋体" w:hAnsi="宋体" w:eastAsia="宋体"/>
                <w:color w:val="auto"/>
                <w:sz w:val="21"/>
                <w:szCs w:val="21"/>
                <w:highlight w:val="none"/>
              </w:rPr>
            </w:pPr>
          </w:p>
        </w:tc>
        <w:tc>
          <w:tcPr>
            <w:tcW w:w="1587" w:type="dxa"/>
            <w:vAlign w:val="center"/>
          </w:tcPr>
          <w:p>
            <w:pPr>
              <w:jc w:val="center"/>
              <w:rPr>
                <w:rFonts w:ascii="宋体" w:hAnsi="宋体" w:eastAsia="宋体"/>
                <w:color w:val="auto"/>
                <w:sz w:val="21"/>
                <w:szCs w:val="21"/>
                <w:highlight w:val="none"/>
              </w:rPr>
            </w:pPr>
          </w:p>
        </w:tc>
        <w:tc>
          <w:tcPr>
            <w:tcW w:w="1133" w:type="dxa"/>
            <w:vAlign w:val="center"/>
          </w:tcPr>
          <w:p>
            <w:pPr>
              <w:jc w:val="center"/>
              <w:rPr>
                <w:rFonts w:ascii="宋体" w:hAnsi="宋体" w:eastAsia="宋体"/>
                <w:color w:val="auto"/>
                <w:sz w:val="21"/>
                <w:szCs w:val="21"/>
                <w:highlight w:val="none"/>
              </w:rPr>
            </w:pPr>
          </w:p>
        </w:tc>
        <w:tc>
          <w:tcPr>
            <w:tcW w:w="1730"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eastAsia="宋体"/>
                <w:color w:val="auto"/>
                <w:sz w:val="21"/>
                <w:szCs w:val="21"/>
                <w:highlight w:val="none"/>
              </w:rPr>
            </w:pPr>
          </w:p>
        </w:tc>
        <w:tc>
          <w:tcPr>
            <w:tcW w:w="1620" w:type="dxa"/>
            <w:vAlign w:val="center"/>
          </w:tcPr>
          <w:p>
            <w:pPr>
              <w:jc w:val="center"/>
              <w:rPr>
                <w:rFonts w:ascii="宋体" w:hAnsi="宋体" w:eastAsia="宋体"/>
                <w:color w:val="auto"/>
                <w:sz w:val="21"/>
                <w:szCs w:val="21"/>
                <w:highlight w:val="none"/>
              </w:rPr>
            </w:pPr>
          </w:p>
        </w:tc>
        <w:tc>
          <w:tcPr>
            <w:tcW w:w="1360" w:type="dxa"/>
            <w:vAlign w:val="center"/>
          </w:tcPr>
          <w:p>
            <w:pPr>
              <w:jc w:val="center"/>
              <w:rPr>
                <w:rFonts w:ascii="宋体" w:hAnsi="宋体" w:eastAsia="宋体"/>
                <w:color w:val="auto"/>
                <w:sz w:val="21"/>
                <w:szCs w:val="21"/>
                <w:highlight w:val="none"/>
              </w:rPr>
            </w:pPr>
          </w:p>
        </w:tc>
        <w:tc>
          <w:tcPr>
            <w:tcW w:w="1587" w:type="dxa"/>
            <w:vAlign w:val="center"/>
          </w:tcPr>
          <w:p>
            <w:pPr>
              <w:jc w:val="center"/>
              <w:rPr>
                <w:rFonts w:ascii="宋体" w:hAnsi="宋体" w:eastAsia="宋体"/>
                <w:color w:val="auto"/>
                <w:sz w:val="21"/>
                <w:szCs w:val="21"/>
                <w:highlight w:val="none"/>
              </w:rPr>
            </w:pPr>
          </w:p>
        </w:tc>
        <w:tc>
          <w:tcPr>
            <w:tcW w:w="1133" w:type="dxa"/>
            <w:vAlign w:val="center"/>
          </w:tcPr>
          <w:p>
            <w:pPr>
              <w:jc w:val="center"/>
              <w:rPr>
                <w:rFonts w:ascii="宋体" w:hAnsi="宋体" w:eastAsia="宋体"/>
                <w:color w:val="auto"/>
                <w:sz w:val="21"/>
                <w:szCs w:val="21"/>
                <w:highlight w:val="none"/>
              </w:rPr>
            </w:pPr>
          </w:p>
        </w:tc>
        <w:tc>
          <w:tcPr>
            <w:tcW w:w="1730" w:type="dxa"/>
            <w:vAlign w:val="center"/>
          </w:tcPr>
          <w:p>
            <w:pPr>
              <w:jc w:val="center"/>
              <w:rPr>
                <w:rFonts w:ascii="宋体" w:hAnsi="宋体" w:eastAsia="宋体"/>
                <w:color w:val="auto"/>
                <w:sz w:val="21"/>
                <w:szCs w:val="21"/>
                <w:highlight w:val="none"/>
              </w:rPr>
            </w:pP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rPr>
          <w:rFonts w:ascii="宋体" w:hAnsi="宋体" w:eastAsia="宋体"/>
          <w:color w:val="auto"/>
          <w:sz w:val="21"/>
          <w:szCs w:val="21"/>
          <w:highlight w:val="none"/>
        </w:rPr>
      </w:pPr>
    </w:p>
    <w:p>
      <w:pPr>
        <w:ind w:left="718" w:hanging="718" w:hangingChars="342"/>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1、投标人应对照招标文件商务要求，说明已对招标文件的商务内容做出了实质性的响应。</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2、商务条款包括但不限于合格投标人资格、付款方式、履约保证金、完工期、售后服务、检验及验收等要求。</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3、若文件有具体要求的，应按照文件要求进行逐一响应，并提供相应的证明材料。</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r>
        <w:rPr>
          <w:color w:val="auto"/>
          <w:highlight w:val="none"/>
        </w:rPr>
        <w:br w:type="page"/>
      </w:r>
    </w:p>
    <w:p>
      <w:pPr>
        <w:pStyle w:val="6"/>
        <w:widowControl w:val="0"/>
        <w:overflowPunct w:val="0"/>
        <w:spacing w:before="0" w:after="0" w:line="240" w:lineRule="auto"/>
        <w:rPr>
          <w:rFonts w:ascii="宋体" w:hAnsi="宋体" w:eastAsia="宋体"/>
          <w:color w:val="auto"/>
          <w:sz w:val="21"/>
          <w:szCs w:val="21"/>
          <w:highlight w:val="none"/>
        </w:rPr>
      </w:pPr>
      <w:bookmarkStart w:id="112" w:name="_Toc32183"/>
      <w:r>
        <w:rPr>
          <w:rFonts w:hint="eastAsia" w:ascii="宋体" w:hAnsi="宋体" w:eastAsia="宋体"/>
          <w:color w:val="auto"/>
          <w:sz w:val="21"/>
          <w:szCs w:val="21"/>
          <w:highlight w:val="none"/>
        </w:rPr>
        <w:t>附件11. 技术规格偏离表格式</w:t>
      </w:r>
      <w:bookmarkEnd w:id="112"/>
    </w:p>
    <w:p>
      <w:pPr>
        <w:jc w:val="center"/>
        <w:rPr>
          <w:rFonts w:ascii="黑体" w:eastAsia="黑体"/>
          <w:color w:val="auto"/>
          <w:sz w:val="28"/>
          <w:szCs w:val="28"/>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技术规格偏离表</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902"/>
        <w:gridCol w:w="1370"/>
        <w:gridCol w:w="1629"/>
        <w:gridCol w:w="1239"/>
        <w:gridCol w:w="1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838"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902"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技术规格</w:t>
            </w:r>
          </w:p>
        </w:tc>
        <w:tc>
          <w:tcPr>
            <w:tcW w:w="1370"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招标要求</w:t>
            </w:r>
          </w:p>
        </w:tc>
        <w:tc>
          <w:tcPr>
            <w:tcW w:w="1629"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投标实际响应</w:t>
            </w:r>
          </w:p>
        </w:tc>
        <w:tc>
          <w:tcPr>
            <w:tcW w:w="1239"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是否偏离</w:t>
            </w:r>
          </w:p>
        </w:tc>
        <w:tc>
          <w:tcPr>
            <w:tcW w:w="1544"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eastAsia="宋体"/>
                <w:color w:val="auto"/>
                <w:sz w:val="21"/>
                <w:szCs w:val="21"/>
                <w:highlight w:val="none"/>
              </w:rPr>
            </w:pPr>
          </w:p>
        </w:tc>
        <w:tc>
          <w:tcPr>
            <w:tcW w:w="1902" w:type="dxa"/>
            <w:vAlign w:val="center"/>
          </w:tcPr>
          <w:p>
            <w:pPr>
              <w:jc w:val="center"/>
              <w:rPr>
                <w:rFonts w:ascii="宋体" w:hAnsi="宋体" w:eastAsia="宋体"/>
                <w:color w:val="auto"/>
                <w:sz w:val="21"/>
                <w:szCs w:val="21"/>
                <w:highlight w:val="none"/>
              </w:rPr>
            </w:pPr>
          </w:p>
        </w:tc>
        <w:tc>
          <w:tcPr>
            <w:tcW w:w="1370" w:type="dxa"/>
            <w:vAlign w:val="center"/>
          </w:tcPr>
          <w:p>
            <w:pPr>
              <w:jc w:val="center"/>
              <w:rPr>
                <w:rFonts w:ascii="宋体" w:hAnsi="宋体" w:eastAsia="宋体"/>
                <w:color w:val="auto"/>
                <w:sz w:val="21"/>
                <w:szCs w:val="21"/>
                <w:highlight w:val="none"/>
              </w:rPr>
            </w:pPr>
          </w:p>
        </w:tc>
        <w:tc>
          <w:tcPr>
            <w:tcW w:w="1629" w:type="dxa"/>
            <w:vAlign w:val="center"/>
          </w:tcPr>
          <w:p>
            <w:pPr>
              <w:jc w:val="center"/>
              <w:rPr>
                <w:rFonts w:ascii="宋体" w:hAnsi="宋体" w:eastAsia="宋体"/>
                <w:color w:val="auto"/>
                <w:sz w:val="21"/>
                <w:szCs w:val="21"/>
                <w:highlight w:val="none"/>
              </w:rPr>
            </w:pPr>
          </w:p>
        </w:tc>
        <w:tc>
          <w:tcPr>
            <w:tcW w:w="1239" w:type="dxa"/>
            <w:vAlign w:val="center"/>
          </w:tcPr>
          <w:p>
            <w:pPr>
              <w:jc w:val="center"/>
              <w:rPr>
                <w:rFonts w:ascii="宋体" w:hAnsi="宋体" w:eastAsia="宋体"/>
                <w:color w:val="auto"/>
                <w:sz w:val="21"/>
                <w:szCs w:val="21"/>
                <w:highlight w:val="none"/>
              </w:rPr>
            </w:pPr>
          </w:p>
        </w:tc>
        <w:tc>
          <w:tcPr>
            <w:tcW w:w="1544"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eastAsia="宋体"/>
                <w:color w:val="auto"/>
                <w:sz w:val="21"/>
                <w:szCs w:val="21"/>
                <w:highlight w:val="none"/>
              </w:rPr>
            </w:pPr>
          </w:p>
        </w:tc>
        <w:tc>
          <w:tcPr>
            <w:tcW w:w="1902" w:type="dxa"/>
            <w:vAlign w:val="center"/>
          </w:tcPr>
          <w:p>
            <w:pPr>
              <w:jc w:val="center"/>
              <w:rPr>
                <w:rFonts w:ascii="宋体" w:hAnsi="宋体" w:eastAsia="宋体"/>
                <w:color w:val="auto"/>
                <w:sz w:val="21"/>
                <w:szCs w:val="21"/>
                <w:highlight w:val="none"/>
              </w:rPr>
            </w:pPr>
          </w:p>
        </w:tc>
        <w:tc>
          <w:tcPr>
            <w:tcW w:w="1370" w:type="dxa"/>
            <w:vAlign w:val="center"/>
          </w:tcPr>
          <w:p>
            <w:pPr>
              <w:jc w:val="center"/>
              <w:rPr>
                <w:rFonts w:ascii="宋体" w:hAnsi="宋体" w:eastAsia="宋体"/>
                <w:color w:val="auto"/>
                <w:sz w:val="21"/>
                <w:szCs w:val="21"/>
                <w:highlight w:val="none"/>
              </w:rPr>
            </w:pPr>
          </w:p>
        </w:tc>
        <w:tc>
          <w:tcPr>
            <w:tcW w:w="1629" w:type="dxa"/>
            <w:vAlign w:val="center"/>
          </w:tcPr>
          <w:p>
            <w:pPr>
              <w:jc w:val="center"/>
              <w:rPr>
                <w:rFonts w:ascii="宋体" w:hAnsi="宋体" w:eastAsia="宋体"/>
                <w:color w:val="auto"/>
                <w:sz w:val="21"/>
                <w:szCs w:val="21"/>
                <w:highlight w:val="none"/>
              </w:rPr>
            </w:pPr>
          </w:p>
        </w:tc>
        <w:tc>
          <w:tcPr>
            <w:tcW w:w="1239" w:type="dxa"/>
            <w:vAlign w:val="center"/>
          </w:tcPr>
          <w:p>
            <w:pPr>
              <w:jc w:val="center"/>
              <w:rPr>
                <w:rFonts w:ascii="宋体" w:hAnsi="宋体" w:eastAsia="宋体"/>
                <w:color w:val="auto"/>
                <w:sz w:val="21"/>
                <w:szCs w:val="21"/>
                <w:highlight w:val="none"/>
              </w:rPr>
            </w:pPr>
          </w:p>
        </w:tc>
        <w:tc>
          <w:tcPr>
            <w:tcW w:w="1544"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eastAsia="宋体"/>
                <w:color w:val="auto"/>
                <w:sz w:val="21"/>
                <w:szCs w:val="21"/>
                <w:highlight w:val="none"/>
              </w:rPr>
            </w:pPr>
          </w:p>
        </w:tc>
        <w:tc>
          <w:tcPr>
            <w:tcW w:w="1902" w:type="dxa"/>
            <w:vAlign w:val="center"/>
          </w:tcPr>
          <w:p>
            <w:pPr>
              <w:jc w:val="center"/>
              <w:rPr>
                <w:rFonts w:ascii="宋体" w:hAnsi="宋体" w:eastAsia="宋体"/>
                <w:color w:val="auto"/>
                <w:sz w:val="21"/>
                <w:szCs w:val="21"/>
                <w:highlight w:val="none"/>
              </w:rPr>
            </w:pPr>
          </w:p>
        </w:tc>
        <w:tc>
          <w:tcPr>
            <w:tcW w:w="1370" w:type="dxa"/>
            <w:vAlign w:val="center"/>
          </w:tcPr>
          <w:p>
            <w:pPr>
              <w:jc w:val="center"/>
              <w:rPr>
                <w:rFonts w:ascii="宋体" w:hAnsi="宋体" w:eastAsia="宋体"/>
                <w:color w:val="auto"/>
                <w:sz w:val="21"/>
                <w:szCs w:val="21"/>
                <w:highlight w:val="none"/>
              </w:rPr>
            </w:pPr>
          </w:p>
        </w:tc>
        <w:tc>
          <w:tcPr>
            <w:tcW w:w="1629" w:type="dxa"/>
            <w:vAlign w:val="center"/>
          </w:tcPr>
          <w:p>
            <w:pPr>
              <w:jc w:val="center"/>
              <w:rPr>
                <w:rFonts w:ascii="宋体" w:hAnsi="宋体" w:eastAsia="宋体"/>
                <w:color w:val="auto"/>
                <w:sz w:val="21"/>
                <w:szCs w:val="21"/>
                <w:highlight w:val="none"/>
              </w:rPr>
            </w:pPr>
          </w:p>
        </w:tc>
        <w:tc>
          <w:tcPr>
            <w:tcW w:w="1239" w:type="dxa"/>
            <w:vAlign w:val="center"/>
          </w:tcPr>
          <w:p>
            <w:pPr>
              <w:jc w:val="center"/>
              <w:rPr>
                <w:rFonts w:ascii="宋体" w:hAnsi="宋体" w:eastAsia="宋体"/>
                <w:color w:val="auto"/>
                <w:sz w:val="21"/>
                <w:szCs w:val="21"/>
                <w:highlight w:val="none"/>
              </w:rPr>
            </w:pPr>
          </w:p>
        </w:tc>
        <w:tc>
          <w:tcPr>
            <w:tcW w:w="1544"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eastAsia="宋体"/>
                <w:color w:val="auto"/>
                <w:sz w:val="21"/>
                <w:szCs w:val="21"/>
                <w:highlight w:val="none"/>
              </w:rPr>
            </w:pPr>
          </w:p>
        </w:tc>
        <w:tc>
          <w:tcPr>
            <w:tcW w:w="1902" w:type="dxa"/>
            <w:vAlign w:val="center"/>
          </w:tcPr>
          <w:p>
            <w:pPr>
              <w:jc w:val="center"/>
              <w:rPr>
                <w:rFonts w:ascii="宋体" w:hAnsi="宋体" w:eastAsia="宋体"/>
                <w:color w:val="auto"/>
                <w:sz w:val="21"/>
                <w:szCs w:val="21"/>
                <w:highlight w:val="none"/>
              </w:rPr>
            </w:pPr>
          </w:p>
        </w:tc>
        <w:tc>
          <w:tcPr>
            <w:tcW w:w="1370" w:type="dxa"/>
            <w:vAlign w:val="center"/>
          </w:tcPr>
          <w:p>
            <w:pPr>
              <w:jc w:val="center"/>
              <w:rPr>
                <w:rFonts w:ascii="宋体" w:hAnsi="宋体" w:eastAsia="宋体"/>
                <w:color w:val="auto"/>
                <w:sz w:val="21"/>
                <w:szCs w:val="21"/>
                <w:highlight w:val="none"/>
              </w:rPr>
            </w:pPr>
          </w:p>
        </w:tc>
        <w:tc>
          <w:tcPr>
            <w:tcW w:w="1629" w:type="dxa"/>
            <w:vAlign w:val="center"/>
          </w:tcPr>
          <w:p>
            <w:pPr>
              <w:jc w:val="center"/>
              <w:rPr>
                <w:rFonts w:ascii="宋体" w:hAnsi="宋体" w:eastAsia="宋体"/>
                <w:color w:val="auto"/>
                <w:sz w:val="21"/>
                <w:szCs w:val="21"/>
                <w:highlight w:val="none"/>
              </w:rPr>
            </w:pPr>
          </w:p>
        </w:tc>
        <w:tc>
          <w:tcPr>
            <w:tcW w:w="1239" w:type="dxa"/>
            <w:vAlign w:val="center"/>
          </w:tcPr>
          <w:p>
            <w:pPr>
              <w:jc w:val="center"/>
              <w:rPr>
                <w:rFonts w:ascii="宋体" w:hAnsi="宋体" w:eastAsia="宋体"/>
                <w:color w:val="auto"/>
                <w:sz w:val="21"/>
                <w:szCs w:val="21"/>
                <w:highlight w:val="none"/>
              </w:rPr>
            </w:pPr>
          </w:p>
        </w:tc>
        <w:tc>
          <w:tcPr>
            <w:tcW w:w="1544"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eastAsia="宋体"/>
                <w:color w:val="auto"/>
                <w:sz w:val="21"/>
                <w:szCs w:val="21"/>
                <w:highlight w:val="none"/>
              </w:rPr>
            </w:pPr>
          </w:p>
        </w:tc>
        <w:tc>
          <w:tcPr>
            <w:tcW w:w="1902" w:type="dxa"/>
            <w:vAlign w:val="center"/>
          </w:tcPr>
          <w:p>
            <w:pPr>
              <w:jc w:val="center"/>
              <w:rPr>
                <w:rFonts w:ascii="宋体" w:hAnsi="宋体" w:eastAsia="宋体"/>
                <w:color w:val="auto"/>
                <w:sz w:val="21"/>
                <w:szCs w:val="21"/>
                <w:highlight w:val="none"/>
              </w:rPr>
            </w:pPr>
          </w:p>
        </w:tc>
        <w:tc>
          <w:tcPr>
            <w:tcW w:w="1370" w:type="dxa"/>
            <w:vAlign w:val="center"/>
          </w:tcPr>
          <w:p>
            <w:pPr>
              <w:jc w:val="center"/>
              <w:rPr>
                <w:rFonts w:ascii="宋体" w:hAnsi="宋体" w:eastAsia="宋体"/>
                <w:color w:val="auto"/>
                <w:sz w:val="21"/>
                <w:szCs w:val="21"/>
                <w:highlight w:val="none"/>
              </w:rPr>
            </w:pPr>
          </w:p>
        </w:tc>
        <w:tc>
          <w:tcPr>
            <w:tcW w:w="1629" w:type="dxa"/>
            <w:vAlign w:val="center"/>
          </w:tcPr>
          <w:p>
            <w:pPr>
              <w:jc w:val="center"/>
              <w:rPr>
                <w:rFonts w:ascii="宋体" w:hAnsi="宋体" w:eastAsia="宋体"/>
                <w:color w:val="auto"/>
                <w:sz w:val="21"/>
                <w:szCs w:val="21"/>
                <w:highlight w:val="none"/>
              </w:rPr>
            </w:pPr>
          </w:p>
        </w:tc>
        <w:tc>
          <w:tcPr>
            <w:tcW w:w="1239" w:type="dxa"/>
            <w:vAlign w:val="center"/>
          </w:tcPr>
          <w:p>
            <w:pPr>
              <w:jc w:val="center"/>
              <w:rPr>
                <w:rFonts w:ascii="宋体" w:hAnsi="宋体" w:eastAsia="宋体"/>
                <w:color w:val="auto"/>
                <w:sz w:val="21"/>
                <w:szCs w:val="21"/>
                <w:highlight w:val="none"/>
              </w:rPr>
            </w:pPr>
          </w:p>
        </w:tc>
        <w:tc>
          <w:tcPr>
            <w:tcW w:w="1544"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eastAsia="宋体"/>
                <w:color w:val="auto"/>
                <w:sz w:val="21"/>
                <w:szCs w:val="21"/>
                <w:highlight w:val="none"/>
              </w:rPr>
            </w:pPr>
          </w:p>
        </w:tc>
        <w:tc>
          <w:tcPr>
            <w:tcW w:w="1902" w:type="dxa"/>
            <w:vAlign w:val="center"/>
          </w:tcPr>
          <w:p>
            <w:pPr>
              <w:jc w:val="center"/>
              <w:rPr>
                <w:rFonts w:ascii="宋体" w:hAnsi="宋体" w:eastAsia="宋体"/>
                <w:color w:val="auto"/>
                <w:sz w:val="21"/>
                <w:szCs w:val="21"/>
                <w:highlight w:val="none"/>
              </w:rPr>
            </w:pPr>
          </w:p>
        </w:tc>
        <w:tc>
          <w:tcPr>
            <w:tcW w:w="1370" w:type="dxa"/>
            <w:vAlign w:val="center"/>
          </w:tcPr>
          <w:p>
            <w:pPr>
              <w:jc w:val="center"/>
              <w:rPr>
                <w:rFonts w:ascii="宋体" w:hAnsi="宋体" w:eastAsia="宋体"/>
                <w:color w:val="auto"/>
                <w:sz w:val="21"/>
                <w:szCs w:val="21"/>
                <w:highlight w:val="none"/>
              </w:rPr>
            </w:pPr>
          </w:p>
        </w:tc>
        <w:tc>
          <w:tcPr>
            <w:tcW w:w="1629" w:type="dxa"/>
            <w:vAlign w:val="center"/>
          </w:tcPr>
          <w:p>
            <w:pPr>
              <w:jc w:val="center"/>
              <w:rPr>
                <w:rFonts w:ascii="宋体" w:hAnsi="宋体" w:eastAsia="宋体"/>
                <w:color w:val="auto"/>
                <w:sz w:val="21"/>
                <w:szCs w:val="21"/>
                <w:highlight w:val="none"/>
              </w:rPr>
            </w:pPr>
          </w:p>
        </w:tc>
        <w:tc>
          <w:tcPr>
            <w:tcW w:w="1239" w:type="dxa"/>
            <w:vAlign w:val="center"/>
          </w:tcPr>
          <w:p>
            <w:pPr>
              <w:jc w:val="center"/>
              <w:rPr>
                <w:rFonts w:ascii="宋体" w:hAnsi="宋体" w:eastAsia="宋体"/>
                <w:color w:val="auto"/>
                <w:sz w:val="21"/>
                <w:szCs w:val="21"/>
                <w:highlight w:val="none"/>
              </w:rPr>
            </w:pPr>
          </w:p>
        </w:tc>
        <w:tc>
          <w:tcPr>
            <w:tcW w:w="1544"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eastAsia="宋体"/>
                <w:color w:val="auto"/>
                <w:sz w:val="21"/>
                <w:szCs w:val="21"/>
                <w:highlight w:val="none"/>
              </w:rPr>
            </w:pPr>
          </w:p>
        </w:tc>
        <w:tc>
          <w:tcPr>
            <w:tcW w:w="1902" w:type="dxa"/>
            <w:vAlign w:val="center"/>
          </w:tcPr>
          <w:p>
            <w:pPr>
              <w:jc w:val="center"/>
              <w:rPr>
                <w:rFonts w:ascii="宋体" w:hAnsi="宋体" w:eastAsia="宋体"/>
                <w:color w:val="auto"/>
                <w:sz w:val="21"/>
                <w:szCs w:val="21"/>
                <w:highlight w:val="none"/>
              </w:rPr>
            </w:pPr>
          </w:p>
        </w:tc>
        <w:tc>
          <w:tcPr>
            <w:tcW w:w="1370" w:type="dxa"/>
            <w:vAlign w:val="center"/>
          </w:tcPr>
          <w:p>
            <w:pPr>
              <w:jc w:val="center"/>
              <w:rPr>
                <w:rFonts w:ascii="宋体" w:hAnsi="宋体" w:eastAsia="宋体"/>
                <w:color w:val="auto"/>
                <w:sz w:val="21"/>
                <w:szCs w:val="21"/>
                <w:highlight w:val="none"/>
              </w:rPr>
            </w:pPr>
          </w:p>
        </w:tc>
        <w:tc>
          <w:tcPr>
            <w:tcW w:w="1629" w:type="dxa"/>
            <w:vAlign w:val="center"/>
          </w:tcPr>
          <w:p>
            <w:pPr>
              <w:jc w:val="center"/>
              <w:rPr>
                <w:rFonts w:ascii="宋体" w:hAnsi="宋体" w:eastAsia="宋体"/>
                <w:color w:val="auto"/>
                <w:sz w:val="21"/>
                <w:szCs w:val="21"/>
                <w:highlight w:val="none"/>
              </w:rPr>
            </w:pPr>
          </w:p>
        </w:tc>
        <w:tc>
          <w:tcPr>
            <w:tcW w:w="1239" w:type="dxa"/>
            <w:vAlign w:val="center"/>
          </w:tcPr>
          <w:p>
            <w:pPr>
              <w:jc w:val="center"/>
              <w:rPr>
                <w:rFonts w:ascii="宋体" w:hAnsi="宋体" w:eastAsia="宋体"/>
                <w:color w:val="auto"/>
                <w:sz w:val="21"/>
                <w:szCs w:val="21"/>
                <w:highlight w:val="none"/>
              </w:rPr>
            </w:pPr>
          </w:p>
        </w:tc>
        <w:tc>
          <w:tcPr>
            <w:tcW w:w="1544"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eastAsia="宋体"/>
                <w:color w:val="auto"/>
                <w:sz w:val="21"/>
                <w:szCs w:val="21"/>
                <w:highlight w:val="none"/>
              </w:rPr>
            </w:pPr>
          </w:p>
        </w:tc>
        <w:tc>
          <w:tcPr>
            <w:tcW w:w="1902" w:type="dxa"/>
            <w:vAlign w:val="center"/>
          </w:tcPr>
          <w:p>
            <w:pPr>
              <w:jc w:val="center"/>
              <w:rPr>
                <w:rFonts w:ascii="宋体" w:hAnsi="宋体" w:eastAsia="宋体"/>
                <w:color w:val="auto"/>
                <w:sz w:val="21"/>
                <w:szCs w:val="21"/>
                <w:highlight w:val="none"/>
              </w:rPr>
            </w:pPr>
          </w:p>
        </w:tc>
        <w:tc>
          <w:tcPr>
            <w:tcW w:w="1370" w:type="dxa"/>
            <w:vAlign w:val="center"/>
          </w:tcPr>
          <w:p>
            <w:pPr>
              <w:jc w:val="center"/>
              <w:rPr>
                <w:rFonts w:ascii="宋体" w:hAnsi="宋体" w:eastAsia="宋体"/>
                <w:color w:val="auto"/>
                <w:sz w:val="21"/>
                <w:szCs w:val="21"/>
                <w:highlight w:val="none"/>
              </w:rPr>
            </w:pPr>
          </w:p>
        </w:tc>
        <w:tc>
          <w:tcPr>
            <w:tcW w:w="1629" w:type="dxa"/>
            <w:vAlign w:val="center"/>
          </w:tcPr>
          <w:p>
            <w:pPr>
              <w:jc w:val="center"/>
              <w:rPr>
                <w:rFonts w:ascii="宋体" w:hAnsi="宋体" w:eastAsia="宋体"/>
                <w:color w:val="auto"/>
                <w:sz w:val="21"/>
                <w:szCs w:val="21"/>
                <w:highlight w:val="none"/>
              </w:rPr>
            </w:pPr>
          </w:p>
        </w:tc>
        <w:tc>
          <w:tcPr>
            <w:tcW w:w="1239" w:type="dxa"/>
            <w:vAlign w:val="center"/>
          </w:tcPr>
          <w:p>
            <w:pPr>
              <w:jc w:val="center"/>
              <w:rPr>
                <w:rFonts w:ascii="宋体" w:hAnsi="宋体" w:eastAsia="宋体"/>
                <w:color w:val="auto"/>
                <w:sz w:val="21"/>
                <w:szCs w:val="21"/>
                <w:highlight w:val="none"/>
              </w:rPr>
            </w:pPr>
          </w:p>
        </w:tc>
        <w:tc>
          <w:tcPr>
            <w:tcW w:w="1544"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eastAsia="宋体"/>
                <w:color w:val="auto"/>
                <w:sz w:val="21"/>
                <w:szCs w:val="21"/>
                <w:highlight w:val="none"/>
              </w:rPr>
            </w:pPr>
          </w:p>
        </w:tc>
        <w:tc>
          <w:tcPr>
            <w:tcW w:w="1902" w:type="dxa"/>
            <w:vAlign w:val="center"/>
          </w:tcPr>
          <w:p>
            <w:pPr>
              <w:jc w:val="center"/>
              <w:rPr>
                <w:rFonts w:ascii="宋体" w:hAnsi="宋体" w:eastAsia="宋体"/>
                <w:color w:val="auto"/>
                <w:sz w:val="21"/>
                <w:szCs w:val="21"/>
                <w:highlight w:val="none"/>
              </w:rPr>
            </w:pPr>
          </w:p>
        </w:tc>
        <w:tc>
          <w:tcPr>
            <w:tcW w:w="1370" w:type="dxa"/>
            <w:vAlign w:val="center"/>
          </w:tcPr>
          <w:p>
            <w:pPr>
              <w:jc w:val="center"/>
              <w:rPr>
                <w:rFonts w:ascii="宋体" w:hAnsi="宋体" w:eastAsia="宋体"/>
                <w:color w:val="auto"/>
                <w:sz w:val="21"/>
                <w:szCs w:val="21"/>
                <w:highlight w:val="none"/>
              </w:rPr>
            </w:pPr>
          </w:p>
        </w:tc>
        <w:tc>
          <w:tcPr>
            <w:tcW w:w="1629" w:type="dxa"/>
            <w:vAlign w:val="center"/>
          </w:tcPr>
          <w:p>
            <w:pPr>
              <w:jc w:val="center"/>
              <w:rPr>
                <w:rFonts w:ascii="宋体" w:hAnsi="宋体" w:eastAsia="宋体"/>
                <w:color w:val="auto"/>
                <w:sz w:val="21"/>
                <w:szCs w:val="21"/>
                <w:highlight w:val="none"/>
              </w:rPr>
            </w:pPr>
          </w:p>
        </w:tc>
        <w:tc>
          <w:tcPr>
            <w:tcW w:w="1239" w:type="dxa"/>
            <w:vAlign w:val="center"/>
          </w:tcPr>
          <w:p>
            <w:pPr>
              <w:jc w:val="center"/>
              <w:rPr>
                <w:rFonts w:ascii="宋体" w:hAnsi="宋体" w:eastAsia="宋体"/>
                <w:color w:val="auto"/>
                <w:sz w:val="21"/>
                <w:szCs w:val="21"/>
                <w:highlight w:val="none"/>
              </w:rPr>
            </w:pPr>
          </w:p>
        </w:tc>
        <w:tc>
          <w:tcPr>
            <w:tcW w:w="1544"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eastAsia="宋体"/>
                <w:color w:val="auto"/>
                <w:sz w:val="21"/>
                <w:szCs w:val="21"/>
                <w:highlight w:val="none"/>
              </w:rPr>
            </w:pPr>
          </w:p>
        </w:tc>
        <w:tc>
          <w:tcPr>
            <w:tcW w:w="1902" w:type="dxa"/>
            <w:vAlign w:val="center"/>
          </w:tcPr>
          <w:p>
            <w:pPr>
              <w:jc w:val="center"/>
              <w:rPr>
                <w:rFonts w:ascii="宋体" w:hAnsi="宋体" w:eastAsia="宋体"/>
                <w:color w:val="auto"/>
                <w:sz w:val="21"/>
                <w:szCs w:val="21"/>
                <w:highlight w:val="none"/>
              </w:rPr>
            </w:pPr>
          </w:p>
        </w:tc>
        <w:tc>
          <w:tcPr>
            <w:tcW w:w="1370" w:type="dxa"/>
            <w:vAlign w:val="center"/>
          </w:tcPr>
          <w:p>
            <w:pPr>
              <w:jc w:val="center"/>
              <w:rPr>
                <w:rFonts w:ascii="宋体" w:hAnsi="宋体" w:eastAsia="宋体"/>
                <w:color w:val="auto"/>
                <w:sz w:val="21"/>
                <w:szCs w:val="21"/>
                <w:highlight w:val="none"/>
              </w:rPr>
            </w:pPr>
          </w:p>
        </w:tc>
        <w:tc>
          <w:tcPr>
            <w:tcW w:w="1629" w:type="dxa"/>
            <w:vAlign w:val="center"/>
          </w:tcPr>
          <w:p>
            <w:pPr>
              <w:jc w:val="center"/>
              <w:rPr>
                <w:rFonts w:ascii="宋体" w:hAnsi="宋体" w:eastAsia="宋体"/>
                <w:color w:val="auto"/>
                <w:sz w:val="21"/>
                <w:szCs w:val="21"/>
                <w:highlight w:val="none"/>
              </w:rPr>
            </w:pPr>
          </w:p>
        </w:tc>
        <w:tc>
          <w:tcPr>
            <w:tcW w:w="1239" w:type="dxa"/>
            <w:vAlign w:val="center"/>
          </w:tcPr>
          <w:p>
            <w:pPr>
              <w:jc w:val="center"/>
              <w:rPr>
                <w:rFonts w:ascii="宋体" w:hAnsi="宋体" w:eastAsia="宋体"/>
                <w:color w:val="auto"/>
                <w:sz w:val="21"/>
                <w:szCs w:val="21"/>
                <w:highlight w:val="none"/>
              </w:rPr>
            </w:pPr>
          </w:p>
        </w:tc>
        <w:tc>
          <w:tcPr>
            <w:tcW w:w="1544" w:type="dxa"/>
            <w:vAlign w:val="center"/>
          </w:tcPr>
          <w:p>
            <w:pPr>
              <w:jc w:val="center"/>
              <w:rPr>
                <w:rFonts w:ascii="宋体" w:hAnsi="宋体" w:eastAsia="宋体"/>
                <w:color w:val="auto"/>
                <w:sz w:val="21"/>
                <w:szCs w:val="21"/>
                <w:highlight w:val="none"/>
              </w:rPr>
            </w:pP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ind w:firstLine="178" w:firstLineChars="85"/>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1、偏离项中填写“正”、“负”或“无”，说明项中填写原因。</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2、投标人应对照招标文件技术规格，说明所提供服务已对招标文件的技术规格做出实质性的响应，并申明与技术规格条文的偏差和例外。特别对有具体参数要求的指标，投标人必须提供所投设备的具体参数值。</w:t>
      </w:r>
    </w:p>
    <w:p>
      <w:pPr>
        <w:spacing w:after="0" w:line="360" w:lineRule="auto"/>
        <w:rPr>
          <w:rFonts w:ascii="宋体" w:hAnsi="宋体" w:eastAsia="宋体"/>
          <w:color w:val="auto"/>
          <w:sz w:val="21"/>
          <w:szCs w:val="21"/>
          <w:highlight w:val="none"/>
        </w:rPr>
      </w:pP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p>
    <w:p>
      <w:pPr>
        <w:rPr>
          <w:rFonts w:ascii="宋体" w:hAnsi="宋体" w:eastAsia="宋体"/>
          <w:color w:val="auto"/>
          <w:sz w:val="21"/>
          <w:szCs w:val="21"/>
          <w:highlight w:val="none"/>
        </w:rPr>
      </w:pPr>
      <w:bookmarkStart w:id="113" w:name="_Toc17691"/>
      <w:r>
        <w:rPr>
          <w:rFonts w:hint="eastAsia" w:ascii="宋体" w:hAnsi="宋体" w:eastAsia="宋体"/>
          <w:color w:val="auto"/>
          <w:sz w:val="21"/>
          <w:szCs w:val="21"/>
          <w:highlight w:val="none"/>
        </w:rPr>
        <w:br w:type="page"/>
      </w:r>
    </w:p>
    <w:p>
      <w:pPr>
        <w:pStyle w:val="6"/>
        <w:widowControl w:val="0"/>
        <w:overflowPunct w:val="0"/>
        <w:spacing w:before="0" w:after="0" w:line="240" w:lineRule="auto"/>
        <w:rPr>
          <w:rFonts w:ascii="宋体" w:hAnsi="宋体" w:eastAsia="宋体" w:cs="Times New Roman"/>
          <w:b w:val="0"/>
          <w:bCs w:val="0"/>
          <w:color w:val="auto"/>
          <w:sz w:val="32"/>
          <w:szCs w:val="32"/>
          <w:highlight w:val="none"/>
        </w:rPr>
      </w:pPr>
      <w:bookmarkStart w:id="114" w:name="_Toc29613"/>
      <w:r>
        <w:rPr>
          <w:rFonts w:hint="eastAsia" w:ascii="宋体" w:hAnsi="宋体" w:eastAsia="宋体"/>
          <w:color w:val="auto"/>
          <w:sz w:val="21"/>
          <w:szCs w:val="21"/>
          <w:highlight w:val="none"/>
        </w:rPr>
        <w:t>附件12.重要技术参数（▲）响应表</w:t>
      </w:r>
      <w:bookmarkEnd w:id="113"/>
      <w:bookmarkEnd w:id="114"/>
    </w:p>
    <w:p>
      <w:pPr>
        <w:jc w:val="center"/>
        <w:rPr>
          <w:rFonts w:ascii="黑体" w:eastAsia="黑体"/>
          <w:color w:val="auto"/>
          <w:sz w:val="28"/>
          <w:szCs w:val="28"/>
          <w:highlight w:val="none"/>
        </w:rPr>
      </w:pPr>
      <w:bookmarkStart w:id="115" w:name="_Toc4464"/>
      <w:bookmarkStart w:id="116" w:name="_Toc26078"/>
      <w:bookmarkStart w:id="117" w:name="_Toc4827"/>
      <w:bookmarkStart w:id="118" w:name="_Toc1274"/>
      <w:bookmarkStart w:id="119" w:name="_Toc6080"/>
      <w:bookmarkStart w:id="120" w:name="_Toc18668"/>
    </w:p>
    <w:p>
      <w:pPr>
        <w:jc w:val="center"/>
        <w:rPr>
          <w:rFonts w:ascii="黑体" w:eastAsia="黑体"/>
          <w:color w:val="auto"/>
          <w:sz w:val="28"/>
          <w:szCs w:val="28"/>
          <w:highlight w:val="none"/>
        </w:rPr>
      </w:pPr>
      <w:r>
        <w:rPr>
          <w:rFonts w:hint="eastAsia" w:ascii="黑体" w:eastAsia="黑体"/>
          <w:color w:val="auto"/>
          <w:sz w:val="28"/>
          <w:szCs w:val="28"/>
          <w:highlight w:val="none"/>
        </w:rPr>
        <w:t>重要技术参数（▲）响应表</w:t>
      </w:r>
      <w:bookmarkEnd w:id="115"/>
      <w:bookmarkEnd w:id="116"/>
      <w:bookmarkEnd w:id="117"/>
      <w:bookmarkEnd w:id="118"/>
      <w:bookmarkEnd w:id="119"/>
      <w:bookmarkEnd w:id="120"/>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2"/>
        <w:gridCol w:w="2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2840"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bookmarkStart w:id="121" w:name="_Toc21739"/>
            <w:bookmarkStart w:id="122" w:name="_Toc4304"/>
            <w:bookmarkStart w:id="123" w:name="_Toc16872"/>
            <w:bookmarkStart w:id="124" w:name="_Toc12049"/>
            <w:bookmarkStart w:id="125" w:name="_Toc27090"/>
            <w:bookmarkStart w:id="126" w:name="_Toc10045"/>
            <w:bookmarkStart w:id="127" w:name="_Toc14815"/>
            <w:bookmarkStart w:id="128" w:name="_Toc2700"/>
            <w:bookmarkStart w:id="129" w:name="_Toc22448"/>
            <w:bookmarkStart w:id="130" w:name="_Toc15903"/>
            <w:r>
              <w:rPr>
                <w:rFonts w:hint="eastAsia" w:ascii="宋体" w:hAnsi="宋体" w:eastAsia="宋体" w:cs="Times New Roman"/>
                <w:color w:val="auto"/>
                <w:sz w:val="21"/>
                <w:szCs w:val="21"/>
                <w:highlight w:val="none"/>
              </w:rPr>
              <w:t>技术参数（▲）</w:t>
            </w:r>
            <w:bookmarkEnd w:id="121"/>
            <w:bookmarkEnd w:id="122"/>
            <w:bookmarkEnd w:id="123"/>
            <w:bookmarkEnd w:id="124"/>
            <w:bookmarkEnd w:id="125"/>
            <w:bookmarkEnd w:id="126"/>
            <w:bookmarkEnd w:id="127"/>
            <w:bookmarkEnd w:id="128"/>
            <w:bookmarkEnd w:id="129"/>
            <w:bookmarkEnd w:id="130"/>
          </w:p>
        </w:tc>
        <w:tc>
          <w:tcPr>
            <w:tcW w:w="2842"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bookmarkStart w:id="131" w:name="_Toc7333"/>
            <w:bookmarkStart w:id="132" w:name="_Toc27442"/>
            <w:bookmarkStart w:id="133" w:name="_Toc32531"/>
            <w:bookmarkStart w:id="134" w:name="_Toc22879"/>
            <w:bookmarkStart w:id="135" w:name="_Toc8490"/>
            <w:bookmarkStart w:id="136" w:name="_Toc22917"/>
            <w:bookmarkStart w:id="137" w:name="_Toc21809"/>
            <w:bookmarkStart w:id="138" w:name="_Toc24662"/>
            <w:bookmarkStart w:id="139" w:name="_Toc8312"/>
            <w:bookmarkStart w:id="140" w:name="_Toc19251"/>
            <w:r>
              <w:rPr>
                <w:rFonts w:hint="eastAsia" w:ascii="宋体" w:hAnsi="宋体" w:eastAsia="宋体" w:cs="Times New Roman"/>
                <w:color w:val="auto"/>
                <w:sz w:val="21"/>
                <w:szCs w:val="21"/>
                <w:highlight w:val="none"/>
              </w:rPr>
              <w:t>是否响应</w:t>
            </w:r>
            <w:bookmarkEnd w:id="131"/>
            <w:bookmarkEnd w:id="132"/>
            <w:bookmarkEnd w:id="133"/>
            <w:bookmarkEnd w:id="134"/>
            <w:bookmarkEnd w:id="135"/>
            <w:bookmarkEnd w:id="136"/>
            <w:bookmarkEnd w:id="137"/>
            <w:bookmarkEnd w:id="138"/>
            <w:bookmarkEnd w:id="139"/>
            <w:bookmarkEnd w:id="140"/>
          </w:p>
        </w:tc>
        <w:tc>
          <w:tcPr>
            <w:tcW w:w="2840"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bookmarkStart w:id="141" w:name="_Toc1330"/>
            <w:bookmarkStart w:id="142" w:name="_Toc5563"/>
            <w:bookmarkStart w:id="143" w:name="_Toc27185"/>
            <w:bookmarkStart w:id="144" w:name="_Toc17642"/>
            <w:bookmarkStart w:id="145" w:name="_Toc20820"/>
            <w:bookmarkStart w:id="146" w:name="_Toc17296"/>
            <w:bookmarkStart w:id="147" w:name="_Toc3701"/>
            <w:bookmarkStart w:id="148" w:name="_Toc5992"/>
            <w:bookmarkStart w:id="149" w:name="_Toc20139"/>
            <w:bookmarkStart w:id="150" w:name="_Toc1912"/>
            <w:r>
              <w:rPr>
                <w:rFonts w:hint="eastAsia" w:ascii="宋体" w:hAnsi="宋体" w:eastAsia="宋体" w:cs="Times New Roman"/>
                <w:color w:val="auto"/>
                <w:sz w:val="21"/>
                <w:szCs w:val="21"/>
                <w:highlight w:val="none"/>
              </w:rPr>
              <w:t>页码范围</w:t>
            </w:r>
            <w:bookmarkEnd w:id="141"/>
            <w:bookmarkEnd w:id="142"/>
            <w:bookmarkEnd w:id="143"/>
            <w:bookmarkEnd w:id="144"/>
            <w:bookmarkEnd w:id="145"/>
            <w:bookmarkEnd w:id="146"/>
            <w:bookmarkEnd w:id="147"/>
            <w:bookmarkEnd w:id="148"/>
            <w:bookmarkEnd w:id="149"/>
            <w:bookmarkEnd w:id="15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2840"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c>
          <w:tcPr>
            <w:tcW w:w="2842"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c>
          <w:tcPr>
            <w:tcW w:w="2840"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2840"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c>
          <w:tcPr>
            <w:tcW w:w="2842"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c>
          <w:tcPr>
            <w:tcW w:w="2840"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2840"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c>
          <w:tcPr>
            <w:tcW w:w="2842"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c>
          <w:tcPr>
            <w:tcW w:w="2840"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2840"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c>
          <w:tcPr>
            <w:tcW w:w="2842"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c>
          <w:tcPr>
            <w:tcW w:w="2840"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2840"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c>
          <w:tcPr>
            <w:tcW w:w="2842"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c>
          <w:tcPr>
            <w:tcW w:w="2840"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2840"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c>
          <w:tcPr>
            <w:tcW w:w="2842"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c>
          <w:tcPr>
            <w:tcW w:w="2840"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r>
    </w:tbl>
    <w:p>
      <w:pPr>
        <w:pStyle w:val="30"/>
        <w:spacing w:after="0" w:line="360" w:lineRule="auto"/>
        <w:rPr>
          <w:rFonts w:ascii="宋体" w:hAnsi="宋体" w:eastAsia="宋体"/>
          <w:color w:val="auto"/>
          <w:sz w:val="21"/>
          <w:szCs w:val="21"/>
          <w:highlight w:val="none"/>
        </w:rPr>
      </w:pPr>
    </w:p>
    <w:p>
      <w:pPr>
        <w:pStyle w:val="30"/>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pStyle w:val="30"/>
        <w:numPr>
          <w:ilvl w:val="0"/>
          <w:numId w:val="11"/>
        </w:num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该表格为参考格式，投标人可按实际情况自行制订。</w:t>
      </w:r>
    </w:p>
    <w:p>
      <w:pPr>
        <w:pStyle w:val="30"/>
        <w:numPr>
          <w:ilvl w:val="0"/>
          <w:numId w:val="11"/>
        </w:numPr>
        <w:spacing w:after="0" w:line="360" w:lineRule="auto"/>
        <w:ind w:firstLine="422"/>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投标人可按项目的实际需要提供本表格。招标文件内未涉及▲参数的，此表可以不用提供。</w:t>
      </w:r>
    </w:p>
    <w:p>
      <w:pPr>
        <w:pStyle w:val="30"/>
        <w:numPr>
          <w:ilvl w:val="0"/>
          <w:numId w:val="11"/>
        </w:num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响应表所列出的材料应为真实准确的，若文件需要，应提供相关证明材料复印件加盖公章。请勿提供虚假、过期材料，否则将依据相关规定严肃处理</w:t>
      </w:r>
    </w:p>
    <w:p>
      <w:pPr>
        <w:pStyle w:val="30"/>
        <w:numPr>
          <w:ilvl w:val="0"/>
          <w:numId w:val="11"/>
        </w:num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若招标文件有需求，投标文件未提供重要技术参数（</w:t>
      </w:r>
      <w:r>
        <w:rPr>
          <w:rFonts w:hint="eastAsia" w:ascii="宋体" w:hAnsi="宋体" w:eastAsia="宋体" w:cs="Times New Roman"/>
          <w:color w:val="auto"/>
          <w:sz w:val="21"/>
          <w:szCs w:val="21"/>
          <w:highlight w:val="none"/>
        </w:rPr>
        <w:t>▲</w:t>
      </w:r>
      <w:r>
        <w:rPr>
          <w:rFonts w:hint="eastAsia" w:ascii="宋体" w:hAnsi="宋体" w:eastAsia="宋体"/>
          <w:color w:val="auto"/>
          <w:sz w:val="21"/>
          <w:szCs w:val="21"/>
          <w:highlight w:val="none"/>
        </w:rPr>
        <w:t>）响应表对投标人投标产生负面影响的，投标人自行承担后果。</w:t>
      </w:r>
    </w:p>
    <w:p>
      <w:pPr>
        <w:pStyle w:val="30"/>
        <w:numPr>
          <w:ilvl w:val="0"/>
          <w:numId w:val="11"/>
        </w:num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6"/>
        <w:widowControl w:val="0"/>
        <w:overflowPunct w:val="0"/>
        <w:spacing w:before="0" w:after="0" w:line="240" w:lineRule="auto"/>
        <w:rPr>
          <w:rFonts w:ascii="宋体" w:hAnsi="宋体" w:eastAsia="宋体"/>
          <w:color w:val="auto"/>
          <w:sz w:val="30"/>
          <w:szCs w:val="30"/>
          <w:highlight w:val="none"/>
        </w:rPr>
      </w:pPr>
      <w:bookmarkStart w:id="151" w:name="_Toc27674"/>
      <w:r>
        <w:rPr>
          <w:rFonts w:hint="eastAsia" w:ascii="宋体" w:hAnsi="宋体" w:eastAsia="宋体"/>
          <w:color w:val="auto"/>
          <w:sz w:val="21"/>
          <w:szCs w:val="21"/>
          <w:highlight w:val="none"/>
        </w:rPr>
        <w:t>附件13.业绩表</w:t>
      </w:r>
      <w:bookmarkEnd w:id="151"/>
    </w:p>
    <w:p>
      <w:pPr>
        <w:jc w:val="center"/>
        <w:rPr>
          <w:rFonts w:ascii="黑体" w:eastAsia="黑体"/>
          <w:color w:val="auto"/>
          <w:sz w:val="28"/>
          <w:szCs w:val="28"/>
          <w:highlight w:val="none"/>
        </w:rPr>
      </w:pPr>
      <w:r>
        <w:rPr>
          <w:rFonts w:hint="eastAsia" w:ascii="黑体" w:eastAsia="黑体"/>
          <w:color w:val="auto"/>
          <w:sz w:val="28"/>
          <w:szCs w:val="28"/>
          <w:highlight w:val="none"/>
        </w:rPr>
        <w:t>业绩表</w:t>
      </w:r>
    </w:p>
    <w:tbl>
      <w:tblPr>
        <w:tblStyle w:val="22"/>
        <w:tblW w:w="8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1705"/>
        <w:gridCol w:w="1706"/>
        <w:gridCol w:w="1705"/>
        <w:gridCol w:w="1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vAlign w:val="center"/>
          </w:tcPr>
          <w:p>
            <w:pPr>
              <w:adjustRightInd/>
              <w:snapToGrid/>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705" w:type="dxa"/>
            <w:vAlign w:val="center"/>
          </w:tcPr>
          <w:p>
            <w:pPr>
              <w:adjustRightInd/>
              <w:snapToGrid/>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1706" w:type="dxa"/>
            <w:vAlign w:val="center"/>
          </w:tcPr>
          <w:p>
            <w:pPr>
              <w:adjustRightInd/>
              <w:snapToGrid/>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项目金额</w:t>
            </w:r>
          </w:p>
        </w:tc>
        <w:tc>
          <w:tcPr>
            <w:tcW w:w="1705" w:type="dxa"/>
            <w:vAlign w:val="center"/>
          </w:tcPr>
          <w:p>
            <w:pPr>
              <w:adjustRightInd/>
              <w:snapToGrid/>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项目合同签订时间</w:t>
            </w:r>
          </w:p>
        </w:tc>
        <w:tc>
          <w:tcPr>
            <w:tcW w:w="1697" w:type="dxa"/>
            <w:vAlign w:val="center"/>
          </w:tcPr>
          <w:p>
            <w:pPr>
              <w:adjustRightInd/>
              <w:snapToGrid/>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vAlign w:val="center"/>
          </w:tcPr>
          <w:p>
            <w:pPr>
              <w:adjustRightInd/>
              <w:snapToGrid/>
              <w:spacing w:after="0"/>
              <w:jc w:val="center"/>
              <w:rPr>
                <w:rFonts w:ascii="宋体" w:hAnsi="宋体" w:eastAsia="宋体"/>
                <w:color w:val="auto"/>
                <w:sz w:val="21"/>
                <w:szCs w:val="21"/>
                <w:highlight w:val="none"/>
              </w:rPr>
            </w:pPr>
          </w:p>
        </w:tc>
        <w:tc>
          <w:tcPr>
            <w:tcW w:w="1705" w:type="dxa"/>
            <w:vAlign w:val="center"/>
          </w:tcPr>
          <w:p>
            <w:pPr>
              <w:adjustRightInd/>
              <w:snapToGrid/>
              <w:spacing w:after="0"/>
              <w:jc w:val="center"/>
              <w:rPr>
                <w:rFonts w:ascii="宋体" w:hAnsi="宋体" w:eastAsia="宋体"/>
                <w:color w:val="auto"/>
                <w:sz w:val="21"/>
                <w:szCs w:val="21"/>
                <w:highlight w:val="none"/>
              </w:rPr>
            </w:pPr>
          </w:p>
        </w:tc>
        <w:tc>
          <w:tcPr>
            <w:tcW w:w="1706" w:type="dxa"/>
            <w:vAlign w:val="center"/>
          </w:tcPr>
          <w:p>
            <w:pPr>
              <w:adjustRightInd/>
              <w:snapToGrid/>
              <w:spacing w:after="0"/>
              <w:jc w:val="center"/>
              <w:rPr>
                <w:rFonts w:ascii="宋体" w:hAnsi="宋体" w:eastAsia="宋体"/>
                <w:color w:val="auto"/>
                <w:sz w:val="21"/>
                <w:szCs w:val="21"/>
                <w:highlight w:val="none"/>
              </w:rPr>
            </w:pPr>
          </w:p>
        </w:tc>
        <w:tc>
          <w:tcPr>
            <w:tcW w:w="1705" w:type="dxa"/>
            <w:vAlign w:val="center"/>
          </w:tcPr>
          <w:p>
            <w:pPr>
              <w:adjustRightInd/>
              <w:snapToGrid/>
              <w:spacing w:after="0"/>
              <w:jc w:val="center"/>
              <w:rPr>
                <w:rFonts w:ascii="宋体" w:hAnsi="宋体" w:eastAsia="宋体"/>
                <w:color w:val="auto"/>
                <w:sz w:val="21"/>
                <w:szCs w:val="21"/>
                <w:highlight w:val="none"/>
              </w:rPr>
            </w:pPr>
          </w:p>
        </w:tc>
        <w:tc>
          <w:tcPr>
            <w:tcW w:w="1697" w:type="dxa"/>
            <w:vAlign w:val="center"/>
          </w:tcPr>
          <w:p>
            <w:pPr>
              <w:adjustRightInd/>
              <w:snapToGrid/>
              <w:spacing w:after="0"/>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tcPr>
          <w:p>
            <w:pPr>
              <w:adjustRightInd/>
              <w:snapToGrid/>
              <w:spacing w:after="0"/>
              <w:rPr>
                <w:rFonts w:ascii="宋体" w:hAnsi="宋体" w:eastAsia="宋体"/>
                <w:color w:val="auto"/>
                <w:sz w:val="21"/>
                <w:szCs w:val="21"/>
                <w:highlight w:val="none"/>
              </w:rPr>
            </w:pPr>
          </w:p>
        </w:tc>
        <w:tc>
          <w:tcPr>
            <w:tcW w:w="1705" w:type="dxa"/>
          </w:tcPr>
          <w:p>
            <w:pPr>
              <w:adjustRightInd/>
              <w:snapToGrid/>
              <w:spacing w:after="0"/>
              <w:rPr>
                <w:rFonts w:ascii="宋体" w:hAnsi="宋体" w:eastAsia="宋体"/>
                <w:color w:val="auto"/>
                <w:sz w:val="21"/>
                <w:szCs w:val="21"/>
                <w:highlight w:val="none"/>
              </w:rPr>
            </w:pPr>
          </w:p>
        </w:tc>
        <w:tc>
          <w:tcPr>
            <w:tcW w:w="1706" w:type="dxa"/>
          </w:tcPr>
          <w:p>
            <w:pPr>
              <w:adjustRightInd/>
              <w:snapToGrid/>
              <w:spacing w:after="0"/>
              <w:rPr>
                <w:rFonts w:ascii="宋体" w:hAnsi="宋体" w:eastAsia="宋体"/>
                <w:color w:val="auto"/>
                <w:sz w:val="21"/>
                <w:szCs w:val="21"/>
                <w:highlight w:val="none"/>
              </w:rPr>
            </w:pPr>
          </w:p>
        </w:tc>
        <w:tc>
          <w:tcPr>
            <w:tcW w:w="1705" w:type="dxa"/>
          </w:tcPr>
          <w:p>
            <w:pPr>
              <w:adjustRightInd/>
              <w:snapToGrid/>
              <w:spacing w:after="0"/>
              <w:rPr>
                <w:rFonts w:ascii="宋体" w:hAnsi="宋体" w:eastAsia="宋体"/>
                <w:color w:val="auto"/>
                <w:sz w:val="21"/>
                <w:szCs w:val="21"/>
                <w:highlight w:val="none"/>
              </w:rPr>
            </w:pPr>
          </w:p>
        </w:tc>
        <w:tc>
          <w:tcPr>
            <w:tcW w:w="1697" w:type="dxa"/>
          </w:tcPr>
          <w:p>
            <w:pPr>
              <w:adjustRightInd/>
              <w:snapToGrid/>
              <w:spacing w:after="0"/>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tcPr>
          <w:p>
            <w:pPr>
              <w:adjustRightInd/>
              <w:snapToGrid/>
              <w:spacing w:after="0"/>
              <w:rPr>
                <w:rFonts w:ascii="宋体" w:hAnsi="宋体" w:eastAsia="宋体"/>
                <w:color w:val="auto"/>
                <w:sz w:val="21"/>
                <w:szCs w:val="21"/>
                <w:highlight w:val="none"/>
              </w:rPr>
            </w:pPr>
          </w:p>
        </w:tc>
        <w:tc>
          <w:tcPr>
            <w:tcW w:w="1705" w:type="dxa"/>
          </w:tcPr>
          <w:p>
            <w:pPr>
              <w:adjustRightInd/>
              <w:snapToGrid/>
              <w:spacing w:after="0"/>
              <w:rPr>
                <w:rFonts w:ascii="宋体" w:hAnsi="宋体" w:eastAsia="宋体"/>
                <w:color w:val="auto"/>
                <w:sz w:val="21"/>
                <w:szCs w:val="21"/>
                <w:highlight w:val="none"/>
              </w:rPr>
            </w:pPr>
          </w:p>
        </w:tc>
        <w:tc>
          <w:tcPr>
            <w:tcW w:w="1706" w:type="dxa"/>
          </w:tcPr>
          <w:p>
            <w:pPr>
              <w:adjustRightInd/>
              <w:snapToGrid/>
              <w:spacing w:after="0"/>
              <w:rPr>
                <w:rFonts w:ascii="宋体" w:hAnsi="宋体" w:eastAsia="宋体"/>
                <w:color w:val="auto"/>
                <w:sz w:val="21"/>
                <w:szCs w:val="21"/>
                <w:highlight w:val="none"/>
              </w:rPr>
            </w:pPr>
          </w:p>
        </w:tc>
        <w:tc>
          <w:tcPr>
            <w:tcW w:w="1705" w:type="dxa"/>
          </w:tcPr>
          <w:p>
            <w:pPr>
              <w:adjustRightInd/>
              <w:snapToGrid/>
              <w:spacing w:after="0"/>
              <w:rPr>
                <w:rFonts w:ascii="宋体" w:hAnsi="宋体" w:eastAsia="宋体"/>
                <w:color w:val="auto"/>
                <w:sz w:val="21"/>
                <w:szCs w:val="21"/>
                <w:highlight w:val="none"/>
              </w:rPr>
            </w:pPr>
          </w:p>
        </w:tc>
        <w:tc>
          <w:tcPr>
            <w:tcW w:w="1697" w:type="dxa"/>
          </w:tcPr>
          <w:p>
            <w:pPr>
              <w:adjustRightInd/>
              <w:snapToGrid/>
              <w:spacing w:after="0"/>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tcPr>
          <w:p>
            <w:pPr>
              <w:adjustRightInd/>
              <w:snapToGrid/>
              <w:spacing w:after="0"/>
              <w:rPr>
                <w:rFonts w:ascii="宋体" w:hAnsi="宋体" w:eastAsia="宋体"/>
                <w:color w:val="auto"/>
                <w:sz w:val="21"/>
                <w:szCs w:val="21"/>
                <w:highlight w:val="none"/>
              </w:rPr>
            </w:pPr>
          </w:p>
        </w:tc>
        <w:tc>
          <w:tcPr>
            <w:tcW w:w="1705" w:type="dxa"/>
          </w:tcPr>
          <w:p>
            <w:pPr>
              <w:adjustRightInd/>
              <w:snapToGrid/>
              <w:spacing w:after="0"/>
              <w:rPr>
                <w:rFonts w:ascii="宋体" w:hAnsi="宋体" w:eastAsia="宋体"/>
                <w:color w:val="auto"/>
                <w:sz w:val="21"/>
                <w:szCs w:val="21"/>
                <w:highlight w:val="none"/>
              </w:rPr>
            </w:pPr>
          </w:p>
        </w:tc>
        <w:tc>
          <w:tcPr>
            <w:tcW w:w="1706" w:type="dxa"/>
          </w:tcPr>
          <w:p>
            <w:pPr>
              <w:adjustRightInd/>
              <w:snapToGrid/>
              <w:spacing w:after="0"/>
              <w:rPr>
                <w:rFonts w:ascii="宋体" w:hAnsi="宋体" w:eastAsia="宋体"/>
                <w:color w:val="auto"/>
                <w:sz w:val="21"/>
                <w:szCs w:val="21"/>
                <w:highlight w:val="none"/>
              </w:rPr>
            </w:pPr>
          </w:p>
        </w:tc>
        <w:tc>
          <w:tcPr>
            <w:tcW w:w="1705" w:type="dxa"/>
          </w:tcPr>
          <w:p>
            <w:pPr>
              <w:adjustRightInd/>
              <w:snapToGrid/>
              <w:spacing w:after="0"/>
              <w:rPr>
                <w:rFonts w:ascii="宋体" w:hAnsi="宋体" w:eastAsia="宋体"/>
                <w:color w:val="auto"/>
                <w:sz w:val="21"/>
                <w:szCs w:val="21"/>
                <w:highlight w:val="none"/>
              </w:rPr>
            </w:pPr>
          </w:p>
        </w:tc>
        <w:tc>
          <w:tcPr>
            <w:tcW w:w="1697" w:type="dxa"/>
          </w:tcPr>
          <w:p>
            <w:pPr>
              <w:adjustRightInd/>
              <w:snapToGrid/>
              <w:spacing w:after="0"/>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tcPr>
          <w:p>
            <w:pPr>
              <w:adjustRightInd/>
              <w:snapToGrid/>
              <w:spacing w:after="0"/>
              <w:rPr>
                <w:rFonts w:ascii="宋体" w:hAnsi="宋体" w:eastAsia="宋体"/>
                <w:color w:val="auto"/>
                <w:sz w:val="21"/>
                <w:szCs w:val="21"/>
                <w:highlight w:val="none"/>
              </w:rPr>
            </w:pPr>
          </w:p>
        </w:tc>
        <w:tc>
          <w:tcPr>
            <w:tcW w:w="1705" w:type="dxa"/>
          </w:tcPr>
          <w:p>
            <w:pPr>
              <w:adjustRightInd/>
              <w:snapToGrid/>
              <w:spacing w:after="0"/>
              <w:rPr>
                <w:rFonts w:ascii="宋体" w:hAnsi="宋体" w:eastAsia="宋体"/>
                <w:color w:val="auto"/>
                <w:sz w:val="21"/>
                <w:szCs w:val="21"/>
                <w:highlight w:val="none"/>
              </w:rPr>
            </w:pPr>
          </w:p>
        </w:tc>
        <w:tc>
          <w:tcPr>
            <w:tcW w:w="1706" w:type="dxa"/>
          </w:tcPr>
          <w:p>
            <w:pPr>
              <w:adjustRightInd/>
              <w:snapToGrid/>
              <w:spacing w:after="0"/>
              <w:rPr>
                <w:rFonts w:ascii="宋体" w:hAnsi="宋体" w:eastAsia="宋体"/>
                <w:color w:val="auto"/>
                <w:sz w:val="21"/>
                <w:szCs w:val="21"/>
                <w:highlight w:val="none"/>
              </w:rPr>
            </w:pPr>
          </w:p>
        </w:tc>
        <w:tc>
          <w:tcPr>
            <w:tcW w:w="1705" w:type="dxa"/>
          </w:tcPr>
          <w:p>
            <w:pPr>
              <w:adjustRightInd/>
              <w:snapToGrid/>
              <w:spacing w:after="0"/>
              <w:rPr>
                <w:rFonts w:ascii="宋体" w:hAnsi="宋体" w:eastAsia="宋体"/>
                <w:color w:val="auto"/>
                <w:sz w:val="21"/>
                <w:szCs w:val="21"/>
                <w:highlight w:val="none"/>
              </w:rPr>
            </w:pPr>
          </w:p>
        </w:tc>
        <w:tc>
          <w:tcPr>
            <w:tcW w:w="1697" w:type="dxa"/>
          </w:tcPr>
          <w:p>
            <w:pPr>
              <w:adjustRightInd/>
              <w:snapToGrid/>
              <w:spacing w:after="0"/>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tcPr>
          <w:p>
            <w:pPr>
              <w:adjustRightInd/>
              <w:snapToGrid/>
              <w:spacing w:after="0"/>
              <w:rPr>
                <w:rFonts w:ascii="宋体" w:hAnsi="宋体" w:eastAsia="宋体"/>
                <w:color w:val="auto"/>
                <w:sz w:val="21"/>
                <w:szCs w:val="21"/>
                <w:highlight w:val="none"/>
              </w:rPr>
            </w:pPr>
          </w:p>
        </w:tc>
        <w:tc>
          <w:tcPr>
            <w:tcW w:w="1705" w:type="dxa"/>
          </w:tcPr>
          <w:p>
            <w:pPr>
              <w:adjustRightInd/>
              <w:snapToGrid/>
              <w:spacing w:after="0"/>
              <w:rPr>
                <w:rFonts w:ascii="宋体" w:hAnsi="宋体" w:eastAsia="宋体"/>
                <w:color w:val="auto"/>
                <w:sz w:val="21"/>
                <w:szCs w:val="21"/>
                <w:highlight w:val="none"/>
              </w:rPr>
            </w:pPr>
          </w:p>
        </w:tc>
        <w:tc>
          <w:tcPr>
            <w:tcW w:w="1706" w:type="dxa"/>
          </w:tcPr>
          <w:p>
            <w:pPr>
              <w:adjustRightInd/>
              <w:snapToGrid/>
              <w:spacing w:after="0"/>
              <w:rPr>
                <w:rFonts w:ascii="宋体" w:hAnsi="宋体" w:eastAsia="宋体"/>
                <w:color w:val="auto"/>
                <w:sz w:val="21"/>
                <w:szCs w:val="21"/>
                <w:highlight w:val="none"/>
              </w:rPr>
            </w:pPr>
          </w:p>
        </w:tc>
        <w:tc>
          <w:tcPr>
            <w:tcW w:w="1705" w:type="dxa"/>
          </w:tcPr>
          <w:p>
            <w:pPr>
              <w:adjustRightInd/>
              <w:snapToGrid/>
              <w:spacing w:after="0"/>
              <w:rPr>
                <w:rFonts w:ascii="宋体" w:hAnsi="宋体" w:eastAsia="宋体"/>
                <w:color w:val="auto"/>
                <w:sz w:val="21"/>
                <w:szCs w:val="21"/>
                <w:highlight w:val="none"/>
              </w:rPr>
            </w:pPr>
          </w:p>
        </w:tc>
        <w:tc>
          <w:tcPr>
            <w:tcW w:w="1697" w:type="dxa"/>
          </w:tcPr>
          <w:p>
            <w:pPr>
              <w:adjustRightInd/>
              <w:snapToGrid/>
              <w:spacing w:after="0"/>
              <w:rPr>
                <w:rFonts w:ascii="宋体" w:hAnsi="宋体" w:eastAsia="宋体"/>
                <w:color w:val="auto"/>
                <w:sz w:val="21"/>
                <w:szCs w:val="21"/>
                <w:highlight w:val="none"/>
              </w:rPr>
            </w:pPr>
          </w:p>
        </w:tc>
      </w:tr>
    </w:tbl>
    <w:p>
      <w:pPr>
        <w:pStyle w:val="30"/>
        <w:spacing w:after="0"/>
        <w:rPr>
          <w:rFonts w:ascii="宋体" w:hAnsi="宋体" w:eastAsia="宋体"/>
          <w:color w:val="auto"/>
          <w:sz w:val="21"/>
          <w:szCs w:val="21"/>
          <w:highlight w:val="none"/>
        </w:rPr>
      </w:pPr>
    </w:p>
    <w:p>
      <w:pPr>
        <w:pStyle w:val="30"/>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pStyle w:val="30"/>
        <w:numPr>
          <w:ilvl w:val="0"/>
          <w:numId w:val="12"/>
        </w:num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该表格为参考格式，投标人可按实际情况自行制订。</w:t>
      </w:r>
    </w:p>
    <w:p>
      <w:pPr>
        <w:pStyle w:val="30"/>
        <w:numPr>
          <w:ilvl w:val="0"/>
          <w:numId w:val="12"/>
        </w:num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业绩表所列出的材料应为真实准确的，并应提供相关证明材料复印件加盖公章。请勿提供虚假、过期材料，否则将依据相关规定严肃处理。</w:t>
      </w:r>
    </w:p>
    <w:p>
      <w:pPr>
        <w:pStyle w:val="30"/>
        <w:numPr>
          <w:ilvl w:val="0"/>
          <w:numId w:val="12"/>
        </w:num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6"/>
        <w:widowControl w:val="0"/>
        <w:overflowPunct w:val="0"/>
        <w:spacing w:before="0" w:after="0" w:line="240" w:lineRule="auto"/>
        <w:rPr>
          <w:rFonts w:ascii="宋体" w:hAnsi="宋体" w:eastAsia="宋体"/>
          <w:color w:val="auto"/>
          <w:sz w:val="21"/>
          <w:szCs w:val="21"/>
          <w:highlight w:val="none"/>
        </w:rPr>
      </w:pPr>
      <w:bookmarkStart w:id="152" w:name="_Toc7860"/>
      <w:r>
        <w:rPr>
          <w:rFonts w:hint="eastAsia" w:ascii="宋体" w:hAnsi="宋体" w:eastAsia="宋体"/>
          <w:color w:val="auto"/>
          <w:sz w:val="21"/>
          <w:szCs w:val="21"/>
          <w:highlight w:val="none"/>
        </w:rPr>
        <w:t>附件14. 项目实施方案格式</w:t>
      </w:r>
      <w:bookmarkEnd w:id="152"/>
    </w:p>
    <w:p>
      <w:pPr>
        <w:jc w:val="center"/>
        <w:rPr>
          <w:rFonts w:ascii="黑体" w:eastAsia="黑体"/>
          <w:color w:val="auto"/>
          <w:sz w:val="32"/>
          <w:szCs w:val="32"/>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项目实施方案</w:t>
      </w:r>
    </w:p>
    <w:p>
      <w:pPr>
        <w:jc w:val="center"/>
        <w:rPr>
          <w:rFonts w:ascii="黑体" w:eastAsia="黑体"/>
          <w:color w:val="auto"/>
          <w:sz w:val="32"/>
          <w:szCs w:val="32"/>
          <w:highlight w:val="none"/>
        </w:rPr>
      </w:pPr>
    </w:p>
    <w:p>
      <w:pPr>
        <w:spacing w:after="0" w:line="360" w:lineRule="auto"/>
        <w:ind w:left="73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t>1、为完成本项目投标人临时投入的设备</w:t>
      </w:r>
    </w:p>
    <w:p>
      <w:pPr>
        <w:spacing w:after="0" w:line="360" w:lineRule="auto"/>
        <w:ind w:left="73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t>2、为完成本项目投标人投入的人员以及具体工作安排</w:t>
      </w:r>
    </w:p>
    <w:p>
      <w:pPr>
        <w:spacing w:after="0" w:line="360" w:lineRule="auto"/>
        <w:ind w:left="73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t>3、投标人为本项目制定的具体项目实施方案与项目实施流程</w:t>
      </w:r>
    </w:p>
    <w:p>
      <w:pPr>
        <w:spacing w:after="0" w:line="360" w:lineRule="auto"/>
        <w:ind w:left="73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t>4、售后服务方案</w:t>
      </w:r>
    </w:p>
    <w:p>
      <w:pPr>
        <w:spacing w:after="0" w:line="360" w:lineRule="auto"/>
        <w:ind w:left="73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t>5、..........</w:t>
      </w:r>
    </w:p>
    <w:p>
      <w:pPr>
        <w:spacing w:after="0" w:line="360" w:lineRule="auto"/>
        <w:ind w:left="738" w:leftChars="200" w:hanging="298" w:hangingChars="142"/>
        <w:rPr>
          <w:rFonts w:ascii="宋体" w:hAnsi="宋体" w:eastAsia="宋体" w:cs="Times New Roman"/>
          <w:color w:val="auto"/>
          <w:sz w:val="21"/>
          <w:szCs w:val="21"/>
          <w:highlight w:val="none"/>
        </w:rPr>
      </w:pPr>
      <w:r>
        <w:rPr>
          <w:rFonts w:hint="eastAsia" w:ascii="宋体" w:hAnsi="宋体" w:eastAsia="宋体"/>
          <w:color w:val="auto"/>
          <w:sz w:val="21"/>
          <w:szCs w:val="21"/>
          <w:highlight w:val="none"/>
        </w:rPr>
        <w:t>自行编写。</w:t>
      </w:r>
    </w:p>
    <w:p>
      <w:pPr>
        <w:spacing w:after="0" w:line="360" w:lineRule="auto"/>
        <w:ind w:left="738" w:leftChars="200" w:hanging="298" w:hangingChars="142"/>
        <w:rPr>
          <w:rFonts w:ascii="宋体" w:hAnsi="宋体" w:eastAsia="宋体"/>
          <w:color w:val="auto"/>
          <w:sz w:val="21"/>
          <w:szCs w:val="21"/>
          <w:highlight w:val="none"/>
        </w:rPr>
      </w:pPr>
    </w:p>
    <w:p>
      <w:pPr>
        <w:spacing w:after="0" w:line="360" w:lineRule="auto"/>
        <w:ind w:left="738" w:leftChars="200" w:hanging="298" w:hangingChars="142"/>
        <w:rPr>
          <w:rFonts w:ascii="宋体" w:hAnsi="宋体" w:eastAsia="宋体"/>
          <w:color w:val="auto"/>
          <w:sz w:val="21"/>
          <w:szCs w:val="21"/>
          <w:highlight w:val="none"/>
        </w:rPr>
      </w:pPr>
    </w:p>
    <w:p>
      <w:pPr>
        <w:spacing w:after="0" w:line="360" w:lineRule="auto"/>
        <w:ind w:left="73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6"/>
        <w:widowControl w:val="0"/>
        <w:overflowPunct w:val="0"/>
        <w:spacing w:before="0" w:after="0" w:line="240" w:lineRule="auto"/>
        <w:rPr>
          <w:rFonts w:ascii="宋体" w:hAnsi="宋体" w:eastAsia="宋体"/>
          <w:color w:val="auto"/>
          <w:sz w:val="21"/>
          <w:szCs w:val="21"/>
          <w:highlight w:val="none"/>
        </w:rPr>
      </w:pPr>
      <w:bookmarkStart w:id="153" w:name="_Toc8596"/>
      <w:r>
        <w:rPr>
          <w:rFonts w:hint="eastAsia" w:ascii="宋体" w:hAnsi="宋体" w:eastAsia="宋体"/>
          <w:color w:val="auto"/>
          <w:sz w:val="21"/>
          <w:szCs w:val="21"/>
          <w:highlight w:val="none"/>
        </w:rPr>
        <w:t>附件15. 实施本项目的有关人员资料表格式</w:t>
      </w:r>
      <w:bookmarkEnd w:id="153"/>
    </w:p>
    <w:p>
      <w:pPr>
        <w:jc w:val="center"/>
        <w:rPr>
          <w:rFonts w:ascii="宋体" w:hAnsi="宋体" w:eastAsia="宋体"/>
          <w:color w:val="auto"/>
          <w:sz w:val="21"/>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实施本项目的有关人员资料表</w:t>
      </w:r>
    </w:p>
    <w:tbl>
      <w:tblPr>
        <w:tblStyle w:val="21"/>
        <w:tblW w:w="7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822"/>
        <w:gridCol w:w="1392"/>
        <w:gridCol w:w="763"/>
        <w:gridCol w:w="708"/>
        <w:gridCol w:w="851"/>
        <w:gridCol w:w="850"/>
        <w:gridCol w:w="788"/>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822"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姓名</w:t>
            </w:r>
          </w:p>
        </w:tc>
        <w:tc>
          <w:tcPr>
            <w:tcW w:w="1392"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本项目拟任岗位</w:t>
            </w:r>
          </w:p>
        </w:tc>
        <w:tc>
          <w:tcPr>
            <w:tcW w:w="763"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性别</w:t>
            </w:r>
          </w:p>
        </w:tc>
        <w:tc>
          <w:tcPr>
            <w:tcW w:w="708"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年龄</w:t>
            </w:r>
          </w:p>
        </w:tc>
        <w:tc>
          <w:tcPr>
            <w:tcW w:w="851"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技术职称</w:t>
            </w:r>
          </w:p>
        </w:tc>
        <w:tc>
          <w:tcPr>
            <w:tcW w:w="850"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专 业</w:t>
            </w:r>
          </w:p>
        </w:tc>
        <w:tc>
          <w:tcPr>
            <w:tcW w:w="788"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资质证书</w:t>
            </w:r>
          </w:p>
        </w:tc>
        <w:tc>
          <w:tcPr>
            <w:tcW w:w="1090" w:type="dxa"/>
            <w:tcBorders>
              <w:right w:val="single" w:color="auto" w:sz="6" w:space="0"/>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ascii="宋体" w:hAnsi="宋体" w:eastAsia="宋体"/>
                <w:color w:val="auto"/>
                <w:sz w:val="21"/>
                <w:szCs w:val="21"/>
                <w:highlight w:val="none"/>
              </w:rPr>
            </w:pPr>
          </w:p>
        </w:tc>
        <w:tc>
          <w:tcPr>
            <w:tcW w:w="822" w:type="dxa"/>
            <w:vAlign w:val="center"/>
          </w:tcPr>
          <w:p>
            <w:pPr>
              <w:spacing w:line="288" w:lineRule="auto"/>
              <w:jc w:val="center"/>
              <w:rPr>
                <w:rFonts w:ascii="宋体" w:hAnsi="宋体" w:eastAsia="宋体"/>
                <w:color w:val="auto"/>
                <w:sz w:val="21"/>
                <w:szCs w:val="21"/>
                <w:highlight w:val="none"/>
              </w:rPr>
            </w:pPr>
          </w:p>
        </w:tc>
        <w:tc>
          <w:tcPr>
            <w:tcW w:w="1392" w:type="dxa"/>
            <w:vAlign w:val="center"/>
          </w:tcPr>
          <w:p>
            <w:pPr>
              <w:spacing w:line="288" w:lineRule="auto"/>
              <w:jc w:val="center"/>
              <w:rPr>
                <w:rFonts w:ascii="宋体" w:hAnsi="宋体" w:eastAsia="宋体"/>
                <w:color w:val="auto"/>
                <w:sz w:val="21"/>
                <w:szCs w:val="21"/>
                <w:highlight w:val="none"/>
              </w:rPr>
            </w:pPr>
          </w:p>
        </w:tc>
        <w:tc>
          <w:tcPr>
            <w:tcW w:w="763" w:type="dxa"/>
            <w:vAlign w:val="center"/>
          </w:tcPr>
          <w:p>
            <w:pPr>
              <w:spacing w:line="288" w:lineRule="auto"/>
              <w:jc w:val="center"/>
              <w:rPr>
                <w:rFonts w:ascii="宋体" w:hAnsi="宋体" w:eastAsia="宋体"/>
                <w:color w:val="auto"/>
                <w:sz w:val="21"/>
                <w:szCs w:val="21"/>
                <w:highlight w:val="none"/>
              </w:rPr>
            </w:pPr>
          </w:p>
        </w:tc>
        <w:tc>
          <w:tcPr>
            <w:tcW w:w="708" w:type="dxa"/>
            <w:vAlign w:val="center"/>
          </w:tcPr>
          <w:p>
            <w:pPr>
              <w:spacing w:line="288" w:lineRule="auto"/>
              <w:jc w:val="center"/>
              <w:rPr>
                <w:rFonts w:ascii="宋体" w:hAnsi="宋体" w:eastAsia="宋体"/>
                <w:color w:val="auto"/>
                <w:sz w:val="21"/>
                <w:szCs w:val="21"/>
                <w:highlight w:val="none"/>
              </w:rPr>
            </w:pPr>
          </w:p>
        </w:tc>
        <w:tc>
          <w:tcPr>
            <w:tcW w:w="851" w:type="dxa"/>
            <w:vAlign w:val="center"/>
          </w:tcPr>
          <w:p>
            <w:pPr>
              <w:spacing w:line="288" w:lineRule="auto"/>
              <w:jc w:val="center"/>
              <w:rPr>
                <w:rFonts w:ascii="宋体" w:hAnsi="宋体" w:eastAsia="宋体"/>
                <w:color w:val="auto"/>
                <w:sz w:val="21"/>
                <w:szCs w:val="21"/>
                <w:highlight w:val="none"/>
              </w:rPr>
            </w:pPr>
          </w:p>
        </w:tc>
        <w:tc>
          <w:tcPr>
            <w:tcW w:w="850" w:type="dxa"/>
            <w:vAlign w:val="center"/>
          </w:tcPr>
          <w:p>
            <w:pPr>
              <w:spacing w:line="288" w:lineRule="auto"/>
              <w:jc w:val="center"/>
              <w:rPr>
                <w:rFonts w:ascii="宋体" w:hAnsi="宋体" w:eastAsia="宋体"/>
                <w:color w:val="auto"/>
                <w:sz w:val="21"/>
                <w:szCs w:val="21"/>
                <w:highlight w:val="none"/>
              </w:rPr>
            </w:pPr>
          </w:p>
        </w:tc>
        <w:tc>
          <w:tcPr>
            <w:tcW w:w="788" w:type="dxa"/>
            <w:vAlign w:val="center"/>
          </w:tcPr>
          <w:p>
            <w:pPr>
              <w:spacing w:line="288" w:lineRule="auto"/>
              <w:jc w:val="center"/>
              <w:rPr>
                <w:rFonts w:ascii="宋体" w:hAnsi="宋体" w:eastAsia="宋体"/>
                <w:color w:val="auto"/>
                <w:sz w:val="21"/>
                <w:szCs w:val="21"/>
                <w:highlight w:val="none"/>
              </w:rPr>
            </w:pPr>
          </w:p>
        </w:tc>
        <w:tc>
          <w:tcPr>
            <w:tcW w:w="1090" w:type="dxa"/>
            <w:tcBorders>
              <w:right w:val="single" w:color="auto" w:sz="6" w:space="0"/>
            </w:tcBorders>
            <w:vAlign w:val="center"/>
          </w:tcPr>
          <w:p>
            <w:pPr>
              <w:spacing w:line="288" w:lineRule="auto"/>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ascii="宋体" w:hAnsi="宋体" w:eastAsia="宋体"/>
                <w:color w:val="auto"/>
                <w:sz w:val="21"/>
                <w:szCs w:val="21"/>
                <w:highlight w:val="none"/>
              </w:rPr>
            </w:pPr>
          </w:p>
        </w:tc>
        <w:tc>
          <w:tcPr>
            <w:tcW w:w="822" w:type="dxa"/>
            <w:vAlign w:val="center"/>
          </w:tcPr>
          <w:p>
            <w:pPr>
              <w:spacing w:line="288" w:lineRule="auto"/>
              <w:jc w:val="center"/>
              <w:rPr>
                <w:rFonts w:ascii="宋体" w:hAnsi="宋体" w:eastAsia="宋体"/>
                <w:color w:val="auto"/>
                <w:sz w:val="21"/>
                <w:szCs w:val="21"/>
                <w:highlight w:val="none"/>
              </w:rPr>
            </w:pPr>
          </w:p>
        </w:tc>
        <w:tc>
          <w:tcPr>
            <w:tcW w:w="1392" w:type="dxa"/>
            <w:vAlign w:val="center"/>
          </w:tcPr>
          <w:p>
            <w:pPr>
              <w:spacing w:line="288" w:lineRule="auto"/>
              <w:jc w:val="center"/>
              <w:rPr>
                <w:rFonts w:ascii="宋体" w:hAnsi="宋体" w:eastAsia="宋体"/>
                <w:color w:val="auto"/>
                <w:sz w:val="21"/>
                <w:szCs w:val="21"/>
                <w:highlight w:val="none"/>
              </w:rPr>
            </w:pPr>
          </w:p>
        </w:tc>
        <w:tc>
          <w:tcPr>
            <w:tcW w:w="763" w:type="dxa"/>
            <w:vAlign w:val="center"/>
          </w:tcPr>
          <w:p>
            <w:pPr>
              <w:spacing w:line="288" w:lineRule="auto"/>
              <w:jc w:val="center"/>
              <w:rPr>
                <w:rFonts w:ascii="宋体" w:hAnsi="宋体" w:eastAsia="宋体"/>
                <w:color w:val="auto"/>
                <w:sz w:val="21"/>
                <w:szCs w:val="21"/>
                <w:highlight w:val="none"/>
              </w:rPr>
            </w:pPr>
          </w:p>
        </w:tc>
        <w:tc>
          <w:tcPr>
            <w:tcW w:w="708" w:type="dxa"/>
            <w:vAlign w:val="center"/>
          </w:tcPr>
          <w:p>
            <w:pPr>
              <w:spacing w:line="288" w:lineRule="auto"/>
              <w:jc w:val="center"/>
              <w:rPr>
                <w:rFonts w:ascii="宋体" w:hAnsi="宋体" w:eastAsia="宋体"/>
                <w:color w:val="auto"/>
                <w:sz w:val="21"/>
                <w:szCs w:val="21"/>
                <w:highlight w:val="none"/>
              </w:rPr>
            </w:pPr>
          </w:p>
        </w:tc>
        <w:tc>
          <w:tcPr>
            <w:tcW w:w="851" w:type="dxa"/>
            <w:vAlign w:val="center"/>
          </w:tcPr>
          <w:p>
            <w:pPr>
              <w:spacing w:line="288" w:lineRule="auto"/>
              <w:jc w:val="center"/>
              <w:rPr>
                <w:rFonts w:ascii="宋体" w:hAnsi="宋体" w:eastAsia="宋体"/>
                <w:color w:val="auto"/>
                <w:sz w:val="21"/>
                <w:szCs w:val="21"/>
                <w:highlight w:val="none"/>
              </w:rPr>
            </w:pPr>
          </w:p>
        </w:tc>
        <w:tc>
          <w:tcPr>
            <w:tcW w:w="850" w:type="dxa"/>
            <w:vAlign w:val="center"/>
          </w:tcPr>
          <w:p>
            <w:pPr>
              <w:spacing w:line="288" w:lineRule="auto"/>
              <w:jc w:val="center"/>
              <w:rPr>
                <w:rFonts w:ascii="宋体" w:hAnsi="宋体" w:eastAsia="宋体"/>
                <w:color w:val="auto"/>
                <w:sz w:val="21"/>
                <w:szCs w:val="21"/>
                <w:highlight w:val="none"/>
              </w:rPr>
            </w:pPr>
          </w:p>
        </w:tc>
        <w:tc>
          <w:tcPr>
            <w:tcW w:w="788" w:type="dxa"/>
            <w:vAlign w:val="center"/>
          </w:tcPr>
          <w:p>
            <w:pPr>
              <w:spacing w:line="288" w:lineRule="auto"/>
              <w:jc w:val="center"/>
              <w:rPr>
                <w:rFonts w:ascii="宋体" w:hAnsi="宋体" w:eastAsia="宋体"/>
                <w:color w:val="auto"/>
                <w:sz w:val="21"/>
                <w:szCs w:val="21"/>
                <w:highlight w:val="none"/>
              </w:rPr>
            </w:pPr>
          </w:p>
        </w:tc>
        <w:tc>
          <w:tcPr>
            <w:tcW w:w="1090" w:type="dxa"/>
            <w:tcBorders>
              <w:right w:val="single" w:color="auto" w:sz="6" w:space="0"/>
            </w:tcBorders>
            <w:vAlign w:val="center"/>
          </w:tcPr>
          <w:p>
            <w:pPr>
              <w:spacing w:line="288" w:lineRule="auto"/>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ascii="宋体" w:hAnsi="宋体" w:eastAsia="宋体"/>
                <w:color w:val="auto"/>
                <w:sz w:val="21"/>
                <w:szCs w:val="21"/>
                <w:highlight w:val="none"/>
              </w:rPr>
            </w:pPr>
          </w:p>
        </w:tc>
        <w:tc>
          <w:tcPr>
            <w:tcW w:w="822" w:type="dxa"/>
            <w:vAlign w:val="center"/>
          </w:tcPr>
          <w:p>
            <w:pPr>
              <w:spacing w:line="288" w:lineRule="auto"/>
              <w:jc w:val="center"/>
              <w:rPr>
                <w:rFonts w:ascii="宋体" w:hAnsi="宋体" w:eastAsia="宋体"/>
                <w:color w:val="auto"/>
                <w:sz w:val="21"/>
                <w:szCs w:val="21"/>
                <w:highlight w:val="none"/>
              </w:rPr>
            </w:pPr>
          </w:p>
        </w:tc>
        <w:tc>
          <w:tcPr>
            <w:tcW w:w="1392" w:type="dxa"/>
            <w:vAlign w:val="center"/>
          </w:tcPr>
          <w:p>
            <w:pPr>
              <w:spacing w:line="288" w:lineRule="auto"/>
              <w:jc w:val="center"/>
              <w:rPr>
                <w:rFonts w:ascii="宋体" w:hAnsi="宋体" w:eastAsia="宋体"/>
                <w:color w:val="auto"/>
                <w:sz w:val="21"/>
                <w:szCs w:val="21"/>
                <w:highlight w:val="none"/>
              </w:rPr>
            </w:pPr>
          </w:p>
        </w:tc>
        <w:tc>
          <w:tcPr>
            <w:tcW w:w="763" w:type="dxa"/>
            <w:vAlign w:val="center"/>
          </w:tcPr>
          <w:p>
            <w:pPr>
              <w:spacing w:line="288" w:lineRule="auto"/>
              <w:jc w:val="center"/>
              <w:rPr>
                <w:rFonts w:ascii="宋体" w:hAnsi="宋体" w:eastAsia="宋体"/>
                <w:color w:val="auto"/>
                <w:sz w:val="21"/>
                <w:szCs w:val="21"/>
                <w:highlight w:val="none"/>
              </w:rPr>
            </w:pPr>
          </w:p>
        </w:tc>
        <w:tc>
          <w:tcPr>
            <w:tcW w:w="708" w:type="dxa"/>
            <w:vAlign w:val="center"/>
          </w:tcPr>
          <w:p>
            <w:pPr>
              <w:spacing w:line="288" w:lineRule="auto"/>
              <w:jc w:val="center"/>
              <w:rPr>
                <w:rFonts w:ascii="宋体" w:hAnsi="宋体" w:eastAsia="宋体"/>
                <w:color w:val="auto"/>
                <w:sz w:val="21"/>
                <w:szCs w:val="21"/>
                <w:highlight w:val="none"/>
              </w:rPr>
            </w:pPr>
          </w:p>
        </w:tc>
        <w:tc>
          <w:tcPr>
            <w:tcW w:w="851" w:type="dxa"/>
            <w:vAlign w:val="center"/>
          </w:tcPr>
          <w:p>
            <w:pPr>
              <w:spacing w:line="288" w:lineRule="auto"/>
              <w:jc w:val="center"/>
              <w:rPr>
                <w:rFonts w:ascii="宋体" w:hAnsi="宋体" w:eastAsia="宋体"/>
                <w:color w:val="auto"/>
                <w:sz w:val="21"/>
                <w:szCs w:val="21"/>
                <w:highlight w:val="none"/>
              </w:rPr>
            </w:pPr>
          </w:p>
        </w:tc>
        <w:tc>
          <w:tcPr>
            <w:tcW w:w="850" w:type="dxa"/>
            <w:vAlign w:val="center"/>
          </w:tcPr>
          <w:p>
            <w:pPr>
              <w:spacing w:line="288" w:lineRule="auto"/>
              <w:jc w:val="center"/>
              <w:rPr>
                <w:rFonts w:ascii="宋体" w:hAnsi="宋体" w:eastAsia="宋体"/>
                <w:color w:val="auto"/>
                <w:sz w:val="21"/>
                <w:szCs w:val="21"/>
                <w:highlight w:val="none"/>
              </w:rPr>
            </w:pPr>
          </w:p>
        </w:tc>
        <w:tc>
          <w:tcPr>
            <w:tcW w:w="788" w:type="dxa"/>
            <w:vAlign w:val="center"/>
          </w:tcPr>
          <w:p>
            <w:pPr>
              <w:spacing w:line="288" w:lineRule="auto"/>
              <w:jc w:val="center"/>
              <w:rPr>
                <w:rFonts w:ascii="宋体" w:hAnsi="宋体" w:eastAsia="宋体"/>
                <w:color w:val="auto"/>
                <w:sz w:val="21"/>
                <w:szCs w:val="21"/>
                <w:highlight w:val="none"/>
              </w:rPr>
            </w:pPr>
          </w:p>
        </w:tc>
        <w:tc>
          <w:tcPr>
            <w:tcW w:w="1090" w:type="dxa"/>
            <w:tcBorders>
              <w:right w:val="single" w:color="auto" w:sz="6" w:space="0"/>
            </w:tcBorders>
            <w:vAlign w:val="center"/>
          </w:tcPr>
          <w:p>
            <w:pPr>
              <w:spacing w:line="288" w:lineRule="auto"/>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ascii="宋体" w:hAnsi="宋体" w:eastAsia="宋体"/>
                <w:color w:val="auto"/>
                <w:sz w:val="21"/>
                <w:szCs w:val="21"/>
                <w:highlight w:val="none"/>
              </w:rPr>
            </w:pPr>
          </w:p>
        </w:tc>
        <w:tc>
          <w:tcPr>
            <w:tcW w:w="822" w:type="dxa"/>
            <w:vAlign w:val="center"/>
          </w:tcPr>
          <w:p>
            <w:pPr>
              <w:spacing w:line="288" w:lineRule="auto"/>
              <w:jc w:val="center"/>
              <w:rPr>
                <w:rFonts w:ascii="宋体" w:hAnsi="宋体" w:eastAsia="宋体"/>
                <w:color w:val="auto"/>
                <w:sz w:val="21"/>
                <w:szCs w:val="21"/>
                <w:highlight w:val="none"/>
              </w:rPr>
            </w:pPr>
          </w:p>
        </w:tc>
        <w:tc>
          <w:tcPr>
            <w:tcW w:w="1392" w:type="dxa"/>
            <w:vAlign w:val="center"/>
          </w:tcPr>
          <w:p>
            <w:pPr>
              <w:spacing w:line="288" w:lineRule="auto"/>
              <w:jc w:val="center"/>
              <w:rPr>
                <w:rFonts w:ascii="宋体" w:hAnsi="宋体" w:eastAsia="宋体"/>
                <w:color w:val="auto"/>
                <w:sz w:val="21"/>
                <w:szCs w:val="21"/>
                <w:highlight w:val="none"/>
              </w:rPr>
            </w:pPr>
          </w:p>
        </w:tc>
        <w:tc>
          <w:tcPr>
            <w:tcW w:w="763" w:type="dxa"/>
            <w:vAlign w:val="center"/>
          </w:tcPr>
          <w:p>
            <w:pPr>
              <w:spacing w:line="288" w:lineRule="auto"/>
              <w:jc w:val="center"/>
              <w:rPr>
                <w:rFonts w:ascii="宋体" w:hAnsi="宋体" w:eastAsia="宋体"/>
                <w:color w:val="auto"/>
                <w:sz w:val="21"/>
                <w:szCs w:val="21"/>
                <w:highlight w:val="none"/>
              </w:rPr>
            </w:pPr>
          </w:p>
        </w:tc>
        <w:tc>
          <w:tcPr>
            <w:tcW w:w="708" w:type="dxa"/>
            <w:vAlign w:val="center"/>
          </w:tcPr>
          <w:p>
            <w:pPr>
              <w:spacing w:line="288" w:lineRule="auto"/>
              <w:jc w:val="center"/>
              <w:rPr>
                <w:rFonts w:ascii="宋体" w:hAnsi="宋体" w:eastAsia="宋体"/>
                <w:color w:val="auto"/>
                <w:sz w:val="21"/>
                <w:szCs w:val="21"/>
                <w:highlight w:val="none"/>
              </w:rPr>
            </w:pPr>
          </w:p>
        </w:tc>
        <w:tc>
          <w:tcPr>
            <w:tcW w:w="851" w:type="dxa"/>
            <w:vAlign w:val="center"/>
          </w:tcPr>
          <w:p>
            <w:pPr>
              <w:spacing w:line="288" w:lineRule="auto"/>
              <w:jc w:val="center"/>
              <w:rPr>
                <w:rFonts w:ascii="宋体" w:hAnsi="宋体" w:eastAsia="宋体"/>
                <w:color w:val="auto"/>
                <w:sz w:val="21"/>
                <w:szCs w:val="21"/>
                <w:highlight w:val="none"/>
              </w:rPr>
            </w:pPr>
          </w:p>
        </w:tc>
        <w:tc>
          <w:tcPr>
            <w:tcW w:w="850" w:type="dxa"/>
            <w:vAlign w:val="center"/>
          </w:tcPr>
          <w:p>
            <w:pPr>
              <w:spacing w:line="288" w:lineRule="auto"/>
              <w:jc w:val="center"/>
              <w:rPr>
                <w:rFonts w:ascii="宋体" w:hAnsi="宋体" w:eastAsia="宋体"/>
                <w:color w:val="auto"/>
                <w:sz w:val="21"/>
                <w:szCs w:val="21"/>
                <w:highlight w:val="none"/>
              </w:rPr>
            </w:pPr>
          </w:p>
        </w:tc>
        <w:tc>
          <w:tcPr>
            <w:tcW w:w="788" w:type="dxa"/>
            <w:vAlign w:val="center"/>
          </w:tcPr>
          <w:p>
            <w:pPr>
              <w:spacing w:line="288" w:lineRule="auto"/>
              <w:jc w:val="center"/>
              <w:rPr>
                <w:rFonts w:ascii="宋体" w:hAnsi="宋体" w:eastAsia="宋体"/>
                <w:color w:val="auto"/>
                <w:sz w:val="21"/>
                <w:szCs w:val="21"/>
                <w:highlight w:val="none"/>
              </w:rPr>
            </w:pPr>
          </w:p>
        </w:tc>
        <w:tc>
          <w:tcPr>
            <w:tcW w:w="1090" w:type="dxa"/>
            <w:tcBorders>
              <w:right w:val="single" w:color="auto" w:sz="6" w:space="0"/>
            </w:tcBorders>
            <w:vAlign w:val="center"/>
          </w:tcPr>
          <w:p>
            <w:pPr>
              <w:spacing w:line="288" w:lineRule="auto"/>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ascii="宋体" w:hAnsi="宋体" w:eastAsia="宋体"/>
                <w:color w:val="auto"/>
                <w:sz w:val="21"/>
                <w:szCs w:val="21"/>
                <w:highlight w:val="none"/>
              </w:rPr>
            </w:pPr>
          </w:p>
        </w:tc>
        <w:tc>
          <w:tcPr>
            <w:tcW w:w="822" w:type="dxa"/>
            <w:vAlign w:val="center"/>
          </w:tcPr>
          <w:p>
            <w:pPr>
              <w:spacing w:line="288" w:lineRule="auto"/>
              <w:jc w:val="center"/>
              <w:rPr>
                <w:rFonts w:ascii="宋体" w:hAnsi="宋体" w:eastAsia="宋体"/>
                <w:color w:val="auto"/>
                <w:sz w:val="21"/>
                <w:szCs w:val="21"/>
                <w:highlight w:val="none"/>
              </w:rPr>
            </w:pPr>
          </w:p>
        </w:tc>
        <w:tc>
          <w:tcPr>
            <w:tcW w:w="1392" w:type="dxa"/>
            <w:vAlign w:val="center"/>
          </w:tcPr>
          <w:p>
            <w:pPr>
              <w:spacing w:line="288" w:lineRule="auto"/>
              <w:jc w:val="center"/>
              <w:rPr>
                <w:rFonts w:ascii="宋体" w:hAnsi="宋体" w:eastAsia="宋体"/>
                <w:color w:val="auto"/>
                <w:sz w:val="21"/>
                <w:szCs w:val="21"/>
                <w:highlight w:val="none"/>
              </w:rPr>
            </w:pPr>
          </w:p>
        </w:tc>
        <w:tc>
          <w:tcPr>
            <w:tcW w:w="763" w:type="dxa"/>
            <w:vAlign w:val="center"/>
          </w:tcPr>
          <w:p>
            <w:pPr>
              <w:spacing w:line="288" w:lineRule="auto"/>
              <w:jc w:val="center"/>
              <w:rPr>
                <w:rFonts w:ascii="宋体" w:hAnsi="宋体" w:eastAsia="宋体"/>
                <w:color w:val="auto"/>
                <w:sz w:val="21"/>
                <w:szCs w:val="21"/>
                <w:highlight w:val="none"/>
              </w:rPr>
            </w:pPr>
          </w:p>
        </w:tc>
        <w:tc>
          <w:tcPr>
            <w:tcW w:w="708" w:type="dxa"/>
            <w:vAlign w:val="center"/>
          </w:tcPr>
          <w:p>
            <w:pPr>
              <w:spacing w:line="288" w:lineRule="auto"/>
              <w:jc w:val="center"/>
              <w:rPr>
                <w:rFonts w:ascii="宋体" w:hAnsi="宋体" w:eastAsia="宋体"/>
                <w:color w:val="auto"/>
                <w:sz w:val="21"/>
                <w:szCs w:val="21"/>
                <w:highlight w:val="none"/>
              </w:rPr>
            </w:pPr>
          </w:p>
        </w:tc>
        <w:tc>
          <w:tcPr>
            <w:tcW w:w="851" w:type="dxa"/>
            <w:vAlign w:val="center"/>
          </w:tcPr>
          <w:p>
            <w:pPr>
              <w:spacing w:line="288" w:lineRule="auto"/>
              <w:jc w:val="center"/>
              <w:rPr>
                <w:rFonts w:ascii="宋体" w:hAnsi="宋体" w:eastAsia="宋体"/>
                <w:color w:val="auto"/>
                <w:sz w:val="21"/>
                <w:szCs w:val="21"/>
                <w:highlight w:val="none"/>
              </w:rPr>
            </w:pPr>
          </w:p>
        </w:tc>
        <w:tc>
          <w:tcPr>
            <w:tcW w:w="850" w:type="dxa"/>
            <w:vAlign w:val="center"/>
          </w:tcPr>
          <w:p>
            <w:pPr>
              <w:spacing w:line="288" w:lineRule="auto"/>
              <w:jc w:val="center"/>
              <w:rPr>
                <w:rFonts w:ascii="宋体" w:hAnsi="宋体" w:eastAsia="宋体"/>
                <w:color w:val="auto"/>
                <w:sz w:val="21"/>
                <w:szCs w:val="21"/>
                <w:highlight w:val="none"/>
              </w:rPr>
            </w:pPr>
          </w:p>
        </w:tc>
        <w:tc>
          <w:tcPr>
            <w:tcW w:w="788" w:type="dxa"/>
            <w:vAlign w:val="center"/>
          </w:tcPr>
          <w:p>
            <w:pPr>
              <w:spacing w:line="288" w:lineRule="auto"/>
              <w:jc w:val="center"/>
              <w:rPr>
                <w:rFonts w:ascii="宋体" w:hAnsi="宋体" w:eastAsia="宋体"/>
                <w:color w:val="auto"/>
                <w:sz w:val="21"/>
                <w:szCs w:val="21"/>
                <w:highlight w:val="none"/>
              </w:rPr>
            </w:pPr>
          </w:p>
        </w:tc>
        <w:tc>
          <w:tcPr>
            <w:tcW w:w="1090" w:type="dxa"/>
            <w:tcBorders>
              <w:right w:val="single" w:color="auto" w:sz="6" w:space="0"/>
            </w:tcBorders>
            <w:vAlign w:val="center"/>
          </w:tcPr>
          <w:p>
            <w:pPr>
              <w:spacing w:line="288" w:lineRule="auto"/>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ascii="宋体" w:hAnsi="宋体" w:eastAsia="宋体"/>
                <w:color w:val="auto"/>
                <w:sz w:val="21"/>
                <w:szCs w:val="21"/>
                <w:highlight w:val="none"/>
              </w:rPr>
            </w:pPr>
          </w:p>
        </w:tc>
        <w:tc>
          <w:tcPr>
            <w:tcW w:w="822" w:type="dxa"/>
            <w:vAlign w:val="center"/>
          </w:tcPr>
          <w:p>
            <w:pPr>
              <w:spacing w:line="288" w:lineRule="auto"/>
              <w:jc w:val="center"/>
              <w:rPr>
                <w:rFonts w:ascii="宋体" w:hAnsi="宋体" w:eastAsia="宋体"/>
                <w:color w:val="auto"/>
                <w:sz w:val="21"/>
                <w:szCs w:val="21"/>
                <w:highlight w:val="none"/>
              </w:rPr>
            </w:pPr>
          </w:p>
        </w:tc>
        <w:tc>
          <w:tcPr>
            <w:tcW w:w="1392" w:type="dxa"/>
            <w:vAlign w:val="center"/>
          </w:tcPr>
          <w:p>
            <w:pPr>
              <w:spacing w:line="288" w:lineRule="auto"/>
              <w:jc w:val="center"/>
              <w:rPr>
                <w:rFonts w:ascii="宋体" w:hAnsi="宋体" w:eastAsia="宋体"/>
                <w:color w:val="auto"/>
                <w:sz w:val="21"/>
                <w:szCs w:val="21"/>
                <w:highlight w:val="none"/>
              </w:rPr>
            </w:pPr>
          </w:p>
        </w:tc>
        <w:tc>
          <w:tcPr>
            <w:tcW w:w="763" w:type="dxa"/>
            <w:vAlign w:val="center"/>
          </w:tcPr>
          <w:p>
            <w:pPr>
              <w:spacing w:line="288" w:lineRule="auto"/>
              <w:jc w:val="center"/>
              <w:rPr>
                <w:rFonts w:ascii="宋体" w:hAnsi="宋体" w:eastAsia="宋体"/>
                <w:color w:val="auto"/>
                <w:sz w:val="21"/>
                <w:szCs w:val="21"/>
                <w:highlight w:val="none"/>
              </w:rPr>
            </w:pPr>
          </w:p>
        </w:tc>
        <w:tc>
          <w:tcPr>
            <w:tcW w:w="708" w:type="dxa"/>
            <w:vAlign w:val="center"/>
          </w:tcPr>
          <w:p>
            <w:pPr>
              <w:spacing w:line="288" w:lineRule="auto"/>
              <w:jc w:val="center"/>
              <w:rPr>
                <w:rFonts w:ascii="宋体" w:hAnsi="宋体" w:eastAsia="宋体"/>
                <w:color w:val="auto"/>
                <w:sz w:val="21"/>
                <w:szCs w:val="21"/>
                <w:highlight w:val="none"/>
              </w:rPr>
            </w:pPr>
          </w:p>
        </w:tc>
        <w:tc>
          <w:tcPr>
            <w:tcW w:w="851" w:type="dxa"/>
            <w:vAlign w:val="center"/>
          </w:tcPr>
          <w:p>
            <w:pPr>
              <w:spacing w:line="288" w:lineRule="auto"/>
              <w:jc w:val="center"/>
              <w:rPr>
                <w:rFonts w:ascii="宋体" w:hAnsi="宋体" w:eastAsia="宋体"/>
                <w:color w:val="auto"/>
                <w:sz w:val="21"/>
                <w:szCs w:val="21"/>
                <w:highlight w:val="none"/>
              </w:rPr>
            </w:pPr>
          </w:p>
        </w:tc>
        <w:tc>
          <w:tcPr>
            <w:tcW w:w="850" w:type="dxa"/>
            <w:vAlign w:val="center"/>
          </w:tcPr>
          <w:p>
            <w:pPr>
              <w:spacing w:line="288" w:lineRule="auto"/>
              <w:jc w:val="center"/>
              <w:rPr>
                <w:rFonts w:ascii="宋体" w:hAnsi="宋体" w:eastAsia="宋体"/>
                <w:color w:val="auto"/>
                <w:sz w:val="21"/>
                <w:szCs w:val="21"/>
                <w:highlight w:val="none"/>
              </w:rPr>
            </w:pPr>
          </w:p>
        </w:tc>
        <w:tc>
          <w:tcPr>
            <w:tcW w:w="788" w:type="dxa"/>
            <w:vAlign w:val="center"/>
          </w:tcPr>
          <w:p>
            <w:pPr>
              <w:spacing w:line="288" w:lineRule="auto"/>
              <w:jc w:val="center"/>
              <w:rPr>
                <w:rFonts w:ascii="宋体" w:hAnsi="宋体" w:eastAsia="宋体"/>
                <w:color w:val="auto"/>
                <w:sz w:val="21"/>
                <w:szCs w:val="21"/>
                <w:highlight w:val="none"/>
              </w:rPr>
            </w:pPr>
          </w:p>
        </w:tc>
        <w:tc>
          <w:tcPr>
            <w:tcW w:w="1090" w:type="dxa"/>
            <w:tcBorders>
              <w:right w:val="single" w:color="auto" w:sz="6" w:space="0"/>
            </w:tcBorders>
            <w:vAlign w:val="center"/>
          </w:tcPr>
          <w:p>
            <w:pPr>
              <w:spacing w:line="288" w:lineRule="auto"/>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ascii="宋体" w:hAnsi="宋体" w:eastAsia="宋体"/>
                <w:color w:val="auto"/>
                <w:sz w:val="21"/>
                <w:szCs w:val="21"/>
                <w:highlight w:val="none"/>
              </w:rPr>
            </w:pPr>
          </w:p>
        </w:tc>
        <w:tc>
          <w:tcPr>
            <w:tcW w:w="822" w:type="dxa"/>
            <w:vAlign w:val="center"/>
          </w:tcPr>
          <w:p>
            <w:pPr>
              <w:spacing w:line="288" w:lineRule="auto"/>
              <w:jc w:val="center"/>
              <w:rPr>
                <w:rFonts w:ascii="宋体" w:hAnsi="宋体" w:eastAsia="宋体"/>
                <w:color w:val="auto"/>
                <w:sz w:val="21"/>
                <w:szCs w:val="21"/>
                <w:highlight w:val="none"/>
              </w:rPr>
            </w:pPr>
          </w:p>
        </w:tc>
        <w:tc>
          <w:tcPr>
            <w:tcW w:w="1392" w:type="dxa"/>
            <w:vAlign w:val="center"/>
          </w:tcPr>
          <w:p>
            <w:pPr>
              <w:spacing w:line="288" w:lineRule="auto"/>
              <w:jc w:val="center"/>
              <w:rPr>
                <w:rFonts w:ascii="宋体" w:hAnsi="宋体" w:eastAsia="宋体"/>
                <w:color w:val="auto"/>
                <w:sz w:val="21"/>
                <w:szCs w:val="21"/>
                <w:highlight w:val="none"/>
              </w:rPr>
            </w:pPr>
          </w:p>
        </w:tc>
        <w:tc>
          <w:tcPr>
            <w:tcW w:w="763" w:type="dxa"/>
            <w:vAlign w:val="center"/>
          </w:tcPr>
          <w:p>
            <w:pPr>
              <w:spacing w:line="288" w:lineRule="auto"/>
              <w:jc w:val="center"/>
              <w:rPr>
                <w:rFonts w:ascii="宋体" w:hAnsi="宋体" w:eastAsia="宋体"/>
                <w:color w:val="auto"/>
                <w:sz w:val="21"/>
                <w:szCs w:val="21"/>
                <w:highlight w:val="none"/>
              </w:rPr>
            </w:pPr>
          </w:p>
        </w:tc>
        <w:tc>
          <w:tcPr>
            <w:tcW w:w="708" w:type="dxa"/>
            <w:vAlign w:val="center"/>
          </w:tcPr>
          <w:p>
            <w:pPr>
              <w:spacing w:line="288" w:lineRule="auto"/>
              <w:jc w:val="center"/>
              <w:rPr>
                <w:rFonts w:ascii="宋体" w:hAnsi="宋体" w:eastAsia="宋体"/>
                <w:color w:val="auto"/>
                <w:sz w:val="21"/>
                <w:szCs w:val="21"/>
                <w:highlight w:val="none"/>
              </w:rPr>
            </w:pPr>
          </w:p>
        </w:tc>
        <w:tc>
          <w:tcPr>
            <w:tcW w:w="851" w:type="dxa"/>
            <w:vAlign w:val="center"/>
          </w:tcPr>
          <w:p>
            <w:pPr>
              <w:spacing w:line="288" w:lineRule="auto"/>
              <w:jc w:val="center"/>
              <w:rPr>
                <w:rFonts w:ascii="宋体" w:hAnsi="宋体" w:eastAsia="宋体"/>
                <w:color w:val="auto"/>
                <w:sz w:val="21"/>
                <w:szCs w:val="21"/>
                <w:highlight w:val="none"/>
              </w:rPr>
            </w:pPr>
          </w:p>
        </w:tc>
        <w:tc>
          <w:tcPr>
            <w:tcW w:w="850" w:type="dxa"/>
            <w:vAlign w:val="center"/>
          </w:tcPr>
          <w:p>
            <w:pPr>
              <w:spacing w:line="288" w:lineRule="auto"/>
              <w:jc w:val="center"/>
              <w:rPr>
                <w:rFonts w:ascii="宋体" w:hAnsi="宋体" w:eastAsia="宋体"/>
                <w:color w:val="auto"/>
                <w:sz w:val="21"/>
                <w:szCs w:val="21"/>
                <w:highlight w:val="none"/>
              </w:rPr>
            </w:pPr>
          </w:p>
        </w:tc>
        <w:tc>
          <w:tcPr>
            <w:tcW w:w="788" w:type="dxa"/>
            <w:vAlign w:val="center"/>
          </w:tcPr>
          <w:p>
            <w:pPr>
              <w:spacing w:line="288" w:lineRule="auto"/>
              <w:jc w:val="center"/>
              <w:rPr>
                <w:rFonts w:ascii="宋体" w:hAnsi="宋体" w:eastAsia="宋体"/>
                <w:color w:val="auto"/>
                <w:sz w:val="21"/>
                <w:szCs w:val="21"/>
                <w:highlight w:val="none"/>
              </w:rPr>
            </w:pPr>
          </w:p>
        </w:tc>
        <w:tc>
          <w:tcPr>
            <w:tcW w:w="1090" w:type="dxa"/>
            <w:tcBorders>
              <w:right w:val="single" w:color="auto" w:sz="6" w:space="0"/>
            </w:tcBorders>
            <w:vAlign w:val="center"/>
          </w:tcPr>
          <w:p>
            <w:pPr>
              <w:spacing w:line="288" w:lineRule="auto"/>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ascii="宋体" w:hAnsi="宋体" w:eastAsia="宋体"/>
                <w:color w:val="auto"/>
                <w:sz w:val="21"/>
                <w:szCs w:val="21"/>
                <w:highlight w:val="none"/>
              </w:rPr>
            </w:pPr>
          </w:p>
        </w:tc>
        <w:tc>
          <w:tcPr>
            <w:tcW w:w="822" w:type="dxa"/>
            <w:vAlign w:val="center"/>
          </w:tcPr>
          <w:p>
            <w:pPr>
              <w:spacing w:line="288" w:lineRule="auto"/>
              <w:jc w:val="center"/>
              <w:rPr>
                <w:rFonts w:ascii="宋体" w:hAnsi="宋体" w:eastAsia="宋体"/>
                <w:color w:val="auto"/>
                <w:sz w:val="21"/>
                <w:szCs w:val="21"/>
                <w:highlight w:val="none"/>
              </w:rPr>
            </w:pPr>
          </w:p>
        </w:tc>
        <w:tc>
          <w:tcPr>
            <w:tcW w:w="1392" w:type="dxa"/>
            <w:vAlign w:val="center"/>
          </w:tcPr>
          <w:p>
            <w:pPr>
              <w:spacing w:line="288" w:lineRule="auto"/>
              <w:jc w:val="center"/>
              <w:rPr>
                <w:rFonts w:ascii="宋体" w:hAnsi="宋体" w:eastAsia="宋体"/>
                <w:color w:val="auto"/>
                <w:sz w:val="21"/>
                <w:szCs w:val="21"/>
                <w:highlight w:val="none"/>
              </w:rPr>
            </w:pPr>
          </w:p>
        </w:tc>
        <w:tc>
          <w:tcPr>
            <w:tcW w:w="763" w:type="dxa"/>
            <w:vAlign w:val="center"/>
          </w:tcPr>
          <w:p>
            <w:pPr>
              <w:spacing w:line="288" w:lineRule="auto"/>
              <w:jc w:val="center"/>
              <w:rPr>
                <w:rFonts w:ascii="宋体" w:hAnsi="宋体" w:eastAsia="宋体"/>
                <w:color w:val="auto"/>
                <w:sz w:val="21"/>
                <w:szCs w:val="21"/>
                <w:highlight w:val="none"/>
              </w:rPr>
            </w:pPr>
          </w:p>
        </w:tc>
        <w:tc>
          <w:tcPr>
            <w:tcW w:w="708" w:type="dxa"/>
            <w:vAlign w:val="center"/>
          </w:tcPr>
          <w:p>
            <w:pPr>
              <w:spacing w:line="288" w:lineRule="auto"/>
              <w:jc w:val="center"/>
              <w:rPr>
                <w:rFonts w:ascii="宋体" w:hAnsi="宋体" w:eastAsia="宋体"/>
                <w:color w:val="auto"/>
                <w:sz w:val="21"/>
                <w:szCs w:val="21"/>
                <w:highlight w:val="none"/>
              </w:rPr>
            </w:pPr>
          </w:p>
        </w:tc>
        <w:tc>
          <w:tcPr>
            <w:tcW w:w="851" w:type="dxa"/>
            <w:vAlign w:val="center"/>
          </w:tcPr>
          <w:p>
            <w:pPr>
              <w:spacing w:line="288" w:lineRule="auto"/>
              <w:jc w:val="center"/>
              <w:rPr>
                <w:rFonts w:ascii="宋体" w:hAnsi="宋体" w:eastAsia="宋体"/>
                <w:color w:val="auto"/>
                <w:sz w:val="21"/>
                <w:szCs w:val="21"/>
                <w:highlight w:val="none"/>
              </w:rPr>
            </w:pPr>
          </w:p>
        </w:tc>
        <w:tc>
          <w:tcPr>
            <w:tcW w:w="850" w:type="dxa"/>
            <w:vAlign w:val="center"/>
          </w:tcPr>
          <w:p>
            <w:pPr>
              <w:spacing w:line="288" w:lineRule="auto"/>
              <w:jc w:val="center"/>
              <w:rPr>
                <w:rFonts w:ascii="宋体" w:hAnsi="宋体" w:eastAsia="宋体"/>
                <w:color w:val="auto"/>
                <w:sz w:val="21"/>
                <w:szCs w:val="21"/>
                <w:highlight w:val="none"/>
              </w:rPr>
            </w:pPr>
          </w:p>
        </w:tc>
        <w:tc>
          <w:tcPr>
            <w:tcW w:w="788" w:type="dxa"/>
            <w:vAlign w:val="center"/>
          </w:tcPr>
          <w:p>
            <w:pPr>
              <w:spacing w:line="288" w:lineRule="auto"/>
              <w:jc w:val="center"/>
              <w:rPr>
                <w:rFonts w:ascii="宋体" w:hAnsi="宋体" w:eastAsia="宋体"/>
                <w:color w:val="auto"/>
                <w:sz w:val="21"/>
                <w:szCs w:val="21"/>
                <w:highlight w:val="none"/>
              </w:rPr>
            </w:pPr>
          </w:p>
        </w:tc>
        <w:tc>
          <w:tcPr>
            <w:tcW w:w="1090" w:type="dxa"/>
            <w:tcBorders>
              <w:right w:val="single" w:color="auto" w:sz="6" w:space="0"/>
            </w:tcBorders>
            <w:vAlign w:val="center"/>
          </w:tcPr>
          <w:p>
            <w:pPr>
              <w:spacing w:line="288" w:lineRule="auto"/>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ascii="宋体" w:hAnsi="宋体" w:eastAsia="宋体"/>
                <w:color w:val="auto"/>
                <w:sz w:val="21"/>
                <w:szCs w:val="21"/>
                <w:highlight w:val="none"/>
              </w:rPr>
            </w:pPr>
          </w:p>
        </w:tc>
        <w:tc>
          <w:tcPr>
            <w:tcW w:w="822" w:type="dxa"/>
            <w:vAlign w:val="center"/>
          </w:tcPr>
          <w:p>
            <w:pPr>
              <w:spacing w:line="288" w:lineRule="auto"/>
              <w:jc w:val="center"/>
              <w:rPr>
                <w:rFonts w:ascii="宋体" w:hAnsi="宋体" w:eastAsia="宋体"/>
                <w:color w:val="auto"/>
                <w:sz w:val="21"/>
                <w:szCs w:val="21"/>
                <w:highlight w:val="none"/>
              </w:rPr>
            </w:pPr>
          </w:p>
        </w:tc>
        <w:tc>
          <w:tcPr>
            <w:tcW w:w="1392" w:type="dxa"/>
            <w:vAlign w:val="center"/>
          </w:tcPr>
          <w:p>
            <w:pPr>
              <w:spacing w:line="288" w:lineRule="auto"/>
              <w:jc w:val="center"/>
              <w:rPr>
                <w:rFonts w:ascii="宋体" w:hAnsi="宋体" w:eastAsia="宋体"/>
                <w:color w:val="auto"/>
                <w:sz w:val="21"/>
                <w:szCs w:val="21"/>
                <w:highlight w:val="none"/>
              </w:rPr>
            </w:pPr>
          </w:p>
        </w:tc>
        <w:tc>
          <w:tcPr>
            <w:tcW w:w="763" w:type="dxa"/>
            <w:vAlign w:val="center"/>
          </w:tcPr>
          <w:p>
            <w:pPr>
              <w:spacing w:line="288" w:lineRule="auto"/>
              <w:jc w:val="center"/>
              <w:rPr>
                <w:rFonts w:ascii="宋体" w:hAnsi="宋体" w:eastAsia="宋体"/>
                <w:color w:val="auto"/>
                <w:sz w:val="21"/>
                <w:szCs w:val="21"/>
                <w:highlight w:val="none"/>
              </w:rPr>
            </w:pPr>
          </w:p>
        </w:tc>
        <w:tc>
          <w:tcPr>
            <w:tcW w:w="708" w:type="dxa"/>
            <w:vAlign w:val="center"/>
          </w:tcPr>
          <w:p>
            <w:pPr>
              <w:spacing w:line="288" w:lineRule="auto"/>
              <w:jc w:val="center"/>
              <w:rPr>
                <w:rFonts w:ascii="宋体" w:hAnsi="宋体" w:eastAsia="宋体"/>
                <w:color w:val="auto"/>
                <w:sz w:val="21"/>
                <w:szCs w:val="21"/>
                <w:highlight w:val="none"/>
              </w:rPr>
            </w:pPr>
          </w:p>
        </w:tc>
        <w:tc>
          <w:tcPr>
            <w:tcW w:w="851" w:type="dxa"/>
            <w:vAlign w:val="center"/>
          </w:tcPr>
          <w:p>
            <w:pPr>
              <w:spacing w:line="288" w:lineRule="auto"/>
              <w:jc w:val="center"/>
              <w:rPr>
                <w:rFonts w:ascii="宋体" w:hAnsi="宋体" w:eastAsia="宋体"/>
                <w:color w:val="auto"/>
                <w:sz w:val="21"/>
                <w:szCs w:val="21"/>
                <w:highlight w:val="none"/>
              </w:rPr>
            </w:pPr>
          </w:p>
        </w:tc>
        <w:tc>
          <w:tcPr>
            <w:tcW w:w="850" w:type="dxa"/>
            <w:vAlign w:val="center"/>
          </w:tcPr>
          <w:p>
            <w:pPr>
              <w:spacing w:line="288" w:lineRule="auto"/>
              <w:jc w:val="center"/>
              <w:rPr>
                <w:rFonts w:ascii="宋体" w:hAnsi="宋体" w:eastAsia="宋体"/>
                <w:color w:val="auto"/>
                <w:sz w:val="21"/>
                <w:szCs w:val="21"/>
                <w:highlight w:val="none"/>
              </w:rPr>
            </w:pPr>
          </w:p>
        </w:tc>
        <w:tc>
          <w:tcPr>
            <w:tcW w:w="788" w:type="dxa"/>
            <w:vAlign w:val="center"/>
          </w:tcPr>
          <w:p>
            <w:pPr>
              <w:spacing w:line="288" w:lineRule="auto"/>
              <w:jc w:val="center"/>
              <w:rPr>
                <w:rFonts w:ascii="宋体" w:hAnsi="宋体" w:eastAsia="宋体"/>
                <w:color w:val="auto"/>
                <w:sz w:val="21"/>
                <w:szCs w:val="21"/>
                <w:highlight w:val="none"/>
              </w:rPr>
            </w:pPr>
          </w:p>
        </w:tc>
        <w:tc>
          <w:tcPr>
            <w:tcW w:w="1090" w:type="dxa"/>
            <w:tcBorders>
              <w:right w:val="single" w:color="auto" w:sz="6" w:space="0"/>
            </w:tcBorders>
            <w:vAlign w:val="center"/>
          </w:tcPr>
          <w:p>
            <w:pPr>
              <w:spacing w:line="288" w:lineRule="auto"/>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ascii="宋体" w:hAnsi="宋体" w:eastAsia="宋体"/>
                <w:color w:val="auto"/>
                <w:sz w:val="21"/>
                <w:szCs w:val="21"/>
                <w:highlight w:val="none"/>
              </w:rPr>
            </w:pPr>
          </w:p>
        </w:tc>
        <w:tc>
          <w:tcPr>
            <w:tcW w:w="822" w:type="dxa"/>
            <w:vAlign w:val="center"/>
          </w:tcPr>
          <w:p>
            <w:pPr>
              <w:spacing w:line="288" w:lineRule="auto"/>
              <w:jc w:val="center"/>
              <w:rPr>
                <w:rFonts w:ascii="宋体" w:hAnsi="宋体" w:eastAsia="宋体"/>
                <w:color w:val="auto"/>
                <w:sz w:val="21"/>
                <w:szCs w:val="21"/>
                <w:highlight w:val="none"/>
              </w:rPr>
            </w:pPr>
          </w:p>
        </w:tc>
        <w:tc>
          <w:tcPr>
            <w:tcW w:w="1392" w:type="dxa"/>
            <w:vAlign w:val="center"/>
          </w:tcPr>
          <w:p>
            <w:pPr>
              <w:spacing w:line="288" w:lineRule="auto"/>
              <w:jc w:val="center"/>
              <w:rPr>
                <w:rFonts w:ascii="宋体" w:hAnsi="宋体" w:eastAsia="宋体"/>
                <w:color w:val="auto"/>
                <w:sz w:val="21"/>
                <w:szCs w:val="21"/>
                <w:highlight w:val="none"/>
              </w:rPr>
            </w:pPr>
          </w:p>
        </w:tc>
        <w:tc>
          <w:tcPr>
            <w:tcW w:w="763" w:type="dxa"/>
            <w:vAlign w:val="center"/>
          </w:tcPr>
          <w:p>
            <w:pPr>
              <w:spacing w:line="288" w:lineRule="auto"/>
              <w:jc w:val="center"/>
              <w:rPr>
                <w:rFonts w:ascii="宋体" w:hAnsi="宋体" w:eastAsia="宋体"/>
                <w:color w:val="auto"/>
                <w:sz w:val="21"/>
                <w:szCs w:val="21"/>
                <w:highlight w:val="none"/>
              </w:rPr>
            </w:pPr>
          </w:p>
        </w:tc>
        <w:tc>
          <w:tcPr>
            <w:tcW w:w="708" w:type="dxa"/>
            <w:vAlign w:val="center"/>
          </w:tcPr>
          <w:p>
            <w:pPr>
              <w:spacing w:line="288" w:lineRule="auto"/>
              <w:jc w:val="center"/>
              <w:rPr>
                <w:rFonts w:ascii="宋体" w:hAnsi="宋体" w:eastAsia="宋体"/>
                <w:color w:val="auto"/>
                <w:sz w:val="21"/>
                <w:szCs w:val="21"/>
                <w:highlight w:val="none"/>
              </w:rPr>
            </w:pPr>
          </w:p>
        </w:tc>
        <w:tc>
          <w:tcPr>
            <w:tcW w:w="851" w:type="dxa"/>
            <w:vAlign w:val="center"/>
          </w:tcPr>
          <w:p>
            <w:pPr>
              <w:spacing w:line="288" w:lineRule="auto"/>
              <w:jc w:val="center"/>
              <w:rPr>
                <w:rFonts w:ascii="宋体" w:hAnsi="宋体" w:eastAsia="宋体"/>
                <w:color w:val="auto"/>
                <w:sz w:val="21"/>
                <w:szCs w:val="21"/>
                <w:highlight w:val="none"/>
              </w:rPr>
            </w:pPr>
          </w:p>
        </w:tc>
        <w:tc>
          <w:tcPr>
            <w:tcW w:w="850" w:type="dxa"/>
            <w:vAlign w:val="center"/>
          </w:tcPr>
          <w:p>
            <w:pPr>
              <w:spacing w:line="288" w:lineRule="auto"/>
              <w:jc w:val="center"/>
              <w:rPr>
                <w:rFonts w:ascii="宋体" w:hAnsi="宋体" w:eastAsia="宋体"/>
                <w:color w:val="auto"/>
                <w:sz w:val="21"/>
                <w:szCs w:val="21"/>
                <w:highlight w:val="none"/>
              </w:rPr>
            </w:pPr>
          </w:p>
        </w:tc>
        <w:tc>
          <w:tcPr>
            <w:tcW w:w="788" w:type="dxa"/>
            <w:vAlign w:val="center"/>
          </w:tcPr>
          <w:p>
            <w:pPr>
              <w:spacing w:line="288" w:lineRule="auto"/>
              <w:jc w:val="center"/>
              <w:rPr>
                <w:rFonts w:ascii="宋体" w:hAnsi="宋体" w:eastAsia="宋体"/>
                <w:color w:val="auto"/>
                <w:sz w:val="21"/>
                <w:szCs w:val="21"/>
                <w:highlight w:val="none"/>
              </w:rPr>
            </w:pPr>
          </w:p>
        </w:tc>
        <w:tc>
          <w:tcPr>
            <w:tcW w:w="1090" w:type="dxa"/>
            <w:tcBorders>
              <w:right w:val="single" w:color="auto" w:sz="6" w:space="0"/>
            </w:tcBorders>
            <w:vAlign w:val="center"/>
          </w:tcPr>
          <w:p>
            <w:pPr>
              <w:spacing w:line="288" w:lineRule="auto"/>
              <w:jc w:val="center"/>
              <w:rPr>
                <w:rFonts w:ascii="宋体" w:hAnsi="宋体" w:eastAsia="宋体"/>
                <w:color w:val="auto"/>
                <w:sz w:val="21"/>
                <w:szCs w:val="21"/>
                <w:highlight w:val="none"/>
              </w:rPr>
            </w:pPr>
          </w:p>
        </w:tc>
      </w:tr>
    </w:tbl>
    <w:p>
      <w:pPr>
        <w:ind w:firstLine="178" w:firstLineChars="85"/>
        <w:rPr>
          <w:rFonts w:ascii="宋体" w:hAnsi="宋体" w:eastAsia="宋体"/>
          <w:color w:val="auto"/>
          <w:sz w:val="21"/>
          <w:szCs w:val="21"/>
          <w:highlight w:val="none"/>
        </w:rPr>
      </w:pPr>
    </w:p>
    <w:p>
      <w:pPr>
        <w:ind w:firstLine="178" w:firstLineChars="85"/>
        <w:rPr>
          <w:rFonts w:ascii="宋体" w:hAnsi="宋体" w:eastAsia="宋体"/>
          <w:color w:val="auto"/>
          <w:sz w:val="21"/>
          <w:szCs w:val="21"/>
          <w:highlight w:val="none"/>
        </w:rPr>
      </w:pPr>
      <w:r>
        <w:rPr>
          <w:rFonts w:hint="eastAsia" w:ascii="宋体" w:hAnsi="宋体" w:eastAsia="宋体"/>
          <w:color w:val="auto"/>
          <w:sz w:val="21"/>
          <w:szCs w:val="21"/>
          <w:highlight w:val="none"/>
        </w:rPr>
        <w:t>附有关证明文件（复印件加盖公章）</w:t>
      </w:r>
    </w:p>
    <w:p>
      <w:pPr>
        <w:ind w:firstLine="178" w:firstLineChars="85"/>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ind w:firstLine="178" w:firstLineChars="85"/>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pStyle w:val="30"/>
        <w:numPr>
          <w:ilvl w:val="0"/>
          <w:numId w:val="13"/>
        </w:numPr>
        <w:ind w:firstLineChars="0"/>
        <w:rPr>
          <w:rFonts w:ascii="宋体" w:hAnsi="宋体" w:eastAsia="宋体"/>
          <w:color w:val="auto"/>
          <w:sz w:val="21"/>
          <w:szCs w:val="21"/>
          <w:highlight w:val="none"/>
        </w:rPr>
      </w:pPr>
      <w:r>
        <w:rPr>
          <w:rFonts w:hint="eastAsia" w:ascii="宋体" w:hAnsi="宋体" w:eastAsia="宋体"/>
          <w:color w:val="auto"/>
          <w:sz w:val="21"/>
          <w:szCs w:val="21"/>
          <w:highlight w:val="none"/>
        </w:rPr>
        <w:t>投标人可按项目的实际需要或招标文件的要求提供本表格。</w:t>
      </w:r>
    </w:p>
    <w:p>
      <w:pPr>
        <w:pStyle w:val="30"/>
        <w:numPr>
          <w:ilvl w:val="0"/>
          <w:numId w:val="13"/>
        </w:numPr>
        <w:ind w:firstLineChars="0"/>
        <w:rPr>
          <w:rFonts w:ascii="宋体" w:hAnsi="宋体" w:eastAsia="宋体" w:cs="Times New Roman"/>
          <w:color w:val="auto"/>
          <w:sz w:val="21"/>
          <w:szCs w:val="21"/>
          <w:highlight w:val="none"/>
        </w:rPr>
      </w:pPr>
      <w:r>
        <w:rPr>
          <w:rFonts w:hint="eastAsia" w:ascii="宋体" w:hAnsi="宋体" w:eastAsia="宋体"/>
          <w:color w:val="auto"/>
          <w:sz w:val="21"/>
          <w:szCs w:val="21"/>
          <w:highlight w:val="none"/>
        </w:rPr>
        <w:t>该表格为参考格式，投标人可按实际情况自行制订。</w:t>
      </w:r>
    </w:p>
    <w:p>
      <w:pPr>
        <w:pStyle w:val="30"/>
        <w:numPr>
          <w:ilvl w:val="0"/>
          <w:numId w:val="13"/>
        </w:numPr>
        <w:ind w:firstLineChars="0"/>
        <w:rPr>
          <w:rFonts w:ascii="宋体" w:hAnsi="宋体" w:eastAsia="宋体" w:cs="Times New Roman"/>
          <w:color w:val="auto"/>
          <w:sz w:val="21"/>
          <w:szCs w:val="21"/>
          <w:highlight w:val="none"/>
        </w:rPr>
      </w:pPr>
      <w:r>
        <w:rPr>
          <w:rFonts w:hint="eastAsia" w:ascii="宋体" w:hAnsi="宋体" w:eastAsia="宋体"/>
          <w:color w:val="auto"/>
          <w:sz w:val="21"/>
          <w:szCs w:val="21"/>
          <w:highlight w:val="none"/>
        </w:rPr>
        <w:t>如本项目不涉及此表内容，则无需提供此表。</w:t>
      </w:r>
      <w:r>
        <w:rPr>
          <w:rFonts w:hint="eastAsia" w:ascii="宋体" w:hAnsi="宋体" w:eastAsia="宋体"/>
          <w:color w:val="auto"/>
          <w:sz w:val="21"/>
          <w:szCs w:val="21"/>
          <w:highlight w:val="none"/>
        </w:rPr>
        <w:br w:type="page"/>
      </w:r>
    </w:p>
    <w:p>
      <w:pPr>
        <w:pStyle w:val="6"/>
        <w:widowControl w:val="0"/>
        <w:overflowPunct w:val="0"/>
        <w:spacing w:before="0" w:after="0" w:line="240" w:lineRule="auto"/>
        <w:rPr>
          <w:rFonts w:ascii="宋体" w:hAnsi="宋体" w:eastAsia="宋体"/>
          <w:color w:val="auto"/>
          <w:sz w:val="21"/>
          <w:szCs w:val="21"/>
          <w:highlight w:val="none"/>
        </w:rPr>
      </w:pPr>
      <w:bookmarkStart w:id="154" w:name="_Toc21598"/>
      <w:r>
        <w:rPr>
          <w:rFonts w:hint="eastAsia" w:ascii="宋体" w:hAnsi="宋体" w:eastAsia="宋体"/>
          <w:color w:val="auto"/>
          <w:sz w:val="21"/>
          <w:szCs w:val="21"/>
          <w:highlight w:val="none"/>
        </w:rPr>
        <w:t>附件16.投标货物说明一览表格式</w:t>
      </w:r>
      <w:bookmarkEnd w:id="154"/>
    </w:p>
    <w:p>
      <w:pPr>
        <w:jc w:val="center"/>
        <w:rPr>
          <w:rFonts w:ascii="黑体" w:eastAsia="黑体"/>
          <w:color w:val="auto"/>
          <w:sz w:val="28"/>
          <w:szCs w:val="28"/>
          <w:highlight w:val="none"/>
        </w:rPr>
      </w:pPr>
    </w:p>
    <w:p>
      <w:pPr>
        <w:jc w:val="center"/>
        <w:rPr>
          <w:rFonts w:ascii="黑体" w:eastAsia="黑体" w:cs="Times New Roman"/>
          <w:color w:val="auto"/>
          <w:sz w:val="28"/>
          <w:szCs w:val="28"/>
          <w:highlight w:val="none"/>
        </w:rPr>
      </w:pPr>
      <w:r>
        <w:rPr>
          <w:rFonts w:hint="eastAsia" w:ascii="黑体" w:eastAsia="黑体" w:cs="Times New Roman"/>
          <w:color w:val="auto"/>
          <w:sz w:val="28"/>
          <w:szCs w:val="28"/>
          <w:highlight w:val="none"/>
        </w:rPr>
        <w:t>投标货物说明一览表</w:t>
      </w:r>
    </w:p>
    <w:tbl>
      <w:tblPr>
        <w:tblStyle w:val="2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775"/>
        <w:gridCol w:w="1618"/>
        <w:gridCol w:w="1217"/>
        <w:gridCol w:w="1656"/>
        <w:gridCol w:w="1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51" w:type="dxa"/>
            <w:vAlign w:val="center"/>
          </w:tcPr>
          <w:p>
            <w:pPr>
              <w:spacing w:after="0"/>
              <w:jc w:val="center"/>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序号</w:t>
            </w:r>
          </w:p>
        </w:tc>
        <w:tc>
          <w:tcPr>
            <w:tcW w:w="1775" w:type="dxa"/>
            <w:vAlign w:val="center"/>
          </w:tcPr>
          <w:p>
            <w:pPr>
              <w:spacing w:after="0"/>
              <w:jc w:val="center"/>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货物名称</w:t>
            </w:r>
          </w:p>
        </w:tc>
        <w:tc>
          <w:tcPr>
            <w:tcW w:w="1618" w:type="dxa"/>
            <w:vAlign w:val="center"/>
          </w:tcPr>
          <w:p>
            <w:pPr>
              <w:spacing w:after="0"/>
              <w:jc w:val="center"/>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规格型号</w:t>
            </w:r>
          </w:p>
        </w:tc>
        <w:tc>
          <w:tcPr>
            <w:tcW w:w="1217" w:type="dxa"/>
            <w:vAlign w:val="center"/>
          </w:tcPr>
          <w:p>
            <w:pPr>
              <w:spacing w:after="0"/>
              <w:jc w:val="center"/>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数量</w:t>
            </w:r>
          </w:p>
        </w:tc>
        <w:tc>
          <w:tcPr>
            <w:tcW w:w="1656" w:type="dxa"/>
            <w:vAlign w:val="center"/>
          </w:tcPr>
          <w:p>
            <w:pPr>
              <w:spacing w:after="0"/>
              <w:jc w:val="center"/>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单价</w:t>
            </w:r>
          </w:p>
        </w:tc>
        <w:tc>
          <w:tcPr>
            <w:tcW w:w="1305" w:type="dxa"/>
            <w:vAlign w:val="center"/>
          </w:tcPr>
          <w:p>
            <w:pPr>
              <w:spacing w:after="0"/>
              <w:jc w:val="center"/>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51" w:type="dxa"/>
            <w:vAlign w:val="center"/>
          </w:tcPr>
          <w:p>
            <w:pPr>
              <w:spacing w:after="0"/>
              <w:jc w:val="center"/>
              <w:rPr>
                <w:rFonts w:ascii="宋体" w:hAnsi="宋体" w:eastAsia="宋体" w:cs="Times New Roman"/>
                <w:color w:val="auto"/>
                <w:sz w:val="21"/>
                <w:szCs w:val="21"/>
                <w:highlight w:val="none"/>
              </w:rPr>
            </w:pPr>
          </w:p>
        </w:tc>
        <w:tc>
          <w:tcPr>
            <w:tcW w:w="1775" w:type="dxa"/>
            <w:vAlign w:val="center"/>
          </w:tcPr>
          <w:p>
            <w:pPr>
              <w:spacing w:after="0"/>
              <w:jc w:val="center"/>
              <w:rPr>
                <w:rFonts w:ascii="宋体" w:hAnsi="宋体" w:eastAsia="宋体" w:cs="Times New Roman"/>
                <w:color w:val="auto"/>
                <w:sz w:val="21"/>
                <w:szCs w:val="21"/>
                <w:highlight w:val="none"/>
              </w:rPr>
            </w:pPr>
          </w:p>
        </w:tc>
        <w:tc>
          <w:tcPr>
            <w:tcW w:w="1618" w:type="dxa"/>
            <w:vAlign w:val="center"/>
          </w:tcPr>
          <w:p>
            <w:pPr>
              <w:spacing w:after="0"/>
              <w:jc w:val="center"/>
              <w:rPr>
                <w:rFonts w:ascii="宋体" w:hAnsi="宋体" w:eastAsia="宋体" w:cs="Times New Roman"/>
                <w:color w:val="auto"/>
                <w:sz w:val="21"/>
                <w:szCs w:val="21"/>
                <w:highlight w:val="none"/>
              </w:rPr>
            </w:pPr>
          </w:p>
        </w:tc>
        <w:tc>
          <w:tcPr>
            <w:tcW w:w="1217" w:type="dxa"/>
            <w:vAlign w:val="center"/>
          </w:tcPr>
          <w:p>
            <w:pPr>
              <w:spacing w:after="0"/>
              <w:jc w:val="center"/>
              <w:rPr>
                <w:rFonts w:ascii="宋体" w:hAnsi="宋体" w:eastAsia="宋体" w:cs="Times New Roman"/>
                <w:color w:val="auto"/>
                <w:sz w:val="21"/>
                <w:szCs w:val="21"/>
                <w:highlight w:val="none"/>
              </w:rPr>
            </w:pPr>
          </w:p>
        </w:tc>
        <w:tc>
          <w:tcPr>
            <w:tcW w:w="1656" w:type="dxa"/>
            <w:vAlign w:val="center"/>
          </w:tcPr>
          <w:p>
            <w:pPr>
              <w:spacing w:after="0"/>
              <w:jc w:val="center"/>
              <w:rPr>
                <w:rFonts w:ascii="宋体" w:hAnsi="宋体" w:eastAsia="宋体" w:cs="Times New Roman"/>
                <w:color w:val="auto"/>
                <w:sz w:val="21"/>
                <w:szCs w:val="21"/>
                <w:highlight w:val="none"/>
              </w:rPr>
            </w:pPr>
          </w:p>
        </w:tc>
        <w:tc>
          <w:tcPr>
            <w:tcW w:w="1305" w:type="dxa"/>
            <w:vAlign w:val="center"/>
          </w:tcPr>
          <w:p>
            <w:pPr>
              <w:spacing w:after="0"/>
              <w:jc w:val="center"/>
              <w:rPr>
                <w:rFonts w:ascii="宋体" w:hAnsi="宋体"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51" w:type="dxa"/>
            <w:vAlign w:val="center"/>
          </w:tcPr>
          <w:p>
            <w:pPr>
              <w:spacing w:after="0"/>
              <w:jc w:val="center"/>
              <w:rPr>
                <w:rFonts w:ascii="宋体" w:hAnsi="宋体" w:eastAsia="宋体" w:cs="Times New Roman"/>
                <w:color w:val="auto"/>
                <w:sz w:val="21"/>
                <w:szCs w:val="21"/>
                <w:highlight w:val="none"/>
              </w:rPr>
            </w:pPr>
          </w:p>
        </w:tc>
        <w:tc>
          <w:tcPr>
            <w:tcW w:w="1775" w:type="dxa"/>
            <w:vAlign w:val="center"/>
          </w:tcPr>
          <w:p>
            <w:pPr>
              <w:spacing w:after="0"/>
              <w:jc w:val="center"/>
              <w:rPr>
                <w:rFonts w:ascii="宋体" w:hAnsi="宋体" w:eastAsia="宋体" w:cs="Times New Roman"/>
                <w:color w:val="auto"/>
                <w:sz w:val="21"/>
                <w:szCs w:val="21"/>
                <w:highlight w:val="none"/>
              </w:rPr>
            </w:pPr>
          </w:p>
        </w:tc>
        <w:tc>
          <w:tcPr>
            <w:tcW w:w="1618" w:type="dxa"/>
            <w:vAlign w:val="center"/>
          </w:tcPr>
          <w:p>
            <w:pPr>
              <w:spacing w:after="0"/>
              <w:jc w:val="center"/>
              <w:rPr>
                <w:rFonts w:ascii="宋体" w:hAnsi="宋体" w:eastAsia="宋体" w:cs="Times New Roman"/>
                <w:color w:val="auto"/>
                <w:sz w:val="21"/>
                <w:szCs w:val="21"/>
                <w:highlight w:val="none"/>
              </w:rPr>
            </w:pPr>
          </w:p>
        </w:tc>
        <w:tc>
          <w:tcPr>
            <w:tcW w:w="1217" w:type="dxa"/>
            <w:vAlign w:val="center"/>
          </w:tcPr>
          <w:p>
            <w:pPr>
              <w:spacing w:after="0"/>
              <w:jc w:val="center"/>
              <w:rPr>
                <w:rFonts w:ascii="宋体" w:hAnsi="宋体" w:eastAsia="宋体" w:cs="Times New Roman"/>
                <w:color w:val="auto"/>
                <w:sz w:val="21"/>
                <w:szCs w:val="21"/>
                <w:highlight w:val="none"/>
              </w:rPr>
            </w:pPr>
          </w:p>
        </w:tc>
        <w:tc>
          <w:tcPr>
            <w:tcW w:w="1656" w:type="dxa"/>
            <w:vAlign w:val="center"/>
          </w:tcPr>
          <w:p>
            <w:pPr>
              <w:spacing w:after="0"/>
              <w:jc w:val="center"/>
              <w:rPr>
                <w:rFonts w:ascii="宋体" w:hAnsi="宋体" w:eastAsia="宋体" w:cs="Times New Roman"/>
                <w:color w:val="auto"/>
                <w:sz w:val="21"/>
                <w:szCs w:val="21"/>
                <w:highlight w:val="none"/>
              </w:rPr>
            </w:pPr>
          </w:p>
        </w:tc>
        <w:tc>
          <w:tcPr>
            <w:tcW w:w="1305" w:type="dxa"/>
            <w:vAlign w:val="center"/>
          </w:tcPr>
          <w:p>
            <w:pPr>
              <w:spacing w:after="0"/>
              <w:jc w:val="center"/>
              <w:rPr>
                <w:rFonts w:ascii="宋体" w:hAnsi="宋体"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51" w:type="dxa"/>
            <w:vAlign w:val="center"/>
          </w:tcPr>
          <w:p>
            <w:pPr>
              <w:spacing w:after="0"/>
              <w:jc w:val="center"/>
              <w:rPr>
                <w:rFonts w:ascii="宋体" w:hAnsi="宋体" w:eastAsia="宋体" w:cs="Times New Roman"/>
                <w:color w:val="auto"/>
                <w:sz w:val="21"/>
                <w:szCs w:val="21"/>
                <w:highlight w:val="none"/>
              </w:rPr>
            </w:pPr>
          </w:p>
        </w:tc>
        <w:tc>
          <w:tcPr>
            <w:tcW w:w="1775" w:type="dxa"/>
            <w:vAlign w:val="center"/>
          </w:tcPr>
          <w:p>
            <w:pPr>
              <w:spacing w:after="0"/>
              <w:jc w:val="center"/>
              <w:rPr>
                <w:rFonts w:ascii="宋体" w:hAnsi="宋体" w:eastAsia="宋体" w:cs="Times New Roman"/>
                <w:color w:val="auto"/>
                <w:sz w:val="21"/>
                <w:szCs w:val="21"/>
                <w:highlight w:val="none"/>
              </w:rPr>
            </w:pPr>
          </w:p>
        </w:tc>
        <w:tc>
          <w:tcPr>
            <w:tcW w:w="1618" w:type="dxa"/>
            <w:vAlign w:val="center"/>
          </w:tcPr>
          <w:p>
            <w:pPr>
              <w:spacing w:after="0"/>
              <w:jc w:val="center"/>
              <w:rPr>
                <w:rFonts w:ascii="宋体" w:hAnsi="宋体" w:eastAsia="宋体" w:cs="Times New Roman"/>
                <w:color w:val="auto"/>
                <w:sz w:val="21"/>
                <w:szCs w:val="21"/>
                <w:highlight w:val="none"/>
              </w:rPr>
            </w:pPr>
          </w:p>
        </w:tc>
        <w:tc>
          <w:tcPr>
            <w:tcW w:w="1217" w:type="dxa"/>
            <w:vAlign w:val="center"/>
          </w:tcPr>
          <w:p>
            <w:pPr>
              <w:spacing w:after="0"/>
              <w:jc w:val="center"/>
              <w:rPr>
                <w:rFonts w:ascii="宋体" w:hAnsi="宋体" w:eastAsia="宋体" w:cs="Times New Roman"/>
                <w:color w:val="auto"/>
                <w:sz w:val="21"/>
                <w:szCs w:val="21"/>
                <w:highlight w:val="none"/>
              </w:rPr>
            </w:pPr>
          </w:p>
        </w:tc>
        <w:tc>
          <w:tcPr>
            <w:tcW w:w="1656" w:type="dxa"/>
            <w:vAlign w:val="center"/>
          </w:tcPr>
          <w:p>
            <w:pPr>
              <w:spacing w:after="0"/>
              <w:jc w:val="center"/>
              <w:rPr>
                <w:rFonts w:ascii="宋体" w:hAnsi="宋体" w:eastAsia="宋体" w:cs="Times New Roman"/>
                <w:color w:val="auto"/>
                <w:sz w:val="21"/>
                <w:szCs w:val="21"/>
                <w:highlight w:val="none"/>
              </w:rPr>
            </w:pPr>
          </w:p>
        </w:tc>
        <w:tc>
          <w:tcPr>
            <w:tcW w:w="1305" w:type="dxa"/>
            <w:vAlign w:val="center"/>
          </w:tcPr>
          <w:p>
            <w:pPr>
              <w:spacing w:after="0"/>
              <w:jc w:val="center"/>
              <w:rPr>
                <w:rFonts w:ascii="宋体" w:hAnsi="宋体"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51" w:type="dxa"/>
            <w:vAlign w:val="center"/>
          </w:tcPr>
          <w:p>
            <w:pPr>
              <w:spacing w:after="0"/>
              <w:jc w:val="center"/>
              <w:rPr>
                <w:rFonts w:ascii="宋体" w:hAnsi="宋体" w:eastAsia="宋体" w:cs="Times New Roman"/>
                <w:color w:val="auto"/>
                <w:sz w:val="21"/>
                <w:szCs w:val="21"/>
                <w:highlight w:val="none"/>
              </w:rPr>
            </w:pPr>
          </w:p>
        </w:tc>
        <w:tc>
          <w:tcPr>
            <w:tcW w:w="1775" w:type="dxa"/>
            <w:vAlign w:val="center"/>
          </w:tcPr>
          <w:p>
            <w:pPr>
              <w:spacing w:after="0"/>
              <w:jc w:val="center"/>
              <w:rPr>
                <w:rFonts w:ascii="宋体" w:hAnsi="宋体" w:eastAsia="宋体" w:cs="Times New Roman"/>
                <w:color w:val="auto"/>
                <w:sz w:val="21"/>
                <w:szCs w:val="21"/>
                <w:highlight w:val="none"/>
              </w:rPr>
            </w:pPr>
          </w:p>
        </w:tc>
        <w:tc>
          <w:tcPr>
            <w:tcW w:w="1618" w:type="dxa"/>
            <w:vAlign w:val="center"/>
          </w:tcPr>
          <w:p>
            <w:pPr>
              <w:spacing w:after="0"/>
              <w:jc w:val="center"/>
              <w:rPr>
                <w:rFonts w:ascii="宋体" w:hAnsi="宋体" w:eastAsia="宋体" w:cs="Times New Roman"/>
                <w:color w:val="auto"/>
                <w:sz w:val="21"/>
                <w:szCs w:val="21"/>
                <w:highlight w:val="none"/>
              </w:rPr>
            </w:pPr>
          </w:p>
        </w:tc>
        <w:tc>
          <w:tcPr>
            <w:tcW w:w="1217" w:type="dxa"/>
            <w:vAlign w:val="center"/>
          </w:tcPr>
          <w:p>
            <w:pPr>
              <w:spacing w:after="0"/>
              <w:jc w:val="center"/>
              <w:rPr>
                <w:rFonts w:ascii="宋体" w:hAnsi="宋体" w:eastAsia="宋体" w:cs="Times New Roman"/>
                <w:color w:val="auto"/>
                <w:sz w:val="21"/>
                <w:szCs w:val="21"/>
                <w:highlight w:val="none"/>
              </w:rPr>
            </w:pPr>
          </w:p>
        </w:tc>
        <w:tc>
          <w:tcPr>
            <w:tcW w:w="1656" w:type="dxa"/>
            <w:vAlign w:val="center"/>
          </w:tcPr>
          <w:p>
            <w:pPr>
              <w:spacing w:after="0"/>
              <w:jc w:val="center"/>
              <w:rPr>
                <w:rFonts w:ascii="宋体" w:hAnsi="宋体" w:eastAsia="宋体" w:cs="Times New Roman"/>
                <w:color w:val="auto"/>
                <w:sz w:val="21"/>
                <w:szCs w:val="21"/>
                <w:highlight w:val="none"/>
              </w:rPr>
            </w:pPr>
          </w:p>
        </w:tc>
        <w:tc>
          <w:tcPr>
            <w:tcW w:w="1305" w:type="dxa"/>
            <w:vAlign w:val="center"/>
          </w:tcPr>
          <w:p>
            <w:pPr>
              <w:spacing w:after="0"/>
              <w:jc w:val="center"/>
              <w:rPr>
                <w:rFonts w:ascii="宋体" w:hAnsi="宋体"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51" w:type="dxa"/>
            <w:vAlign w:val="center"/>
          </w:tcPr>
          <w:p>
            <w:pPr>
              <w:spacing w:after="0"/>
              <w:jc w:val="center"/>
              <w:rPr>
                <w:rFonts w:ascii="宋体" w:hAnsi="宋体" w:eastAsia="宋体" w:cs="Times New Roman"/>
                <w:color w:val="auto"/>
                <w:sz w:val="21"/>
                <w:szCs w:val="21"/>
                <w:highlight w:val="none"/>
              </w:rPr>
            </w:pPr>
          </w:p>
        </w:tc>
        <w:tc>
          <w:tcPr>
            <w:tcW w:w="1775" w:type="dxa"/>
            <w:vAlign w:val="center"/>
          </w:tcPr>
          <w:p>
            <w:pPr>
              <w:spacing w:after="0"/>
              <w:jc w:val="center"/>
              <w:rPr>
                <w:rFonts w:ascii="宋体" w:hAnsi="宋体" w:eastAsia="宋体" w:cs="Times New Roman"/>
                <w:color w:val="auto"/>
                <w:sz w:val="21"/>
                <w:szCs w:val="21"/>
                <w:highlight w:val="none"/>
              </w:rPr>
            </w:pPr>
          </w:p>
        </w:tc>
        <w:tc>
          <w:tcPr>
            <w:tcW w:w="1618" w:type="dxa"/>
            <w:vAlign w:val="center"/>
          </w:tcPr>
          <w:p>
            <w:pPr>
              <w:spacing w:after="0"/>
              <w:jc w:val="center"/>
              <w:rPr>
                <w:rFonts w:ascii="宋体" w:hAnsi="宋体" w:eastAsia="宋体" w:cs="Times New Roman"/>
                <w:color w:val="auto"/>
                <w:sz w:val="21"/>
                <w:szCs w:val="21"/>
                <w:highlight w:val="none"/>
              </w:rPr>
            </w:pPr>
          </w:p>
        </w:tc>
        <w:tc>
          <w:tcPr>
            <w:tcW w:w="1217" w:type="dxa"/>
            <w:vAlign w:val="center"/>
          </w:tcPr>
          <w:p>
            <w:pPr>
              <w:spacing w:after="0"/>
              <w:jc w:val="center"/>
              <w:rPr>
                <w:rFonts w:ascii="宋体" w:hAnsi="宋体" w:eastAsia="宋体" w:cs="Times New Roman"/>
                <w:color w:val="auto"/>
                <w:sz w:val="21"/>
                <w:szCs w:val="21"/>
                <w:highlight w:val="none"/>
              </w:rPr>
            </w:pPr>
          </w:p>
        </w:tc>
        <w:tc>
          <w:tcPr>
            <w:tcW w:w="1656" w:type="dxa"/>
            <w:vAlign w:val="center"/>
          </w:tcPr>
          <w:p>
            <w:pPr>
              <w:spacing w:after="0"/>
              <w:jc w:val="center"/>
              <w:rPr>
                <w:rFonts w:ascii="宋体" w:hAnsi="宋体" w:eastAsia="宋体" w:cs="Times New Roman"/>
                <w:color w:val="auto"/>
                <w:sz w:val="21"/>
                <w:szCs w:val="21"/>
                <w:highlight w:val="none"/>
              </w:rPr>
            </w:pPr>
          </w:p>
        </w:tc>
        <w:tc>
          <w:tcPr>
            <w:tcW w:w="1305" w:type="dxa"/>
            <w:vAlign w:val="center"/>
          </w:tcPr>
          <w:p>
            <w:pPr>
              <w:spacing w:after="0"/>
              <w:jc w:val="center"/>
              <w:rPr>
                <w:rFonts w:ascii="宋体" w:hAnsi="宋体"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51" w:type="dxa"/>
            <w:vAlign w:val="center"/>
          </w:tcPr>
          <w:p>
            <w:pPr>
              <w:spacing w:after="0"/>
              <w:jc w:val="center"/>
              <w:rPr>
                <w:rFonts w:ascii="宋体" w:hAnsi="宋体" w:eastAsia="宋体" w:cs="Times New Roman"/>
                <w:color w:val="auto"/>
                <w:sz w:val="21"/>
                <w:szCs w:val="21"/>
                <w:highlight w:val="none"/>
              </w:rPr>
            </w:pPr>
          </w:p>
        </w:tc>
        <w:tc>
          <w:tcPr>
            <w:tcW w:w="1775" w:type="dxa"/>
            <w:vAlign w:val="center"/>
          </w:tcPr>
          <w:p>
            <w:pPr>
              <w:spacing w:after="0"/>
              <w:jc w:val="center"/>
              <w:rPr>
                <w:rFonts w:ascii="宋体" w:hAnsi="宋体" w:eastAsia="宋体" w:cs="Times New Roman"/>
                <w:color w:val="auto"/>
                <w:sz w:val="21"/>
                <w:szCs w:val="21"/>
                <w:highlight w:val="none"/>
              </w:rPr>
            </w:pPr>
          </w:p>
        </w:tc>
        <w:tc>
          <w:tcPr>
            <w:tcW w:w="1618" w:type="dxa"/>
            <w:vAlign w:val="center"/>
          </w:tcPr>
          <w:p>
            <w:pPr>
              <w:spacing w:after="0"/>
              <w:jc w:val="center"/>
              <w:rPr>
                <w:rFonts w:ascii="宋体" w:hAnsi="宋体" w:eastAsia="宋体" w:cs="Times New Roman"/>
                <w:color w:val="auto"/>
                <w:sz w:val="21"/>
                <w:szCs w:val="21"/>
                <w:highlight w:val="none"/>
              </w:rPr>
            </w:pPr>
          </w:p>
        </w:tc>
        <w:tc>
          <w:tcPr>
            <w:tcW w:w="1217" w:type="dxa"/>
            <w:vAlign w:val="center"/>
          </w:tcPr>
          <w:p>
            <w:pPr>
              <w:spacing w:after="0"/>
              <w:jc w:val="center"/>
              <w:rPr>
                <w:rFonts w:ascii="宋体" w:hAnsi="宋体" w:eastAsia="宋体" w:cs="Times New Roman"/>
                <w:color w:val="auto"/>
                <w:sz w:val="21"/>
                <w:szCs w:val="21"/>
                <w:highlight w:val="none"/>
              </w:rPr>
            </w:pPr>
          </w:p>
        </w:tc>
        <w:tc>
          <w:tcPr>
            <w:tcW w:w="1656" w:type="dxa"/>
            <w:vAlign w:val="center"/>
          </w:tcPr>
          <w:p>
            <w:pPr>
              <w:spacing w:after="0"/>
              <w:jc w:val="center"/>
              <w:rPr>
                <w:rFonts w:ascii="宋体" w:hAnsi="宋体" w:eastAsia="宋体" w:cs="Times New Roman"/>
                <w:color w:val="auto"/>
                <w:sz w:val="21"/>
                <w:szCs w:val="21"/>
                <w:highlight w:val="none"/>
              </w:rPr>
            </w:pPr>
          </w:p>
        </w:tc>
        <w:tc>
          <w:tcPr>
            <w:tcW w:w="1305" w:type="dxa"/>
            <w:vAlign w:val="center"/>
          </w:tcPr>
          <w:p>
            <w:pPr>
              <w:spacing w:after="0"/>
              <w:jc w:val="center"/>
              <w:rPr>
                <w:rFonts w:ascii="宋体" w:hAnsi="宋体" w:eastAsia="宋体" w:cs="Times New Roman"/>
                <w:color w:val="auto"/>
                <w:sz w:val="21"/>
                <w:szCs w:val="21"/>
                <w:highlight w:val="none"/>
              </w:rPr>
            </w:pPr>
          </w:p>
        </w:tc>
      </w:tr>
    </w:tbl>
    <w:p>
      <w:pPr>
        <w:spacing w:after="0"/>
        <w:rPr>
          <w:rFonts w:ascii="宋体" w:hAnsi="宋体" w:eastAsia="宋体" w:cs="Times New Roman"/>
          <w:color w:val="auto"/>
          <w:sz w:val="21"/>
          <w:szCs w:val="21"/>
          <w:highlight w:val="none"/>
        </w:rPr>
      </w:pPr>
    </w:p>
    <w:p>
      <w:pPr>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投标人代表签字：</w:t>
      </w:r>
    </w:p>
    <w:p>
      <w:pPr>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投标人盖章：</w:t>
      </w:r>
    </w:p>
    <w:p>
      <w:pPr>
        <w:rPr>
          <w:rFonts w:ascii="宋体" w:hAnsi="宋体" w:eastAsia="宋体" w:cs="Times New Roman"/>
          <w:color w:val="auto"/>
          <w:sz w:val="21"/>
          <w:szCs w:val="21"/>
          <w:highlight w:val="none"/>
        </w:rPr>
      </w:pPr>
    </w:p>
    <w:p>
      <w:pPr>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注：</w:t>
      </w:r>
    </w:p>
    <w:p>
      <w:pPr>
        <w:pStyle w:val="30"/>
        <w:ind w:firstLine="0" w:firstLineChars="0"/>
        <w:rPr>
          <w:rFonts w:ascii="宋体" w:hAnsi="宋体" w:eastAsia="宋体"/>
          <w:color w:val="auto"/>
          <w:sz w:val="21"/>
          <w:szCs w:val="21"/>
          <w:highlight w:val="none"/>
        </w:rPr>
      </w:pPr>
      <w:r>
        <w:rPr>
          <w:rFonts w:hint="eastAsia" w:ascii="宋体" w:hAnsi="宋体" w:eastAsia="宋体"/>
          <w:color w:val="auto"/>
          <w:sz w:val="21"/>
          <w:szCs w:val="21"/>
          <w:highlight w:val="none"/>
        </w:rPr>
        <w:t>1、投标人可按项目的实际需要提供本表格。</w:t>
      </w:r>
    </w:p>
    <w:p>
      <w:pPr>
        <w:pStyle w:val="30"/>
        <w:ind w:firstLine="0" w:firstLineChars="0"/>
        <w:rPr>
          <w:rFonts w:ascii="宋体" w:hAnsi="宋体" w:eastAsia="宋体"/>
          <w:color w:val="auto"/>
          <w:sz w:val="21"/>
          <w:szCs w:val="21"/>
          <w:highlight w:val="none"/>
        </w:rPr>
      </w:pPr>
      <w:r>
        <w:rPr>
          <w:rFonts w:hint="eastAsia" w:ascii="宋体" w:hAnsi="宋体" w:eastAsia="宋体"/>
          <w:color w:val="auto"/>
          <w:sz w:val="21"/>
          <w:szCs w:val="21"/>
          <w:highlight w:val="none"/>
        </w:rPr>
        <w:t>2、该表格为参考格式，投标人可按实际情况自行制订。</w:t>
      </w:r>
    </w:p>
    <w:p>
      <w:pPr>
        <w:pStyle w:val="30"/>
        <w:ind w:firstLine="0" w:firstLineChars="0"/>
        <w:rPr>
          <w:rFonts w:ascii="宋体" w:hAnsi="宋体" w:eastAsia="宋体"/>
          <w:color w:val="auto"/>
          <w:sz w:val="21"/>
          <w:szCs w:val="21"/>
          <w:highlight w:val="none"/>
        </w:rPr>
      </w:pPr>
      <w:r>
        <w:rPr>
          <w:rFonts w:hint="eastAsia" w:ascii="宋体" w:hAnsi="宋体" w:eastAsia="宋体"/>
          <w:color w:val="auto"/>
          <w:sz w:val="21"/>
          <w:szCs w:val="21"/>
          <w:highlight w:val="none"/>
        </w:rPr>
        <w:t>3、如本项目不涉及此表内容，则无需提供此表。</w:t>
      </w:r>
      <w:r>
        <w:rPr>
          <w:rFonts w:hint="eastAsia" w:ascii="宋体" w:hAnsi="宋体" w:eastAsia="宋体"/>
          <w:color w:val="auto"/>
          <w:sz w:val="21"/>
          <w:szCs w:val="21"/>
          <w:highlight w:val="none"/>
        </w:rPr>
        <w:br w:type="page"/>
      </w:r>
    </w:p>
    <w:p>
      <w:pPr>
        <w:pStyle w:val="6"/>
        <w:widowControl w:val="0"/>
        <w:overflowPunct w:val="0"/>
        <w:spacing w:before="0" w:after="0" w:line="240" w:lineRule="auto"/>
        <w:rPr>
          <w:rFonts w:ascii="楷体_GB2312" w:eastAsia="楷体_GB2312"/>
          <w:color w:val="auto"/>
          <w:sz w:val="24"/>
          <w:highlight w:val="none"/>
        </w:rPr>
      </w:pPr>
      <w:bookmarkStart w:id="155" w:name="_Toc10094"/>
      <w:bookmarkStart w:id="156" w:name="_Toc21223"/>
      <w:bookmarkStart w:id="157" w:name="_Toc417907703"/>
      <w:r>
        <w:rPr>
          <w:rFonts w:hint="eastAsia" w:ascii="宋体" w:hAnsi="宋体" w:eastAsia="宋体"/>
          <w:color w:val="auto"/>
          <w:sz w:val="21"/>
          <w:szCs w:val="21"/>
          <w:highlight w:val="none"/>
        </w:rPr>
        <w:t>附件17.在经营活动中没有重大违法记录的书面声明格式</w:t>
      </w:r>
      <w:bookmarkEnd w:id="155"/>
    </w:p>
    <w:p>
      <w:pPr>
        <w:rPr>
          <w:color w:val="auto"/>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投标人在参与政府采购活动前三年未有重大违法记录、没有不良信用记录的声明函</w:t>
      </w:r>
    </w:p>
    <w:p>
      <w:pPr>
        <w:spacing w:after="0" w:line="360" w:lineRule="auto"/>
        <w:ind w:firstLine="420" w:firstLineChars="200"/>
        <w:rPr>
          <w:rFonts w:ascii="宋体" w:hAnsi="宋体" w:eastAsia="宋体" w:cs="宋体"/>
          <w:color w:val="auto"/>
          <w:sz w:val="21"/>
          <w:szCs w:val="21"/>
          <w:highlight w:val="none"/>
        </w:rPr>
      </w:pP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广东政通招标有限公司</w:t>
      </w:r>
      <w:r>
        <w:rPr>
          <w:rFonts w:hint="eastAsia" w:ascii="宋体" w:hAnsi="宋体" w:eastAsia="宋体" w:cs="宋体"/>
          <w:color w:val="auto"/>
          <w:sz w:val="21"/>
          <w:szCs w:val="21"/>
          <w:highlight w:val="none"/>
        </w:rPr>
        <w:t>：</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我公司郑重承诺：在参加“</w:t>
      </w:r>
      <w:r>
        <w:rPr>
          <w:rFonts w:hint="eastAsia" w:ascii="宋体" w:hAnsi="宋体" w:eastAsia="宋体" w:cs="宋体"/>
          <w:color w:val="auto"/>
          <w:sz w:val="21"/>
          <w:szCs w:val="21"/>
          <w:highlight w:val="none"/>
          <w:u w:val="single"/>
        </w:rPr>
        <w:t xml:space="preserve">       （采购项目名称）</w:t>
      </w:r>
      <w:r>
        <w:rPr>
          <w:rFonts w:hint="eastAsia" w:ascii="宋体" w:hAnsi="宋体" w:eastAsia="宋体" w:cs="宋体"/>
          <w:color w:val="auto"/>
          <w:sz w:val="21"/>
          <w:szCs w:val="21"/>
          <w:highlight w:val="none"/>
        </w:rPr>
        <w:t>” （项目编号:）政府采购活动前三年内（设立不满三年的从设立之日计算），在经营活动中没有重大违法记录；至本项目提交投标文件截止时间止未被列入“信用中国”网站及“中国政府采购网”失信被执行人、重大税收违法案件当事人名单、政府采购严重违法失信行为记录名单。</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highlight w:val="none"/>
        </w:rPr>
      </w:pPr>
    </w:p>
    <w:p>
      <w:pPr>
        <w:spacing w:after="0" w:line="360" w:lineRule="auto"/>
        <w:rPr>
          <w:rFonts w:ascii="宋体" w:hAnsi="宋体" w:eastAsia="宋体" w:cs="宋体"/>
          <w:color w:val="auto"/>
          <w:sz w:val="21"/>
          <w:szCs w:val="21"/>
          <w:highlight w:val="none"/>
        </w:rPr>
      </w:pP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投标人名称（盖章）：</w:t>
      </w:r>
    </w:p>
    <w:p>
      <w:pPr>
        <w:spacing w:after="0" w:line="360" w:lineRule="auto"/>
        <w:rPr>
          <w:rFonts w:ascii="宋体" w:hAnsi="宋体" w:eastAsia="宋体" w:cs="宋体"/>
          <w:color w:val="auto"/>
          <w:sz w:val="21"/>
          <w:szCs w:val="21"/>
          <w:highlight w:val="none"/>
        </w:rPr>
      </w:pP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adjustRightInd/>
        <w:snapToGrid/>
        <w:spacing w:line="276" w:lineRule="auto"/>
        <w:rPr>
          <w:rFonts w:ascii="楷体_GB2312" w:eastAsia="楷体_GB2312" w:hAnsiTheme="majorHAnsi" w:cstheme="majorBidi"/>
          <w:b/>
          <w:bCs/>
          <w:color w:val="auto"/>
          <w:sz w:val="24"/>
          <w:szCs w:val="28"/>
          <w:highlight w:val="none"/>
        </w:rPr>
      </w:pPr>
      <w:r>
        <w:rPr>
          <w:rFonts w:ascii="楷体_GB2312" w:eastAsia="楷体_GB2312"/>
          <w:color w:val="auto"/>
          <w:sz w:val="24"/>
          <w:highlight w:val="none"/>
        </w:rPr>
        <w:br w:type="page"/>
      </w:r>
    </w:p>
    <w:p>
      <w:pPr>
        <w:pStyle w:val="6"/>
        <w:widowControl w:val="0"/>
        <w:overflowPunct w:val="0"/>
        <w:spacing w:before="0" w:after="0" w:line="240" w:lineRule="auto"/>
        <w:rPr>
          <w:color w:val="auto"/>
          <w:highlight w:val="none"/>
        </w:rPr>
      </w:pPr>
      <w:r>
        <w:rPr>
          <w:rFonts w:hint="eastAsia" w:ascii="宋体" w:hAnsi="宋体" w:eastAsia="宋体"/>
          <w:color w:val="auto"/>
          <w:sz w:val="21"/>
          <w:szCs w:val="21"/>
          <w:highlight w:val="none"/>
        </w:rPr>
        <w:t>附件18. 中小企业声明函（投标人为中小企业时适用）</w:t>
      </w:r>
      <w:bookmarkEnd w:id="156"/>
      <w:bookmarkEnd w:id="157"/>
    </w:p>
    <w:p>
      <w:pPr>
        <w:jc w:val="center"/>
        <w:rPr>
          <w:rFonts w:ascii="微软雅黑" w:hAnsi="微软雅黑" w:cs="微软雅黑"/>
          <w:b/>
          <w:color w:val="auto"/>
          <w:sz w:val="28"/>
          <w:szCs w:val="28"/>
          <w:highlight w:val="none"/>
        </w:rPr>
      </w:pPr>
    </w:p>
    <w:p>
      <w:pPr>
        <w:jc w:val="center"/>
        <w:rPr>
          <w:rFonts w:hint="eastAsia" w:ascii="黑体" w:eastAsia="黑体"/>
          <w:color w:val="auto"/>
          <w:sz w:val="28"/>
          <w:szCs w:val="28"/>
          <w:highlight w:val="none"/>
          <w:lang w:eastAsia="zh-CN"/>
        </w:rPr>
      </w:pPr>
      <w:r>
        <w:rPr>
          <w:rFonts w:hint="eastAsia" w:ascii="黑体" w:eastAsia="黑体"/>
          <w:color w:val="auto"/>
          <w:sz w:val="28"/>
          <w:szCs w:val="28"/>
          <w:highlight w:val="none"/>
        </w:rPr>
        <w:t>中小企业声明函</w:t>
      </w:r>
      <w:r>
        <w:rPr>
          <w:rFonts w:hint="eastAsia" w:ascii="黑体" w:eastAsia="黑体"/>
          <w:color w:val="auto"/>
          <w:sz w:val="28"/>
          <w:szCs w:val="28"/>
          <w:highlight w:val="none"/>
          <w:lang w:eastAsia="zh-CN"/>
        </w:rPr>
        <w:t>（货物）</w:t>
      </w:r>
    </w:p>
    <w:p>
      <w:pPr>
        <w:keepNext w:val="0"/>
        <w:keepLines w:val="0"/>
        <w:pageBreakBefore w:val="0"/>
        <w:widowControl/>
        <w:kinsoku/>
        <w:wordWrap/>
        <w:overflowPunct/>
        <w:topLinePunct w:val="0"/>
        <w:autoSpaceDE/>
        <w:autoSpaceDN/>
        <w:bidi w:val="0"/>
        <w:adjustRightInd w:val="0"/>
        <w:snapToGrid w:val="0"/>
        <w:spacing w:line="360" w:lineRule="auto"/>
        <w:ind w:firstLine="630" w:firstLineChars="3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采购活动，提供的货物全部由符合政策要求的中小企业制造。相关企业</w:t>
      </w:r>
      <w:r>
        <w:rPr>
          <w:rFonts w:hint="eastAsia" w:asciiTheme="minorEastAsia" w:hAnsiTheme="minorEastAsia" w:eastAsiaTheme="minorEastAsia" w:cstheme="minorEastAsia"/>
          <w:color w:val="auto"/>
          <w:sz w:val="21"/>
          <w:szCs w:val="21"/>
          <w:highlight w:val="none"/>
          <w:u w:val="single"/>
          <w:lang w:val="en-US" w:eastAsia="zh-CN"/>
        </w:rPr>
        <w:t>（含联合体中的中小企业、签订分包意向协议的中小企业）</w:t>
      </w:r>
      <w:r>
        <w:rPr>
          <w:rFonts w:hint="eastAsia" w:asciiTheme="minorEastAsia" w:hAnsiTheme="minorEastAsia" w:eastAsiaTheme="minorEastAsia" w:cstheme="minorEastAsia"/>
          <w:color w:val="auto"/>
          <w:sz w:val="21"/>
          <w:szCs w:val="21"/>
          <w:highlight w:val="none"/>
          <w:u w:val="none"/>
          <w:lang w:val="en-US" w:eastAsia="zh-CN"/>
        </w:rPr>
        <w:t>的具体情况如下：</w:t>
      </w:r>
    </w:p>
    <w:p>
      <w:pPr>
        <w:pStyle w:val="8"/>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7"/>
          <w:rFonts w:hint="eastAsia" w:asciiTheme="minorEastAsia" w:hAnsiTheme="minorEastAsia" w:eastAsiaTheme="minorEastAsia" w:cstheme="minorEastAsia"/>
          <w:color w:val="auto"/>
          <w:sz w:val="21"/>
          <w:szCs w:val="21"/>
          <w:highlight w:val="none"/>
          <w:u w:val="none"/>
          <w:lang w:val="en-US" w:eastAsia="zh-CN"/>
        </w:rPr>
        <w:footnoteReference w:id="0"/>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8"/>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8"/>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pStyle w:val="8"/>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以上企业，不属于大企业的分支机构，不存在控股股东为大企业的情形，也不存在与大企业的负责人为同一人的情形。</w:t>
      </w:r>
    </w:p>
    <w:p>
      <w:pPr>
        <w:pStyle w:val="8"/>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本企业对上诉声明内容的真实性负责。如有虚假，将依法承担相应责任。</w:t>
      </w:r>
    </w:p>
    <w:p>
      <w:pPr>
        <w:pStyle w:val="8"/>
        <w:keepNext w:val="0"/>
        <w:keepLines w:val="0"/>
        <w:pageBreakBefore w:val="0"/>
        <w:widowControl/>
        <w:kinsoku/>
        <w:wordWrap w:val="0"/>
        <w:overflowPunct/>
        <w:topLinePunct w:val="0"/>
        <w:autoSpaceDE/>
        <w:autoSpaceDN/>
        <w:bidi w:val="0"/>
        <w:adjustRightInd w:val="0"/>
        <w:snapToGrid w:val="0"/>
        <w:spacing w:line="360" w:lineRule="auto"/>
        <w:ind w:left="0" w:leftChars="0" w:firstLine="480" w:firstLineChars="0"/>
        <w:jc w:val="righ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8"/>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8"/>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color w:val="auto"/>
          <w:sz w:val="21"/>
          <w:szCs w:val="21"/>
          <w:highlight w:val="none"/>
        </w:rPr>
      </w:pPr>
      <w:r>
        <w:rPr>
          <w:rFonts w:hint="eastAsia" w:ascii="宋体" w:hAnsi="宋体" w:eastAsia="宋体"/>
          <w:color w:val="auto"/>
          <w:sz w:val="21"/>
          <w:szCs w:val="21"/>
          <w:highlight w:val="none"/>
        </w:rPr>
        <w:br w:type="page"/>
      </w:r>
    </w:p>
    <w:p>
      <w:pPr>
        <w:jc w:val="center"/>
        <w:rPr>
          <w:rFonts w:hint="eastAsia" w:ascii="黑体" w:eastAsia="黑体"/>
          <w:color w:val="auto"/>
          <w:sz w:val="28"/>
          <w:szCs w:val="28"/>
          <w:highlight w:val="none"/>
          <w:lang w:eastAsia="zh-CN"/>
        </w:rPr>
      </w:pPr>
      <w:r>
        <w:rPr>
          <w:rFonts w:hint="eastAsia" w:ascii="黑体" w:eastAsia="黑体"/>
          <w:color w:val="auto"/>
          <w:sz w:val="28"/>
          <w:szCs w:val="28"/>
          <w:highlight w:val="none"/>
        </w:rPr>
        <w:t>中小企业声明函</w:t>
      </w:r>
      <w:r>
        <w:rPr>
          <w:rFonts w:hint="eastAsia" w:ascii="黑体" w:eastAsia="黑体"/>
          <w:color w:val="auto"/>
          <w:sz w:val="28"/>
          <w:szCs w:val="28"/>
          <w:highlight w:val="none"/>
          <w:lang w:eastAsia="zh-CN"/>
        </w:rPr>
        <w:t>（工程、服务）</w:t>
      </w:r>
    </w:p>
    <w:p>
      <w:pPr>
        <w:keepNext w:val="0"/>
        <w:keepLines w:val="0"/>
        <w:pageBreakBefore w:val="0"/>
        <w:widowControl/>
        <w:kinsoku/>
        <w:wordWrap/>
        <w:overflowPunct/>
        <w:topLinePunct w:val="0"/>
        <w:autoSpaceDE/>
        <w:autoSpaceDN/>
        <w:bidi w:val="0"/>
        <w:adjustRightInd w:val="0"/>
        <w:snapToGrid w:val="0"/>
        <w:spacing w:line="360" w:lineRule="auto"/>
        <w:ind w:firstLine="22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eastAsiaTheme="minorEastAsia"/>
          <w:color w:val="auto"/>
          <w:highlight w:val="non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8"/>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7"/>
          <w:rFonts w:hint="eastAsia" w:asciiTheme="minorEastAsia" w:hAnsiTheme="minorEastAsia" w:eastAsiaTheme="minorEastAsia" w:cstheme="minorEastAsia"/>
          <w:color w:val="auto"/>
          <w:sz w:val="21"/>
          <w:szCs w:val="21"/>
          <w:highlight w:val="none"/>
          <w:u w:val="none"/>
          <w:lang w:val="en-US" w:eastAsia="zh-CN"/>
        </w:rPr>
        <w:footnoteReference w:id="1"/>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8"/>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8"/>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pStyle w:val="8"/>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以上企业，不属于大企业的分支机构，不存在控股股东为大企业的情形，也不存在与大企业的负责人为同一人的情形。</w:t>
      </w:r>
    </w:p>
    <w:p>
      <w:pPr>
        <w:pStyle w:val="8"/>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本企业对上诉声明内容的真实性负责。如有虚假，将依法承担相应责任。</w:t>
      </w:r>
    </w:p>
    <w:p>
      <w:pPr>
        <w:pStyle w:val="8"/>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lef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8"/>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8"/>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color w:val="auto"/>
          <w:sz w:val="21"/>
          <w:szCs w:val="21"/>
          <w:highlight w:val="none"/>
        </w:rPr>
      </w:pPr>
      <w:r>
        <w:rPr>
          <w:rFonts w:hint="eastAsia" w:ascii="宋体" w:hAnsi="宋体" w:eastAsia="宋体"/>
          <w:color w:val="auto"/>
          <w:sz w:val="21"/>
          <w:szCs w:val="21"/>
          <w:highlight w:val="none"/>
        </w:rPr>
        <w:br w:type="page"/>
      </w:r>
    </w:p>
    <w:p>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1、投标人应根据</w:t>
      </w:r>
      <w:r>
        <w:rPr>
          <w:rFonts w:hint="eastAsia" w:ascii="宋体" w:hAnsi="宋体" w:eastAsia="宋体"/>
          <w:color w:val="auto"/>
          <w:sz w:val="21"/>
          <w:szCs w:val="21"/>
          <w:highlight w:val="none"/>
          <w:lang w:eastAsia="zh-CN"/>
        </w:rPr>
        <w:t>《政府采购促进中小企业发展管理办法》的通知（财库〔2020〕46号）</w:t>
      </w:r>
      <w:r>
        <w:rPr>
          <w:rFonts w:hint="eastAsia" w:ascii="宋体" w:hAnsi="宋体" w:eastAsia="宋体"/>
          <w:color w:val="auto"/>
          <w:sz w:val="21"/>
          <w:szCs w:val="21"/>
          <w:highlight w:val="none"/>
        </w:rPr>
        <w:t>的有关规定如实填写此表。（监狱企业视同小型、微型企业，监狱企业参加政府采购活动时，应当提供由省级以上监狱管理局、戒毒管理局(含新疆生产建设兵团)出具的属于监狱企业的证明文件）</w:t>
      </w:r>
    </w:p>
    <w:p>
      <w:pPr>
        <w:spacing w:after="0" w:line="480" w:lineRule="auto"/>
        <w:ind w:firstLine="422" w:firstLineChars="20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2、若投标人不属于规定的中小企业范围，或提供的产品不是中小企业制造的，则无需提供此表。</w:t>
      </w:r>
    </w:p>
    <w:p>
      <w:pPr>
        <w:spacing w:after="0" w:line="480" w:lineRule="auto"/>
        <w:ind w:firstLine="420" w:firstLineChars="200"/>
        <w:rPr>
          <w:rFonts w:ascii="楷体_GB2312" w:eastAsia="楷体_GB2312"/>
          <w:color w:val="auto"/>
          <w:sz w:val="24"/>
          <w:highlight w:val="none"/>
        </w:rPr>
      </w:pPr>
      <w:r>
        <w:rPr>
          <w:rFonts w:hint="eastAsia" w:ascii="宋体" w:hAnsi="宋体" w:eastAsia="宋体"/>
          <w:color w:val="auto"/>
          <w:sz w:val="21"/>
          <w:szCs w:val="21"/>
          <w:highlight w:val="none"/>
        </w:rPr>
        <w:t>3、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rFonts w:ascii="楷体_GB2312" w:eastAsia="楷体_GB2312" w:hAnsiTheme="majorHAnsi" w:cstheme="majorBidi"/>
          <w:b/>
          <w:bCs/>
          <w:color w:val="auto"/>
          <w:sz w:val="24"/>
          <w:szCs w:val="28"/>
          <w:highlight w:val="none"/>
        </w:rPr>
      </w:pPr>
      <w:r>
        <w:rPr>
          <w:rFonts w:ascii="楷体_GB2312" w:eastAsia="楷体_GB2312"/>
          <w:color w:val="auto"/>
          <w:sz w:val="24"/>
          <w:highlight w:val="none"/>
        </w:rPr>
        <w:br w:type="page"/>
      </w:r>
    </w:p>
    <w:p>
      <w:pPr>
        <w:pStyle w:val="6"/>
        <w:widowControl w:val="0"/>
        <w:overflowPunct w:val="0"/>
        <w:spacing w:before="0" w:after="0" w:line="240" w:lineRule="auto"/>
        <w:rPr>
          <w:rFonts w:ascii="楷体_GB2312" w:eastAsia="楷体_GB2312"/>
          <w:color w:val="auto"/>
          <w:sz w:val="24"/>
          <w:highlight w:val="none"/>
        </w:rPr>
      </w:pPr>
      <w:bookmarkStart w:id="158" w:name="_Toc28081"/>
      <w:r>
        <w:rPr>
          <w:rFonts w:hint="eastAsia" w:ascii="宋体" w:hAnsi="宋体" w:eastAsia="宋体"/>
          <w:color w:val="auto"/>
          <w:sz w:val="21"/>
          <w:szCs w:val="21"/>
          <w:highlight w:val="none"/>
        </w:rPr>
        <w:t>附件19.《残疾人福利性单位声明函》（残疾人福利性单位适用）</w:t>
      </w:r>
      <w:bookmarkEnd w:id="158"/>
    </w:p>
    <w:p>
      <w:pPr>
        <w:jc w:val="center"/>
        <w:rPr>
          <w:color w:val="auto"/>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残疾人福利性单位声明函</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本单位对上述声明的真实性负责。如有虚假，将依法承担相应责任。</w:t>
      </w:r>
    </w:p>
    <w:p>
      <w:pPr>
        <w:spacing w:after="0" w:line="480" w:lineRule="auto"/>
        <w:jc w:val="right"/>
        <w:rPr>
          <w:rFonts w:ascii="宋体" w:hAnsi="宋体" w:eastAsia="宋体"/>
          <w:color w:val="auto"/>
          <w:sz w:val="21"/>
          <w:szCs w:val="21"/>
          <w:highlight w:val="none"/>
        </w:rPr>
      </w:pPr>
    </w:p>
    <w:p>
      <w:pPr>
        <w:spacing w:after="0" w:line="480" w:lineRule="auto"/>
        <w:jc w:val="right"/>
        <w:rPr>
          <w:rFonts w:ascii="宋体" w:hAnsi="宋体" w:eastAsia="宋体"/>
          <w:color w:val="auto"/>
          <w:sz w:val="21"/>
          <w:szCs w:val="21"/>
          <w:highlight w:val="none"/>
        </w:rPr>
      </w:pPr>
      <w:r>
        <w:rPr>
          <w:rFonts w:hint="eastAsia" w:ascii="宋体" w:hAnsi="宋体" w:eastAsia="宋体"/>
          <w:color w:val="auto"/>
          <w:sz w:val="21"/>
          <w:szCs w:val="21"/>
          <w:highlight w:val="none"/>
        </w:rPr>
        <w:t>单位名称（盖章）：</w:t>
      </w:r>
      <w:bookmarkStart w:id="159" w:name="_Toc509844825"/>
      <w:bookmarkStart w:id="160" w:name="_Toc22970"/>
      <w:bookmarkStart w:id="161" w:name="_Toc30277"/>
      <w:bookmarkStart w:id="162" w:name="_Toc17761"/>
      <w:bookmarkStart w:id="163" w:name="_Toc508958703"/>
      <w:bookmarkStart w:id="164" w:name="_Toc508960153"/>
      <w:bookmarkStart w:id="165" w:name="_Toc510171693"/>
      <w:bookmarkStart w:id="166" w:name="_Toc20910"/>
      <w:bookmarkStart w:id="167" w:name="_Toc508898066"/>
      <w:bookmarkStart w:id="168" w:name="_Toc509927455"/>
      <w:bookmarkStart w:id="169" w:name="_Toc30247"/>
      <w:bookmarkStart w:id="170" w:name="_Toc509479530"/>
    </w:p>
    <w:p>
      <w:pPr>
        <w:spacing w:after="0" w:line="480" w:lineRule="auto"/>
        <w:jc w:val="right"/>
        <w:rPr>
          <w:rFonts w:ascii="宋体" w:hAnsi="宋体" w:eastAsia="宋体"/>
          <w:color w:val="auto"/>
          <w:sz w:val="21"/>
          <w:szCs w:val="21"/>
          <w:highlight w:val="none"/>
        </w:rPr>
      </w:pPr>
    </w:p>
    <w:p>
      <w:pPr>
        <w:spacing w:after="0" w:line="480" w:lineRule="auto"/>
        <w:jc w:val="right"/>
        <w:rPr>
          <w:rFonts w:ascii="宋体" w:hAnsi="宋体" w:eastAsia="宋体"/>
          <w:color w:val="auto"/>
          <w:sz w:val="21"/>
          <w:szCs w:val="21"/>
          <w:highlight w:val="none"/>
        </w:rPr>
      </w:pPr>
      <w:r>
        <w:rPr>
          <w:rFonts w:hint="eastAsia" w:ascii="宋体" w:hAnsi="宋体" w:eastAsia="宋体"/>
          <w:color w:val="auto"/>
          <w:sz w:val="21"/>
          <w:szCs w:val="21"/>
          <w:highlight w:val="none"/>
        </w:rPr>
        <w:t>日  期：</w:t>
      </w:r>
      <w:bookmarkEnd w:id="159"/>
      <w:bookmarkEnd w:id="160"/>
      <w:bookmarkEnd w:id="161"/>
      <w:bookmarkEnd w:id="162"/>
      <w:bookmarkEnd w:id="163"/>
      <w:bookmarkEnd w:id="164"/>
      <w:bookmarkEnd w:id="165"/>
      <w:bookmarkEnd w:id="166"/>
      <w:bookmarkEnd w:id="167"/>
      <w:bookmarkEnd w:id="168"/>
      <w:bookmarkEnd w:id="169"/>
      <w:bookmarkEnd w:id="170"/>
    </w:p>
    <w:p>
      <w:pPr>
        <w:pStyle w:val="8"/>
        <w:rPr>
          <w:color w:val="auto"/>
          <w:highlight w:val="none"/>
        </w:rPr>
      </w:pPr>
    </w:p>
    <w:p>
      <w:pPr>
        <w:spacing w:after="0" w:line="480" w:lineRule="auto"/>
        <w:ind w:firstLine="420" w:firstLineChars="200"/>
        <w:rPr>
          <w:rFonts w:ascii="宋体" w:hAnsi="宋体" w:eastAsia="宋体"/>
          <w:color w:val="auto"/>
          <w:sz w:val="21"/>
          <w:szCs w:val="21"/>
          <w:highlight w:val="none"/>
        </w:rPr>
      </w:pPr>
      <w:bookmarkStart w:id="171" w:name="_Toc31520"/>
      <w:bookmarkStart w:id="172" w:name="_Toc509844826"/>
      <w:bookmarkStart w:id="173" w:name="_Toc28527"/>
      <w:bookmarkStart w:id="174" w:name="_Toc508960154"/>
      <w:bookmarkStart w:id="175" w:name="_Toc509479531"/>
      <w:bookmarkStart w:id="176" w:name="_Toc509927456"/>
      <w:bookmarkStart w:id="177" w:name="_Toc21053"/>
      <w:bookmarkStart w:id="178" w:name="_Toc5447"/>
      <w:bookmarkStart w:id="179" w:name="_Toc26216"/>
      <w:bookmarkStart w:id="180" w:name="_Toc510171694"/>
      <w:bookmarkStart w:id="181" w:name="_Toc508898067"/>
      <w:bookmarkStart w:id="182" w:name="_Toc508958704"/>
      <w:r>
        <w:rPr>
          <w:rFonts w:hint="eastAsia" w:ascii="宋体" w:hAnsi="宋体" w:eastAsia="宋体"/>
          <w:color w:val="auto"/>
          <w:sz w:val="21"/>
          <w:szCs w:val="21"/>
          <w:highlight w:val="none"/>
        </w:rPr>
        <w:t>注：（1）符合《财政部 民政部 中国残疾人联合会关于促进残疾人就业政府采购政策的通知》（财库〔2017〕 141号）规定条件的残疾人福利性单位应当提供《残疾人福利性单位声明函》。</w:t>
      </w:r>
      <w:bookmarkEnd w:id="171"/>
      <w:bookmarkEnd w:id="172"/>
      <w:bookmarkEnd w:id="173"/>
      <w:bookmarkEnd w:id="174"/>
      <w:bookmarkEnd w:id="175"/>
      <w:bookmarkEnd w:id="176"/>
      <w:bookmarkEnd w:id="177"/>
      <w:bookmarkEnd w:id="178"/>
      <w:bookmarkEnd w:id="179"/>
      <w:bookmarkEnd w:id="180"/>
      <w:bookmarkEnd w:id="181"/>
      <w:bookmarkEnd w:id="182"/>
    </w:p>
    <w:p>
      <w:pPr>
        <w:spacing w:after="0" w:line="480" w:lineRule="auto"/>
        <w:ind w:firstLine="420" w:firstLineChars="200"/>
        <w:rPr>
          <w:rFonts w:ascii="宋体" w:hAnsi="宋体" w:eastAsia="宋体"/>
          <w:color w:val="auto"/>
          <w:sz w:val="21"/>
          <w:szCs w:val="21"/>
          <w:highlight w:val="none"/>
        </w:rPr>
      </w:pPr>
      <w:bookmarkStart w:id="183" w:name="_Toc14653"/>
      <w:bookmarkStart w:id="184" w:name="_Toc508960155"/>
      <w:bookmarkStart w:id="185" w:name="_Toc509844827"/>
      <w:bookmarkStart w:id="186" w:name="_Toc28126"/>
      <w:bookmarkStart w:id="187" w:name="_Toc509479532"/>
      <w:bookmarkStart w:id="188" w:name="_Toc9148"/>
      <w:bookmarkStart w:id="189" w:name="_Toc508898068"/>
      <w:bookmarkStart w:id="190" w:name="_Toc509927457"/>
      <w:bookmarkStart w:id="191" w:name="_Toc28626"/>
      <w:bookmarkStart w:id="192" w:name="_Toc24848"/>
      <w:bookmarkStart w:id="193" w:name="_Toc510171695"/>
      <w:bookmarkStart w:id="194" w:name="_Toc508958705"/>
      <w:r>
        <w:rPr>
          <w:rFonts w:hint="eastAsia" w:ascii="宋体" w:hAnsi="宋体" w:eastAsia="宋体"/>
          <w:color w:val="auto"/>
          <w:sz w:val="21"/>
          <w:szCs w:val="21"/>
          <w:highlight w:val="none"/>
        </w:rPr>
        <w:t>（2）中标人为残疾人福利性单位的，采购代理机构将随中标结果同时公告其《残疾人福利性单位声明函》，接受社会监督。</w:t>
      </w:r>
      <w:bookmarkEnd w:id="183"/>
      <w:bookmarkEnd w:id="184"/>
      <w:bookmarkEnd w:id="185"/>
      <w:bookmarkEnd w:id="186"/>
      <w:bookmarkEnd w:id="187"/>
      <w:bookmarkEnd w:id="188"/>
      <w:bookmarkEnd w:id="189"/>
      <w:bookmarkEnd w:id="190"/>
      <w:bookmarkEnd w:id="191"/>
      <w:bookmarkEnd w:id="192"/>
      <w:bookmarkEnd w:id="193"/>
      <w:bookmarkEnd w:id="194"/>
    </w:p>
    <w:p>
      <w:pPr>
        <w:spacing w:after="0" w:line="480" w:lineRule="auto"/>
        <w:ind w:firstLine="420" w:firstLineChars="200"/>
        <w:rPr>
          <w:rFonts w:ascii="宋体" w:hAnsi="宋体" w:eastAsia="宋体"/>
          <w:color w:val="auto"/>
          <w:sz w:val="21"/>
          <w:szCs w:val="21"/>
          <w:highlight w:val="none"/>
        </w:rPr>
      </w:pPr>
      <w:bookmarkStart w:id="195" w:name="_Toc9837"/>
      <w:bookmarkStart w:id="196" w:name="_Toc509927458"/>
      <w:bookmarkStart w:id="197" w:name="_Toc510171696"/>
      <w:bookmarkStart w:id="198" w:name="_Toc28686"/>
      <w:bookmarkStart w:id="199" w:name="_Toc509844828"/>
      <w:bookmarkStart w:id="200" w:name="_Toc7858"/>
      <w:bookmarkStart w:id="201" w:name="_Toc28044"/>
      <w:bookmarkStart w:id="202" w:name="_Toc509479533"/>
      <w:bookmarkStart w:id="203" w:name="_Toc508960156"/>
      <w:bookmarkStart w:id="204" w:name="_Toc508898069"/>
      <w:bookmarkStart w:id="205" w:name="_Toc508958706"/>
      <w:bookmarkStart w:id="206" w:name="_Toc22981"/>
      <w:r>
        <w:rPr>
          <w:rFonts w:hint="eastAsia" w:ascii="宋体" w:hAnsi="宋体" w:eastAsia="宋体"/>
          <w:color w:val="auto"/>
          <w:sz w:val="21"/>
          <w:szCs w:val="21"/>
          <w:highlight w:val="none"/>
        </w:rPr>
        <w:t>（3）投标人提供的《残疾人福利性单位声明函》与事实不符的，依照《政府采购法》第七十七条第一款的规定追究法律责任。</w:t>
      </w:r>
      <w:bookmarkEnd w:id="195"/>
      <w:bookmarkEnd w:id="196"/>
      <w:bookmarkEnd w:id="197"/>
      <w:bookmarkEnd w:id="198"/>
      <w:bookmarkEnd w:id="199"/>
      <w:bookmarkEnd w:id="200"/>
      <w:bookmarkEnd w:id="201"/>
      <w:bookmarkEnd w:id="202"/>
      <w:bookmarkEnd w:id="203"/>
      <w:bookmarkEnd w:id="204"/>
      <w:bookmarkEnd w:id="205"/>
      <w:bookmarkEnd w:id="206"/>
    </w:p>
    <w:p>
      <w:pPr>
        <w:spacing w:after="0" w:line="480" w:lineRule="auto"/>
        <w:ind w:firstLine="420" w:firstLineChars="200"/>
        <w:rPr>
          <w:rFonts w:ascii="宋体" w:hAnsi="宋体" w:eastAsia="宋体"/>
          <w:color w:val="auto"/>
          <w:sz w:val="21"/>
          <w:szCs w:val="21"/>
          <w:highlight w:val="none"/>
        </w:rPr>
      </w:pPr>
      <w:bookmarkStart w:id="207" w:name="_Toc510171697"/>
      <w:bookmarkStart w:id="208" w:name="_Toc5289"/>
      <w:bookmarkStart w:id="209" w:name="_Toc509844829"/>
      <w:bookmarkStart w:id="210" w:name="_Toc508958707"/>
      <w:bookmarkStart w:id="211" w:name="_Toc508898070"/>
      <w:bookmarkStart w:id="212" w:name="_Toc508960157"/>
      <w:bookmarkStart w:id="213" w:name="_Toc509479534"/>
      <w:bookmarkStart w:id="214" w:name="_Toc509927459"/>
      <w:bookmarkStart w:id="215" w:name="_Toc18843"/>
      <w:r>
        <w:rPr>
          <w:rFonts w:hint="eastAsia" w:ascii="宋体" w:hAnsi="宋体" w:eastAsia="宋体"/>
          <w:color w:val="auto"/>
          <w:sz w:val="21"/>
          <w:szCs w:val="21"/>
          <w:highlight w:val="none"/>
        </w:rPr>
        <w:t>（4）残疾人福利性单位视同小型、微型企业，享受评审中价格扣除。残疾人福利性单位属于小型、微型企业的，不重复享受政策。</w:t>
      </w:r>
      <w:bookmarkEnd w:id="207"/>
      <w:bookmarkEnd w:id="208"/>
      <w:bookmarkEnd w:id="209"/>
      <w:bookmarkEnd w:id="210"/>
      <w:bookmarkEnd w:id="211"/>
      <w:bookmarkEnd w:id="212"/>
      <w:bookmarkEnd w:id="213"/>
      <w:bookmarkEnd w:id="214"/>
      <w:bookmarkEnd w:id="215"/>
    </w:p>
    <w:p>
      <w:pPr>
        <w:spacing w:after="0" w:line="480" w:lineRule="auto"/>
        <w:ind w:firstLine="422" w:firstLineChars="20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（5）若投标人不属于规定的残疾人福利性单位，或提供的产品不是残疾人福利单位制造的，则无需提供此表。</w:t>
      </w:r>
    </w:p>
    <w:p>
      <w:pPr>
        <w:adjustRightInd/>
        <w:snapToGrid/>
        <w:spacing w:line="276"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br w:type="page"/>
      </w:r>
    </w:p>
    <w:p>
      <w:pPr>
        <w:pStyle w:val="6"/>
        <w:widowControl w:val="0"/>
        <w:overflowPunct w:val="0"/>
        <w:spacing w:before="0" w:after="0" w:line="240" w:lineRule="auto"/>
        <w:rPr>
          <w:color w:val="auto"/>
          <w:highlight w:val="none"/>
        </w:rPr>
      </w:pPr>
      <w:bookmarkStart w:id="216" w:name="_Toc25634"/>
      <w:r>
        <w:rPr>
          <w:rFonts w:hint="eastAsia" w:ascii="宋体" w:hAnsi="宋体" w:eastAsia="宋体"/>
          <w:color w:val="auto"/>
          <w:sz w:val="21"/>
          <w:szCs w:val="21"/>
          <w:highlight w:val="none"/>
        </w:rPr>
        <w:t>附件20. 投标保证金汇入情况说明格式</w:t>
      </w:r>
      <w:bookmarkEnd w:id="216"/>
    </w:p>
    <w:p>
      <w:pPr>
        <w:rPr>
          <w:color w:val="auto"/>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投标保证金汇入情况说明</w:t>
      </w:r>
    </w:p>
    <w:p>
      <w:pPr>
        <w:spacing w:after="0" w:line="48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本单位已按项目包（采购项目编号：）的招标文件要求，于年月日前以</w:t>
      </w:r>
      <w:r>
        <w:rPr>
          <w:rFonts w:hint="eastAsia" w:ascii="宋体" w:hAnsi="宋体" w:eastAsia="宋体"/>
          <w:color w:val="auto"/>
          <w:sz w:val="21"/>
          <w:szCs w:val="21"/>
          <w:highlight w:val="none"/>
          <w:u w:val="single"/>
        </w:rPr>
        <w:t xml:space="preserve">           （付款形式）</w:t>
      </w:r>
      <w:r>
        <w:rPr>
          <w:rFonts w:hint="eastAsia" w:ascii="宋体" w:hAnsi="宋体" w:eastAsia="宋体"/>
          <w:color w:val="auto"/>
          <w:sz w:val="21"/>
          <w:szCs w:val="21"/>
          <w:highlight w:val="none"/>
        </w:rPr>
        <w:t>方式汇入指定帐户（帐户名称：，帐号： ,开户银行：）。</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本单位投标保证金的汇款情况：（详见附件－投标保证金进帐单）</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汇出时间：年月日；</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汇款金额：（大写）人民币元（小写：￥元），</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汇款帐户名称：</w:t>
      </w:r>
      <w:r>
        <w:rPr>
          <w:rFonts w:hint="eastAsia" w:ascii="宋体" w:hAnsi="宋体" w:eastAsia="宋体"/>
          <w:color w:val="auto"/>
          <w:sz w:val="21"/>
          <w:szCs w:val="21"/>
          <w:highlight w:val="none"/>
          <w:u w:val="single"/>
        </w:rPr>
        <w:t xml:space="preserve">  （必须是投标时使用的帐户名）   </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帐        号：</w:t>
      </w:r>
      <w:r>
        <w:rPr>
          <w:rFonts w:hint="eastAsia" w:ascii="宋体" w:hAnsi="宋体" w:eastAsia="宋体"/>
          <w:color w:val="auto"/>
          <w:sz w:val="21"/>
          <w:szCs w:val="21"/>
          <w:highlight w:val="none"/>
          <w:u w:val="single"/>
        </w:rPr>
        <w:t xml:space="preserve">  （必须是投标时使用的帐号）     </w:t>
      </w:r>
    </w:p>
    <w:p>
      <w:pPr>
        <w:spacing w:after="0" w:line="480" w:lineRule="auto"/>
        <w:ind w:firstLine="420" w:firstLineChars="200"/>
        <w:rPr>
          <w:rFonts w:ascii="宋体" w:hAnsi="宋体" w:eastAsia="宋体"/>
          <w:color w:val="auto"/>
          <w:sz w:val="21"/>
          <w:szCs w:val="21"/>
          <w:highlight w:val="none"/>
          <w:u w:val="single"/>
        </w:rPr>
      </w:pPr>
      <w:r>
        <w:rPr>
          <w:rFonts w:hint="eastAsia" w:ascii="宋体" w:hAnsi="宋体" w:eastAsia="宋体"/>
          <w:color w:val="auto"/>
          <w:sz w:val="21"/>
          <w:szCs w:val="21"/>
          <w:highlight w:val="none"/>
        </w:rPr>
        <w:t>开 户  银 行：</w:t>
      </w:r>
      <w:r>
        <w:rPr>
          <w:rFonts w:hint="eastAsia" w:ascii="宋体" w:hAnsi="宋体" w:eastAsia="宋体"/>
          <w:color w:val="auto"/>
          <w:sz w:val="21"/>
          <w:szCs w:val="21"/>
          <w:highlight w:val="none"/>
          <w:u w:val="single"/>
        </w:rPr>
        <w:t xml:space="preserve">  （      银行   分行  支行    ）</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本单位谨承诺上述资料是正确、真实的，如因上述证明与事实不符导致的一切损失，本单位保证承担赔偿等一切法律责任。</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投标保证金退回时，请按上述资料退回。</w:t>
      </w:r>
    </w:p>
    <w:p>
      <w:pPr>
        <w:spacing w:after="0" w:line="480" w:lineRule="auto"/>
        <w:ind w:right="884" w:rightChars="402"/>
        <w:jc w:val="right"/>
        <w:rPr>
          <w:rFonts w:ascii="宋体" w:hAnsi="宋体" w:eastAsia="宋体"/>
          <w:color w:val="auto"/>
          <w:sz w:val="21"/>
          <w:szCs w:val="21"/>
          <w:highlight w:val="none"/>
        </w:rPr>
      </w:pPr>
      <w:r>
        <w:rPr>
          <w:rFonts w:hint="eastAsia" w:ascii="宋体" w:hAnsi="宋体" w:eastAsia="宋体"/>
          <w:color w:val="auto"/>
          <w:sz w:val="21"/>
          <w:szCs w:val="21"/>
          <w:highlight w:val="none"/>
        </w:rPr>
        <w:t>（单位公章）</w:t>
      </w:r>
    </w:p>
    <w:p>
      <w:pPr>
        <w:spacing w:after="0" w:line="480" w:lineRule="auto"/>
        <w:ind w:right="658" w:rightChars="299"/>
        <w:jc w:val="right"/>
        <w:rPr>
          <w:rFonts w:ascii="宋体" w:hAnsi="宋体" w:eastAsia="宋体"/>
          <w:color w:val="auto"/>
          <w:sz w:val="21"/>
          <w:szCs w:val="21"/>
          <w:highlight w:val="none"/>
        </w:rPr>
      </w:pPr>
      <w:r>
        <w:rPr>
          <w:rFonts w:hint="eastAsia" w:ascii="宋体" w:hAnsi="宋体" w:eastAsia="宋体"/>
          <w:color w:val="auto"/>
          <w:sz w:val="21"/>
          <w:szCs w:val="21"/>
          <w:highlight w:val="none"/>
        </w:rPr>
        <w:t>年 月 日</w:t>
      </w:r>
    </w:p>
    <w:p>
      <w:pPr>
        <w:spacing w:after="0" w:line="48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单位名称：</w:t>
      </w:r>
    </w:p>
    <w:p>
      <w:pPr>
        <w:spacing w:after="0" w:line="48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单位地址：</w:t>
      </w:r>
    </w:p>
    <w:p>
      <w:pPr>
        <w:spacing w:after="0" w:line="48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联系人：</w:t>
      </w:r>
    </w:p>
    <w:p>
      <w:pPr>
        <w:spacing w:after="0" w:line="48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 xml:space="preserve">单位电话： </w:t>
      </w:r>
    </w:p>
    <w:p>
      <w:pPr>
        <w:spacing w:after="0" w:line="48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联系人手机：</w:t>
      </w:r>
    </w:p>
    <w:p>
      <w:pPr>
        <w:spacing w:after="0"/>
        <w:rPr>
          <w:rFonts w:ascii="宋体" w:hAnsi="宋体" w:eastAsia="宋体"/>
          <w:color w:val="auto"/>
          <w:sz w:val="21"/>
          <w:szCs w:val="21"/>
          <w:highlight w:val="none"/>
        </w:rPr>
      </w:pPr>
    </w:p>
    <w:p>
      <w:pPr>
        <w:spacing w:after="0" w:line="38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spacing w:after="0" w:line="38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附：我方投标保证金汇款凭证</w:t>
      </w:r>
    </w:p>
    <w:tbl>
      <w:tblPr>
        <w:tblStyle w:val="21"/>
        <w:tblW w:w="895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953" w:type="dxa"/>
            <w:vAlign w:val="center"/>
          </w:tcPr>
          <w:p>
            <w:pPr>
              <w:tabs>
                <w:tab w:val="left" w:pos="3885"/>
              </w:tabs>
              <w:spacing w:line="360" w:lineRule="auto"/>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（粘贴汇款单或转账</w:t>
            </w:r>
            <w:r>
              <w:rPr>
                <w:rFonts w:ascii="宋体" w:hAnsi="宋体" w:eastAsia="宋体"/>
                <w:color w:val="auto"/>
                <w:sz w:val="21"/>
                <w:szCs w:val="21"/>
                <w:highlight w:val="none"/>
              </w:rPr>
              <w:t>凭证</w:t>
            </w:r>
            <w:r>
              <w:rPr>
                <w:rFonts w:hint="eastAsia" w:ascii="宋体" w:hAnsi="宋体" w:eastAsia="宋体"/>
                <w:color w:val="auto"/>
                <w:sz w:val="21"/>
                <w:szCs w:val="21"/>
                <w:highlight w:val="none"/>
              </w:rPr>
              <w:t>复印件，并在骑缝上加盖投标人公章，或是直接把转账</w:t>
            </w:r>
            <w:r>
              <w:rPr>
                <w:rFonts w:ascii="宋体" w:hAnsi="宋体" w:eastAsia="宋体"/>
                <w:color w:val="auto"/>
                <w:sz w:val="21"/>
                <w:szCs w:val="21"/>
                <w:highlight w:val="none"/>
              </w:rPr>
              <w:t>凭证</w:t>
            </w:r>
            <w:r>
              <w:rPr>
                <w:rFonts w:hint="eastAsia" w:ascii="宋体" w:hAnsi="宋体" w:eastAsia="宋体"/>
                <w:color w:val="auto"/>
                <w:sz w:val="21"/>
                <w:szCs w:val="21"/>
                <w:highlight w:val="none"/>
              </w:rPr>
              <w:t>复印到此张纸上）</w:t>
            </w:r>
          </w:p>
        </w:tc>
      </w:tr>
    </w:tbl>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注：此表既要装订在投标文件中，又要按投标人须知的规定与开标一览表、投标保证金汇款底单复印件及授权委托书一同密封装入开标文件，开标文件单独提交。</w:t>
      </w:r>
    </w:p>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6"/>
        <w:widowControl w:val="0"/>
        <w:overflowPunct w:val="0"/>
        <w:spacing w:before="0" w:after="0" w:line="240" w:lineRule="auto"/>
        <w:rPr>
          <w:rFonts w:ascii="宋体" w:hAnsi="宋体" w:eastAsia="宋体"/>
          <w:color w:val="auto"/>
          <w:sz w:val="21"/>
          <w:szCs w:val="21"/>
          <w:highlight w:val="none"/>
        </w:rPr>
      </w:pPr>
      <w:bookmarkStart w:id="217" w:name="_Toc4363"/>
      <w:r>
        <w:rPr>
          <w:rFonts w:hint="eastAsia" w:ascii="宋体" w:hAnsi="宋体" w:eastAsia="宋体"/>
          <w:color w:val="auto"/>
          <w:sz w:val="21"/>
          <w:szCs w:val="21"/>
          <w:highlight w:val="none"/>
        </w:rPr>
        <w:t>附件21.政府采购投标担保函</w:t>
      </w:r>
      <w:bookmarkEnd w:id="217"/>
    </w:p>
    <w:p>
      <w:pPr>
        <w:jc w:val="center"/>
        <w:rPr>
          <w:rFonts w:ascii="黑体" w:eastAsia="黑体"/>
          <w:color w:val="auto"/>
          <w:sz w:val="28"/>
          <w:szCs w:val="28"/>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政府采购投标担保函</w:t>
      </w:r>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 编号：</w:t>
      </w: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（采购人或采购代理机构）：</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鉴于（以下简称“投标人”）拟参加编号为</w:t>
      </w:r>
      <w:r>
        <w:rPr>
          <w:rFonts w:hint="eastAsia" w:ascii="宋体" w:hAnsi="宋体" w:eastAsia="宋体" w:cs="宋体"/>
          <w:color w:val="auto"/>
          <w:sz w:val="21"/>
          <w:szCs w:val="21"/>
          <w:highlight w:val="none"/>
          <w:u w:val="single"/>
        </w:rPr>
        <w:t xml:space="preserve">            的</w:t>
      </w: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spacing w:after="0" w:line="480" w:lineRule="auto"/>
        <w:ind w:firstLine="210" w:firstLineChars="1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（一）在投标人出现下列情形之一时，我方承担保证责任：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1．中标后投标人无正当理由不与采购人或者采购代理机构签订《政府采购合同》；</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2．招标文件规定的投标人应当缴纳保证金的其他情形。</w:t>
      </w:r>
    </w:p>
    <w:p>
      <w:pPr>
        <w:spacing w:after="0" w:line="480" w:lineRule="auto"/>
        <w:ind w:firstLine="210" w:firstLineChars="1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（二）我方承担保证责任的最高金额为人民币元（大写），即本项目的投标保证金金额。</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我方的保证期间为：自本保函生效之日起个月止。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2．我方在收到索赔通知及相关证明材料后，在</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个工作日内进行审查，符合应承担保证责任情形的，我方应按照你方的要求代投标人向你方支付投标保证金。</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2．我方按照本保函向你贵方履行了保证责任后，自我方向你贵方支付款项（支付款项从我方账户划出）之日起，保证责任终止。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3．按照法律法规的规定或出现我方保证责任终止的其它情形的，我方在本保函项下的保证责任亦终止。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1．依照法律规定或你方与投标人的另行约定，全部或者部分免除投标人投标保证金义务时，我方亦免除相应的保证责任。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2．因你方原因致使投标人发生本保函第一条第（一）款约定情形的，我方不承担保证责任。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3．因不可抗力造成投标人发生本保函第一条约定情形的，我方不承担保证责任。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4．你方或其他有权机关对招标文件进行任何澄清或修改，加重我方保证责任的，我方对加重部分不承担保证责任，但该澄清或修改经我方事先书面同意的除外。</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spacing w:after="0" w:line="480" w:lineRule="auto"/>
        <w:jc w:val="right"/>
        <w:rPr>
          <w:rFonts w:ascii="宋体" w:hAnsi="宋体" w:eastAsia="宋体" w:cs="宋体"/>
          <w:color w:val="auto"/>
          <w:sz w:val="21"/>
          <w:szCs w:val="21"/>
          <w:highlight w:val="none"/>
        </w:rPr>
      </w:pPr>
    </w:p>
    <w:p>
      <w:pPr>
        <w:spacing w:after="0" w:line="480" w:lineRule="auto"/>
        <w:jc w:val="righ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spacing w:after="0" w:line="480" w:lineRule="auto"/>
        <w:jc w:val="righ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spacing w:after="0"/>
        <w:rPr>
          <w:rFonts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（1）若投标人不以投标担保函形式提交投标保证金，则无需在投标文件中提供此格式。</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（2）若投标人以投标担保函形式提交投标保证金，则应将投标担保函原件交予采购代理机构。</w:t>
      </w:r>
    </w:p>
    <w:p>
      <w:pPr>
        <w:spacing w:after="0"/>
        <w:rPr>
          <w:rFonts w:ascii="黑体" w:eastAsia="黑体"/>
          <w:color w:val="auto"/>
          <w:sz w:val="30"/>
          <w:szCs w:val="30"/>
          <w:highlight w:val="none"/>
        </w:rPr>
      </w:pPr>
      <w:r>
        <w:rPr>
          <w:rFonts w:hint="eastAsia" w:ascii="宋体" w:hAnsi="宋体" w:eastAsia="宋体"/>
          <w:color w:val="auto"/>
          <w:sz w:val="21"/>
          <w:szCs w:val="21"/>
          <w:highlight w:val="none"/>
        </w:rPr>
        <w:br w:type="page"/>
      </w:r>
      <w:bookmarkStart w:id="218" w:name="_Toc27534"/>
      <w:r>
        <w:rPr>
          <w:rStyle w:val="31"/>
          <w:rFonts w:hint="eastAsia" w:ascii="宋体" w:hAnsi="宋体" w:eastAsia="宋体" w:cs="宋体"/>
          <w:color w:val="auto"/>
          <w:sz w:val="21"/>
          <w:szCs w:val="21"/>
          <w:highlight w:val="none"/>
        </w:rPr>
        <w:t>附件22.政府采购履约担保函</w:t>
      </w:r>
      <w:bookmarkEnd w:id="218"/>
    </w:p>
    <w:p>
      <w:pPr>
        <w:jc w:val="center"/>
        <w:rPr>
          <w:rFonts w:ascii="黑体" w:eastAsia="黑体"/>
          <w:color w:val="auto"/>
          <w:sz w:val="28"/>
          <w:szCs w:val="28"/>
          <w:highlight w:val="none"/>
        </w:rPr>
      </w:pPr>
      <w:r>
        <w:rPr>
          <w:rFonts w:hint="eastAsia" w:ascii="黑体" w:eastAsia="黑体"/>
          <w:color w:val="auto"/>
          <w:sz w:val="28"/>
          <w:szCs w:val="28"/>
          <w:highlight w:val="none"/>
        </w:rPr>
        <w:t>政府采购履约担保函</w:t>
      </w:r>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（一）在供应商出现下列情形之一时，我方承担保证责任：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1．将中标项目转让给他人，或者在投标文件中未说明，且未经采购招标机构人同意，将中标项目分包给他人的；</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2．主合同约定的应当缴纳履约保证金的情形: </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（1）未按主合同约定的质量、数量和期限供应货物/提供服务/完成工程的；</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pPr>
        <w:spacing w:after="0" w:line="480" w:lineRule="auto"/>
        <w:ind w:right="-1291" w:rightChars="-587"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（二）我方的保证范围是主合同约定的合同价款总额</w:t>
      </w:r>
    </w:p>
    <w:p>
      <w:pPr>
        <w:spacing w:after="0" w:line="480" w:lineRule="auto"/>
        <w:ind w:right="26" w:rightChars="12"/>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%数额为元（大写），为。（即主合同履约保证金金额）</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我方保证的期间为：自本合同生效之日起至供应商按照主合同约定的供货/完工期限届满后日内。</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如果供应商未按主合同约定向贵方供应货物/提供服务/完成工程的，由我方在保证金额内向你方支付上述款项。</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spacing w:after="0" w:line="480" w:lineRule="auto"/>
        <w:ind w:right="-726" w:rightChars="-330" w:firstLine="420" w:firstLineChars="200"/>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2．我方收到你方的书面索赔通知及相应证明材料，在</w:t>
      </w:r>
    </w:p>
    <w:p>
      <w:pPr>
        <w:spacing w:after="0" w:line="480" w:lineRule="auto"/>
        <w:ind w:right="-726" w:rightChars="-33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工作日内进行核定后按照本保函的承诺承担保证责任。</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2．我方按照本保函向你方履行了保证责任后，自我方向你方支付款项（支付款项从我方账户划出）之日起，保证责任即终止。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3．按照法律法规的规定或出现应终止我方保证责任的其它情形的，我方在本保函项下的保证责任亦终止。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1．因你方违反主合同约定致使供应商不能履行义务的，我方不承担保证责任。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2．依照法律法规的规定或你方与供应商的另行约定，全部或者部分免除供应商应缴纳的保证金义务的，我方亦免除相应的保证责任。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3．因不可抗力造成供应商不能履行供货义务的，我方不承担保证责任。</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spacing w:after="0" w:line="480" w:lineRule="auto"/>
        <w:rPr>
          <w:rFonts w:ascii="宋体" w:hAnsi="宋体" w:eastAsia="宋体" w:cs="宋体"/>
          <w:color w:val="auto"/>
          <w:sz w:val="21"/>
          <w:szCs w:val="21"/>
          <w:highlight w:val="none"/>
        </w:rPr>
      </w:pPr>
    </w:p>
    <w:p>
      <w:pPr>
        <w:spacing w:after="0" w:line="480" w:lineRule="auto"/>
        <w:rPr>
          <w:rFonts w:ascii="宋体" w:hAnsi="宋体" w:eastAsia="宋体" w:cs="宋体"/>
          <w:color w:val="auto"/>
          <w:sz w:val="21"/>
          <w:szCs w:val="21"/>
          <w:highlight w:val="none"/>
        </w:rPr>
      </w:pPr>
    </w:p>
    <w:p>
      <w:pPr>
        <w:spacing w:after="0" w:line="480" w:lineRule="auto"/>
        <w:jc w:val="righ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spacing w:after="0" w:line="480" w:lineRule="auto"/>
        <w:jc w:val="righ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（1）此格式为履约担保函格式，无需在投标文件中提供此格式。</w:t>
      </w:r>
    </w:p>
    <w:p>
      <w:pPr>
        <w:pStyle w:val="8"/>
        <w:rPr>
          <w:color w:val="auto"/>
          <w:highlight w:val="none"/>
        </w:rPr>
      </w:pPr>
    </w:p>
    <w:p>
      <w:pPr>
        <w:pStyle w:val="4"/>
        <w:spacing w:before="0" w:after="0" w:line="240" w:lineRule="auto"/>
        <w:jc w:val="center"/>
        <w:rPr>
          <w:rFonts w:ascii="宋体" w:hAnsi="宋体" w:eastAsia="宋体" w:cs="宋体"/>
          <w:color w:val="auto"/>
          <w:sz w:val="21"/>
          <w:szCs w:val="21"/>
          <w:highlight w:val="none"/>
        </w:rPr>
      </w:pPr>
      <w:r>
        <w:rPr>
          <w:rFonts w:ascii="宋体" w:hAnsi="宋体" w:eastAsia="宋体" w:cs="宋体"/>
          <w:color w:val="auto"/>
          <w:sz w:val="21"/>
          <w:szCs w:val="21"/>
          <w:highlight w:val="none"/>
        </w:rPr>
        <w:br w:type="page"/>
      </w:r>
    </w:p>
    <w:p>
      <w:pPr>
        <w:pStyle w:val="6"/>
        <w:spacing w:before="0" w:after="0" w:line="240" w:lineRule="auto"/>
        <w:rPr>
          <w:rFonts w:ascii="宋体" w:hAnsi="宋体" w:eastAsia="宋体" w:cs="宋体"/>
          <w:color w:val="auto"/>
          <w:sz w:val="21"/>
          <w:szCs w:val="21"/>
          <w:highlight w:val="none"/>
        </w:rPr>
      </w:pPr>
      <w:bookmarkStart w:id="219" w:name="_Toc17023"/>
      <w:r>
        <w:rPr>
          <w:rFonts w:hint="eastAsia" w:ascii="宋体" w:hAnsi="宋体" w:eastAsia="宋体" w:cs="宋体"/>
          <w:color w:val="auto"/>
          <w:sz w:val="21"/>
          <w:szCs w:val="21"/>
          <w:highlight w:val="none"/>
        </w:rPr>
        <w:t>附件23.获取招标文件登记表</w:t>
      </w:r>
      <w:bookmarkEnd w:id="219"/>
    </w:p>
    <w:p>
      <w:pPr>
        <w:pStyle w:val="4"/>
        <w:spacing w:before="0" w:after="0" w:line="240" w:lineRule="auto"/>
        <w:jc w:val="center"/>
        <w:rPr>
          <w:rFonts w:ascii="黑体" w:hAnsi="宋体"/>
          <w:color w:val="auto"/>
          <w:sz w:val="44"/>
          <w:szCs w:val="44"/>
          <w:highlight w:val="none"/>
        </w:rPr>
      </w:pPr>
      <w:bookmarkStart w:id="220" w:name="_Toc1968"/>
    </w:p>
    <w:p>
      <w:pPr>
        <w:spacing w:after="0"/>
        <w:jc w:val="center"/>
        <w:rPr>
          <w:rFonts w:ascii="黑体" w:hAnsi="黑体" w:eastAsia="黑体" w:cs="黑体"/>
          <w:color w:val="auto"/>
          <w:sz w:val="36"/>
          <w:szCs w:val="36"/>
          <w:highlight w:val="none"/>
        </w:rPr>
      </w:pPr>
      <w:r>
        <w:rPr>
          <w:rFonts w:hint="eastAsia" w:ascii="黑体" w:hAnsi="黑体" w:eastAsia="黑体" w:cs="黑体"/>
          <w:color w:val="auto"/>
          <w:sz w:val="36"/>
          <w:szCs w:val="36"/>
          <w:highlight w:val="none"/>
        </w:rPr>
        <w:t>获取招标文件登记表</w:t>
      </w:r>
      <w:bookmarkEnd w:id="220"/>
    </w:p>
    <w:tbl>
      <w:tblPr>
        <w:tblStyle w:val="22"/>
        <w:tblW w:w="8528"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630"/>
        <w:gridCol w:w="589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spacing w:after="0"/>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获取招标文件时间</w:t>
            </w:r>
          </w:p>
        </w:tc>
        <w:tc>
          <w:tcPr>
            <w:tcW w:w="5898" w:type="dxa"/>
            <w:vAlign w:val="center"/>
          </w:tcPr>
          <w:p>
            <w:pPr>
              <w:spacing w:after="0"/>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202</w:t>
            </w:r>
            <w:r>
              <w:rPr>
                <w:rFonts w:hint="eastAsia" w:ascii="宋体" w:hAnsi="宋体" w:eastAsia="宋体" w:cs="宋体"/>
                <w:color w:val="auto"/>
                <w:sz w:val="32"/>
                <w:szCs w:val="32"/>
                <w:highlight w:val="none"/>
                <w:lang w:val="en-US" w:eastAsia="zh-CN"/>
              </w:rPr>
              <w:t>1</w:t>
            </w:r>
            <w:r>
              <w:rPr>
                <w:rFonts w:hint="eastAsia" w:ascii="宋体" w:hAnsi="宋体" w:eastAsia="宋体" w:cs="宋体"/>
                <w:color w:val="auto"/>
                <w:sz w:val="32"/>
                <w:szCs w:val="32"/>
                <w:highlight w:val="none"/>
              </w:rPr>
              <w:t>年    月    日    时    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spacing w:after="0"/>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拟投标项目名称</w:t>
            </w:r>
          </w:p>
        </w:tc>
        <w:tc>
          <w:tcPr>
            <w:tcW w:w="5898" w:type="dxa"/>
            <w:vAlign w:val="center"/>
          </w:tcPr>
          <w:p>
            <w:pPr>
              <w:spacing w:after="0"/>
              <w:jc w:val="center"/>
              <w:rPr>
                <w:rFonts w:ascii="宋体" w:hAnsi="宋体" w:eastAsia="宋体" w:cs="宋体"/>
                <w:color w:val="auto"/>
                <w:sz w:val="32"/>
                <w:szCs w:val="32"/>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spacing w:after="0"/>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项目编号</w:t>
            </w:r>
          </w:p>
        </w:tc>
        <w:tc>
          <w:tcPr>
            <w:tcW w:w="5898" w:type="dxa"/>
            <w:vAlign w:val="center"/>
          </w:tcPr>
          <w:p>
            <w:pPr>
              <w:spacing w:after="0"/>
              <w:jc w:val="center"/>
              <w:rPr>
                <w:rFonts w:ascii="宋体" w:hAnsi="宋体" w:eastAsia="宋体" w:cs="宋体"/>
                <w:color w:val="auto"/>
                <w:sz w:val="32"/>
                <w:szCs w:val="32"/>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spacing w:after="0"/>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供应商全称</w:t>
            </w:r>
          </w:p>
        </w:tc>
        <w:tc>
          <w:tcPr>
            <w:tcW w:w="5898" w:type="dxa"/>
            <w:vAlign w:val="center"/>
          </w:tcPr>
          <w:p>
            <w:pPr>
              <w:spacing w:after="0"/>
              <w:jc w:val="center"/>
              <w:rPr>
                <w:rFonts w:ascii="宋体" w:hAnsi="宋体" w:eastAsia="宋体" w:cs="宋体"/>
                <w:color w:val="auto"/>
                <w:sz w:val="32"/>
                <w:szCs w:val="32"/>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spacing w:after="0"/>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供应商联系人</w:t>
            </w:r>
          </w:p>
        </w:tc>
        <w:tc>
          <w:tcPr>
            <w:tcW w:w="5898" w:type="dxa"/>
            <w:vAlign w:val="center"/>
          </w:tcPr>
          <w:p>
            <w:pPr>
              <w:spacing w:after="0"/>
              <w:jc w:val="center"/>
              <w:rPr>
                <w:rFonts w:ascii="宋体" w:hAnsi="宋体" w:eastAsia="宋体" w:cs="宋体"/>
                <w:color w:val="auto"/>
                <w:sz w:val="32"/>
                <w:szCs w:val="32"/>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spacing w:after="0"/>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电话</w:t>
            </w:r>
          </w:p>
        </w:tc>
        <w:tc>
          <w:tcPr>
            <w:tcW w:w="5898" w:type="dxa"/>
            <w:vAlign w:val="center"/>
          </w:tcPr>
          <w:p>
            <w:pPr>
              <w:spacing w:after="0"/>
              <w:jc w:val="center"/>
              <w:rPr>
                <w:rFonts w:ascii="宋体" w:hAnsi="宋体" w:eastAsia="宋体" w:cs="宋体"/>
                <w:color w:val="auto"/>
                <w:sz w:val="32"/>
                <w:szCs w:val="32"/>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spacing w:after="0"/>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手机</w:t>
            </w:r>
          </w:p>
        </w:tc>
        <w:tc>
          <w:tcPr>
            <w:tcW w:w="5898" w:type="dxa"/>
            <w:vAlign w:val="center"/>
          </w:tcPr>
          <w:p>
            <w:pPr>
              <w:spacing w:after="0"/>
              <w:jc w:val="center"/>
              <w:rPr>
                <w:rFonts w:ascii="宋体" w:hAnsi="宋体" w:eastAsia="宋体" w:cs="宋体"/>
                <w:color w:val="auto"/>
                <w:sz w:val="32"/>
                <w:szCs w:val="32"/>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spacing w:after="0"/>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传真</w:t>
            </w:r>
          </w:p>
        </w:tc>
        <w:tc>
          <w:tcPr>
            <w:tcW w:w="5898" w:type="dxa"/>
            <w:vAlign w:val="center"/>
          </w:tcPr>
          <w:p>
            <w:pPr>
              <w:spacing w:after="0"/>
              <w:jc w:val="center"/>
              <w:rPr>
                <w:rFonts w:ascii="宋体" w:hAnsi="宋体" w:eastAsia="宋体" w:cs="宋体"/>
                <w:color w:val="auto"/>
                <w:sz w:val="32"/>
                <w:szCs w:val="32"/>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spacing w:after="0"/>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电子邮箱</w:t>
            </w:r>
          </w:p>
        </w:tc>
        <w:tc>
          <w:tcPr>
            <w:tcW w:w="5898" w:type="dxa"/>
            <w:vAlign w:val="center"/>
          </w:tcPr>
          <w:p>
            <w:pPr>
              <w:spacing w:after="0"/>
              <w:jc w:val="center"/>
              <w:rPr>
                <w:rFonts w:ascii="宋体" w:hAnsi="宋体" w:eastAsia="宋体" w:cs="宋体"/>
                <w:color w:val="auto"/>
                <w:sz w:val="32"/>
                <w:szCs w:val="32"/>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spacing w:after="0"/>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单位地址及邮编</w:t>
            </w:r>
          </w:p>
        </w:tc>
        <w:tc>
          <w:tcPr>
            <w:tcW w:w="5898" w:type="dxa"/>
            <w:vAlign w:val="center"/>
          </w:tcPr>
          <w:p>
            <w:pPr>
              <w:spacing w:after="0"/>
              <w:jc w:val="center"/>
              <w:rPr>
                <w:rFonts w:ascii="宋体" w:hAnsi="宋体" w:eastAsia="宋体" w:cs="宋体"/>
                <w:color w:val="auto"/>
                <w:sz w:val="32"/>
                <w:szCs w:val="32"/>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76" w:hRule="atLeast"/>
        </w:trPr>
        <w:tc>
          <w:tcPr>
            <w:tcW w:w="2630" w:type="dxa"/>
            <w:vAlign w:val="center"/>
          </w:tcPr>
          <w:p>
            <w:pPr>
              <w:spacing w:after="0"/>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备注</w:t>
            </w:r>
          </w:p>
        </w:tc>
        <w:tc>
          <w:tcPr>
            <w:tcW w:w="5898" w:type="dxa"/>
            <w:vAlign w:val="center"/>
          </w:tcPr>
          <w:p>
            <w:pPr>
              <w:spacing w:after="0"/>
              <w:jc w:val="center"/>
              <w:rPr>
                <w:rFonts w:ascii="宋体" w:hAnsi="宋体" w:eastAsia="宋体" w:cs="宋体"/>
                <w:color w:val="auto"/>
                <w:sz w:val="32"/>
                <w:szCs w:val="32"/>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spacing w:after="0"/>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招标文件领取人签名</w:t>
            </w:r>
          </w:p>
        </w:tc>
        <w:tc>
          <w:tcPr>
            <w:tcW w:w="5898" w:type="dxa"/>
            <w:vAlign w:val="center"/>
          </w:tcPr>
          <w:p>
            <w:pPr>
              <w:spacing w:after="0"/>
              <w:jc w:val="center"/>
              <w:rPr>
                <w:rFonts w:ascii="宋体" w:hAnsi="宋体" w:eastAsia="宋体" w:cs="宋体"/>
                <w:color w:val="auto"/>
                <w:sz w:val="32"/>
                <w:szCs w:val="32"/>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spacing w:after="0"/>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招标文件发售人签名</w:t>
            </w:r>
          </w:p>
        </w:tc>
        <w:tc>
          <w:tcPr>
            <w:tcW w:w="5898" w:type="dxa"/>
            <w:vAlign w:val="center"/>
          </w:tcPr>
          <w:p>
            <w:pPr>
              <w:spacing w:after="0"/>
              <w:jc w:val="center"/>
              <w:rPr>
                <w:rFonts w:ascii="宋体" w:hAnsi="宋体" w:eastAsia="宋体" w:cs="宋体"/>
                <w:color w:val="auto"/>
                <w:sz w:val="32"/>
                <w:szCs w:val="32"/>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spacing w:after="0"/>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招标文件售价</w:t>
            </w:r>
          </w:p>
        </w:tc>
        <w:tc>
          <w:tcPr>
            <w:tcW w:w="5898" w:type="dxa"/>
            <w:vAlign w:val="center"/>
          </w:tcPr>
          <w:p>
            <w:pPr>
              <w:spacing w:after="0"/>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人民币150元/份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8528" w:type="dxa"/>
            <w:gridSpan w:val="2"/>
            <w:vAlign w:val="center"/>
          </w:tcPr>
          <w:p>
            <w:pPr>
              <w:spacing w:after="0"/>
              <w:jc w:val="center"/>
              <w:rPr>
                <w:rFonts w:ascii="宋体" w:hAnsi="宋体" w:eastAsia="宋体" w:cs="宋体"/>
                <w:color w:val="auto"/>
                <w:sz w:val="32"/>
                <w:szCs w:val="32"/>
                <w:highlight w:val="none"/>
              </w:rPr>
            </w:pPr>
            <w:r>
              <w:rPr>
                <w:rFonts w:hint="eastAsia" w:ascii="宋体" w:hAnsi="宋体" w:eastAsia="宋体" w:cs="宋体"/>
                <w:b/>
                <w:bCs/>
                <w:color w:val="auto"/>
                <w:sz w:val="32"/>
                <w:szCs w:val="32"/>
                <w:highlight w:val="none"/>
              </w:rPr>
              <w:t>注：开完发票后请把报名表格交还至前台</w:t>
            </w:r>
          </w:p>
        </w:tc>
      </w:tr>
    </w:tbl>
    <w:p>
      <w:pPr>
        <w:rPr>
          <w:rFonts w:ascii="宋体" w:hAnsi="宋体" w:eastAsia="宋体" w:cs="宋体"/>
          <w:color w:val="auto"/>
          <w:sz w:val="21"/>
          <w:szCs w:val="21"/>
          <w:highlight w:val="none"/>
        </w:rPr>
      </w:pPr>
    </w:p>
    <w:p>
      <w:pPr>
        <w:rPr>
          <w:color w:val="auto"/>
          <w:highlight w:val="none"/>
        </w:rPr>
      </w:pPr>
      <w:r>
        <w:rPr>
          <w:color w:val="auto"/>
          <w:highlight w:val="none"/>
        </w:rPr>
        <w:br w:type="page"/>
      </w:r>
    </w:p>
    <w:p>
      <w:pPr>
        <w:pStyle w:val="6"/>
        <w:spacing w:before="0" w:after="0" w:line="240" w:lineRule="auto"/>
        <w:rPr>
          <w:rFonts w:ascii="宋体" w:hAnsi="宋体" w:eastAsia="宋体" w:cs="宋体"/>
          <w:color w:val="auto"/>
          <w:sz w:val="21"/>
          <w:szCs w:val="21"/>
          <w:highlight w:val="none"/>
        </w:rPr>
      </w:pPr>
      <w:bookmarkStart w:id="221" w:name="_Toc11182"/>
      <w:r>
        <w:rPr>
          <w:rFonts w:hint="eastAsia" w:ascii="宋体" w:hAnsi="宋体" w:eastAsia="宋体" w:cs="宋体"/>
          <w:color w:val="auto"/>
          <w:sz w:val="21"/>
          <w:szCs w:val="21"/>
          <w:highlight w:val="none"/>
        </w:rPr>
        <w:t>附件 24.质疑函范本</w:t>
      </w:r>
      <w:bookmarkEnd w:id="221"/>
    </w:p>
    <w:p>
      <w:pPr>
        <w:spacing w:after="0" w:line="360" w:lineRule="auto"/>
        <w:jc w:val="center"/>
        <w:rPr>
          <w:rFonts w:ascii="宋体" w:hAnsi="宋体" w:eastAsia="宋体" w:cs="宋体"/>
          <w:color w:val="auto"/>
          <w:sz w:val="21"/>
          <w:szCs w:val="21"/>
          <w:highlight w:val="none"/>
        </w:rPr>
      </w:pPr>
    </w:p>
    <w:p>
      <w:pPr>
        <w:spacing w:after="0" w:line="36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1.质疑函</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一、质疑供应商基本信息</w:t>
      </w:r>
    </w:p>
    <w:p>
      <w:pPr>
        <w:spacing w:after="0" w:line="360" w:lineRule="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质疑供应商：</w:t>
      </w:r>
    </w:p>
    <w:p>
      <w:pPr>
        <w:spacing w:after="0" w:line="360" w:lineRule="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地址：邮编：</w:t>
      </w:r>
    </w:p>
    <w:p>
      <w:pPr>
        <w:spacing w:after="0" w:line="360" w:lineRule="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联系人：联系电话：</w:t>
      </w:r>
    </w:p>
    <w:p>
      <w:pPr>
        <w:spacing w:after="0" w:line="360" w:lineRule="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授权代表：</w:t>
      </w:r>
    </w:p>
    <w:p>
      <w:pPr>
        <w:spacing w:after="0" w:line="360" w:lineRule="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联系电话：</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地址：邮编：</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二、质疑项目基本情况</w:t>
      </w:r>
    </w:p>
    <w:p>
      <w:pPr>
        <w:spacing w:after="0" w:line="360" w:lineRule="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质疑项目的名称：</w:t>
      </w:r>
    </w:p>
    <w:p>
      <w:pPr>
        <w:spacing w:after="0" w:line="360" w:lineRule="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质疑项目的编号：包号：</w:t>
      </w:r>
    </w:p>
    <w:p>
      <w:pPr>
        <w:spacing w:after="0" w:line="360" w:lineRule="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采购人名称：</w:t>
      </w:r>
    </w:p>
    <w:p>
      <w:pPr>
        <w:spacing w:after="0" w:line="360" w:lineRule="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采购文件获取日期：</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三、质疑事项具体内容</w:t>
      </w:r>
    </w:p>
    <w:p>
      <w:pPr>
        <w:spacing w:after="0" w:line="360" w:lineRule="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质疑事项1：</w:t>
      </w:r>
    </w:p>
    <w:p>
      <w:pPr>
        <w:spacing w:after="0" w:line="360" w:lineRule="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事实依据：</w:t>
      </w:r>
    </w:p>
    <w:p>
      <w:pPr>
        <w:spacing w:after="0" w:line="360" w:lineRule="auto"/>
        <w:rPr>
          <w:rFonts w:ascii="宋体" w:hAnsi="宋体" w:eastAsia="宋体" w:cs="宋体"/>
          <w:color w:val="auto"/>
          <w:sz w:val="21"/>
          <w:szCs w:val="21"/>
          <w:highlight w:val="none"/>
          <w:u w:val="single"/>
        </w:rPr>
      </w:pPr>
    </w:p>
    <w:p>
      <w:pPr>
        <w:spacing w:after="0" w:line="360" w:lineRule="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法律依据：</w:t>
      </w:r>
    </w:p>
    <w:p>
      <w:pPr>
        <w:spacing w:after="0" w:line="360" w:lineRule="auto"/>
        <w:rPr>
          <w:rFonts w:ascii="宋体" w:hAnsi="宋体" w:eastAsia="宋体" w:cs="宋体"/>
          <w:color w:val="auto"/>
          <w:sz w:val="21"/>
          <w:szCs w:val="21"/>
          <w:highlight w:val="none"/>
        </w:rPr>
      </w:pP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质疑事项2</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四、与质疑事项相关的质疑请求</w:t>
      </w:r>
    </w:p>
    <w:p>
      <w:pPr>
        <w:spacing w:after="0" w:line="360" w:lineRule="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请求：</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日期：    </w:t>
      </w:r>
    </w:p>
    <w:p>
      <w:pPr>
        <w:spacing w:after="0" w:line="360" w:lineRule="auto"/>
        <w:rPr>
          <w:rFonts w:ascii="宋体" w:hAnsi="宋体" w:eastAsia="宋体" w:cs="宋体"/>
          <w:color w:val="auto"/>
          <w:sz w:val="21"/>
          <w:szCs w:val="21"/>
          <w:highlight w:val="none"/>
        </w:rPr>
      </w:pPr>
    </w:p>
    <w:p>
      <w:pPr>
        <w:spacing w:after="0" w:line="360" w:lineRule="auto"/>
        <w:rPr>
          <w:rFonts w:ascii="宋体" w:hAnsi="宋体" w:eastAsia="宋体" w:cs="宋体"/>
          <w:color w:val="auto"/>
          <w:sz w:val="21"/>
          <w:szCs w:val="21"/>
          <w:highlight w:val="none"/>
        </w:rPr>
      </w:pPr>
    </w:p>
    <w:p>
      <w:pPr>
        <w:spacing w:after="0" w:line="360" w:lineRule="auto"/>
        <w:rPr>
          <w:rFonts w:ascii="宋体" w:hAnsi="宋体" w:eastAsia="宋体" w:cs="宋体"/>
          <w:color w:val="auto"/>
          <w:sz w:val="21"/>
          <w:szCs w:val="21"/>
          <w:highlight w:val="none"/>
        </w:rPr>
      </w:pPr>
    </w:p>
    <w:p>
      <w:pPr>
        <w:spacing w:after="0" w:line="360" w:lineRule="auto"/>
        <w:rPr>
          <w:rFonts w:ascii="宋体" w:hAnsi="宋体" w:eastAsia="宋体" w:cs="宋体"/>
          <w:color w:val="auto"/>
          <w:sz w:val="21"/>
          <w:szCs w:val="21"/>
          <w:highlight w:val="none"/>
        </w:rPr>
      </w:pP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质疑函制作说明：</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1.供应商提出质疑时，应提交质疑函和必要的证明材料。</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3.质疑供应商若对项目的某一分包进行质疑，质疑函中应列明具体分包号。</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7.质疑供应商提交质疑函时须提供质疑函、法人或者非法人组织的营业执照等证明文件或自然人的身份证复印件（质疑供应商为自然人）。如不是法定代表人或主要负责人提交质疑函的，应同时提供法定代表人或主要负责人有效的授权委托书。</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8.质疑函递交地址为采购代理机构办公地址，详细地址详见投标邀请书。</w:t>
      </w:r>
    </w:p>
    <w:p>
      <w:pPr>
        <w:pStyle w:val="8"/>
        <w:rPr>
          <w:color w:val="auto"/>
          <w:highlight w:val="none"/>
        </w:rPr>
      </w:pP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r>
        <w:rPr>
          <w:rFonts w:hint="eastAsia" w:ascii="宋体" w:hAnsi="宋体" w:eastAsia="宋体" w:cs="宋体"/>
          <w:color w:val="auto"/>
          <w:sz w:val="21"/>
          <w:szCs w:val="21"/>
          <w:highlight w:val="none"/>
        </w:rPr>
        <w:t>2.询问函、质疑函授权书参考格式</w:t>
      </w:r>
    </w:p>
    <w:p>
      <w:pPr>
        <w:spacing w:after="0" w:line="360" w:lineRule="auto"/>
        <w:rPr>
          <w:rFonts w:ascii="宋体" w:hAnsi="宋体" w:eastAsia="宋体" w:cs="宋体"/>
          <w:color w:val="auto"/>
          <w:sz w:val="21"/>
          <w:szCs w:val="21"/>
          <w:highlight w:val="none"/>
        </w:rPr>
      </w:pPr>
    </w:p>
    <w:p>
      <w:pPr>
        <w:spacing w:after="0" w:line="36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法定代表人或负责人授权委托书</w:t>
      </w:r>
    </w:p>
    <w:p>
      <w:pPr>
        <w:spacing w:after="0" w:line="360" w:lineRule="auto"/>
        <w:rPr>
          <w:rFonts w:ascii="宋体" w:hAnsi="宋体" w:eastAsia="宋体" w:cs="宋体"/>
          <w:color w:val="auto"/>
          <w:sz w:val="21"/>
          <w:szCs w:val="21"/>
          <w:highlight w:val="none"/>
        </w:rPr>
      </w:pPr>
    </w:p>
    <w:p>
      <w:pPr>
        <w:spacing w:after="0" w:line="360" w:lineRule="auto"/>
        <w:ind w:firstLine="420" w:firstLineChars="200"/>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本委托书声明：在下面签字的</w:t>
      </w:r>
      <w:r>
        <w:rPr>
          <w:rFonts w:hint="eastAsia" w:ascii="宋体" w:hAnsi="宋体" w:eastAsia="宋体" w:cs="宋体"/>
          <w:color w:val="auto"/>
          <w:sz w:val="21"/>
          <w:szCs w:val="21"/>
          <w:highlight w:val="none"/>
          <w:u w:val="single"/>
        </w:rPr>
        <w:t xml:space="preserve">           （法定代表人或负责人姓名、职务）</w:t>
      </w:r>
      <w:r>
        <w:rPr>
          <w:rFonts w:hint="eastAsia" w:ascii="宋体" w:hAnsi="宋体" w:eastAsia="宋体" w:cs="宋体"/>
          <w:color w:val="auto"/>
          <w:sz w:val="21"/>
          <w:szCs w:val="21"/>
          <w:highlight w:val="none"/>
        </w:rPr>
        <w:t xml:space="preserve">代表 </w:t>
      </w:r>
      <w:r>
        <w:rPr>
          <w:rFonts w:hint="eastAsia" w:ascii="宋体" w:hAnsi="宋体" w:eastAsia="宋体" w:cs="宋体"/>
          <w:color w:val="auto"/>
          <w:sz w:val="21"/>
          <w:szCs w:val="21"/>
          <w:highlight w:val="none"/>
          <w:u w:val="single"/>
        </w:rPr>
        <w:t xml:space="preserve">            （供应商名称）</w:t>
      </w:r>
      <w:r>
        <w:rPr>
          <w:rFonts w:hint="eastAsia" w:ascii="宋体" w:hAnsi="宋体" w:eastAsia="宋体" w:cs="宋体"/>
          <w:color w:val="auto"/>
          <w:sz w:val="21"/>
          <w:szCs w:val="21"/>
          <w:highlight w:val="none"/>
        </w:rPr>
        <w:t>委托在下面签字的</w:t>
      </w:r>
      <w:r>
        <w:rPr>
          <w:rFonts w:hint="eastAsia" w:ascii="宋体" w:hAnsi="宋体" w:eastAsia="宋体" w:cs="宋体"/>
          <w:color w:val="auto"/>
          <w:sz w:val="21"/>
          <w:szCs w:val="21"/>
          <w:highlight w:val="none"/>
          <w:u w:val="single"/>
        </w:rPr>
        <w:t xml:space="preserve">          （授权代表的姓名、职务）</w:t>
      </w:r>
      <w:r>
        <w:rPr>
          <w:rFonts w:hint="eastAsia" w:ascii="宋体" w:hAnsi="宋体" w:eastAsia="宋体" w:cs="宋体"/>
          <w:color w:val="auto"/>
          <w:sz w:val="21"/>
          <w:szCs w:val="21"/>
          <w:highlight w:val="none"/>
        </w:rPr>
        <w:t>为本公司的合法代表人，就采购项目（采购编号：</w:t>
      </w:r>
      <w:r>
        <w:rPr>
          <w:rFonts w:hint="eastAsia" w:ascii="宋体" w:hAnsi="宋体" w:eastAsia="宋体" w:cs="宋体"/>
          <w:color w:val="auto"/>
          <w:sz w:val="21"/>
          <w:szCs w:val="21"/>
          <w:highlight w:val="none"/>
          <w:u w:val="single"/>
        </w:rPr>
        <w:t xml:space="preserve">          ）             （填写授权内容）</w:t>
      </w:r>
      <w:r>
        <w:rPr>
          <w:rFonts w:hint="eastAsia" w:ascii="宋体" w:hAnsi="宋体" w:eastAsia="宋体" w:cs="宋体"/>
          <w:color w:val="auto"/>
          <w:sz w:val="21"/>
          <w:szCs w:val="21"/>
          <w:highlight w:val="none"/>
        </w:rPr>
        <w:t>，以本公司的名义处理一切与之有关的事宜</w:t>
      </w:r>
      <w:r>
        <w:rPr>
          <w:rFonts w:hint="eastAsia" w:ascii="宋体" w:hAnsi="宋体" w:eastAsia="宋体" w:cs="宋体"/>
          <w:color w:val="auto"/>
          <w:sz w:val="21"/>
          <w:szCs w:val="21"/>
          <w:highlight w:val="none"/>
          <w:u w:val="single"/>
        </w:rPr>
        <w:t>（须提供法定代表人或负责人、授权代表身份证复印件）。</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本委托书于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日签字生效。</w:t>
      </w:r>
    </w:p>
    <w:p>
      <w:pPr>
        <w:spacing w:after="0" w:line="360" w:lineRule="auto"/>
        <w:rPr>
          <w:rFonts w:ascii="宋体" w:hAnsi="宋体" w:eastAsia="宋体" w:cs="宋体"/>
          <w:color w:val="auto"/>
          <w:sz w:val="21"/>
          <w:szCs w:val="21"/>
          <w:highlight w:val="none"/>
        </w:rPr>
      </w:pPr>
    </w:p>
    <w:p>
      <w:pPr>
        <w:spacing w:after="0" w:line="360" w:lineRule="auto"/>
        <w:rPr>
          <w:rFonts w:ascii="宋体" w:hAnsi="宋体" w:eastAsia="宋体" w:cs="宋体"/>
          <w:color w:val="auto"/>
          <w:sz w:val="21"/>
          <w:szCs w:val="21"/>
          <w:highlight w:val="none"/>
        </w:rPr>
      </w:pPr>
    </w:p>
    <w:p>
      <w:pPr>
        <w:spacing w:after="0" w:line="360" w:lineRule="auto"/>
        <w:rPr>
          <w:rFonts w:ascii="宋体" w:hAnsi="宋体" w:eastAsia="宋体" w:cs="宋体"/>
          <w:color w:val="auto"/>
          <w:sz w:val="21"/>
          <w:szCs w:val="21"/>
          <w:highlight w:val="none"/>
        </w:rPr>
      </w:pP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供应商名称（加盖公章）：</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法定代表人或负责人（签名或盖私章）：</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授权代表（签名或盖私章）：</w:t>
      </w:r>
    </w:p>
    <w:p>
      <w:pPr>
        <w:spacing w:after="0" w:line="360" w:lineRule="auto"/>
        <w:rPr>
          <w:rFonts w:ascii="仿宋" w:hAnsi="仿宋" w:eastAsia="仿宋"/>
          <w:color w:val="auto"/>
          <w:sz w:val="24"/>
          <w:highlight w:val="none"/>
        </w:rPr>
      </w:pPr>
      <w:r>
        <w:rPr>
          <w:rFonts w:hint="eastAsia" w:ascii="宋体" w:hAnsi="宋体" w:eastAsia="宋体" w:cs="宋体"/>
          <w:color w:val="auto"/>
          <w:sz w:val="21"/>
          <w:szCs w:val="21"/>
          <w:highlight w:val="none"/>
        </w:rPr>
        <w:t>日期：</w:t>
      </w:r>
    </w:p>
    <w:p>
      <w:pPr>
        <w:rPr>
          <w:color w:val="auto"/>
          <w:highlight w:val="none"/>
        </w:rPr>
      </w:pPr>
    </w:p>
    <w:sectPr>
      <w:footerReference r:id="rId6" w:type="first"/>
      <w:footerReference r:id="rId5" w:type="default"/>
      <w:pgSz w:w="11906" w:h="16838"/>
      <w:pgMar w:top="1440" w:right="1800" w:bottom="1440" w:left="1800" w:header="708" w:footer="708" w:gutter="0"/>
      <w:pgNumType w:start="1"/>
      <w:cols w:space="708" w:num="1"/>
      <w:titlePg/>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方正兰亭黑简体">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9</w:t>
                          </w:r>
                          <w:r>
                            <w:rPr>
                              <w:rFonts w:hint="eastAsia"/>
                            </w:rPr>
                            <w:fldChar w:fldCharType="end"/>
                          </w:r>
                          <w:r>
                            <w:rPr>
                              <w:rFonts w:hint="eastAsia"/>
                            </w:rPr>
                            <w:t xml:space="preserve"> 页    共 </w:t>
                          </w:r>
                          <w:r>
                            <w:fldChar w:fldCharType="begin"/>
                          </w:r>
                          <w:r>
                            <w:rPr>
                              <w:rFonts w:hint="eastAsia"/>
                            </w:rPr>
                            <w:instrText xml:space="preserve">=</w:instrText>
                          </w:r>
                          <w:r>
                            <w:fldChar w:fldCharType="begin"/>
                          </w:r>
                          <w:r>
                            <w:instrText xml:space="preserve"> NUMPAGES  \* MERGEFORMAT </w:instrText>
                          </w:r>
                          <w:r>
                            <w:fldChar w:fldCharType="separate"/>
                          </w:r>
                          <w:r>
                            <w:instrText xml:space="preserve">68</w:instrText>
                          </w:r>
                          <w:r>
                            <w:fldChar w:fldCharType="end"/>
                          </w:r>
                          <w:r>
                            <w:rPr>
                              <w:rFonts w:hint="eastAsia"/>
                            </w:rPr>
                            <w:instrText xml:space="preserve">-1</w:instrText>
                          </w:r>
                          <w:r>
                            <w:fldChar w:fldCharType="separate"/>
                          </w:r>
                          <w:r>
                            <w:t>67</w:t>
                          </w:r>
                          <w:r>
                            <w:fldChar w:fldCharType="end"/>
                          </w:r>
                          <w:r>
                            <w:rPr>
                              <w:rFonts w:hint="eastAsia"/>
                            </w:rPr>
                            <w:t xml:space="preserve"> 页</w:t>
                          </w: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x8o09MBAACnAwAADgAAAAAAAAABACAAAAAeAQAA&#10;ZHJzL2Uyb0RvYy54bWxQSwUGAAAAAAYABgBZAQAAYwUAAAAA&#10;">
              <v:fill on="f" focussize="0,0"/>
              <v:stroke on="f"/>
              <v:imagedata o:title=""/>
              <o:lock v:ext="edit" aspectratio="f"/>
              <v:textbox inset="0mm,0mm,0mm,0mm" style="mso-fit-shape-to-text:t;">
                <w:txbxContent>
                  <w:p>
                    <w:pPr>
                      <w:pStyle w:val="13"/>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9</w:t>
                    </w:r>
                    <w:r>
                      <w:rPr>
                        <w:rFonts w:hint="eastAsia"/>
                      </w:rPr>
                      <w:fldChar w:fldCharType="end"/>
                    </w:r>
                    <w:r>
                      <w:rPr>
                        <w:rFonts w:hint="eastAsia"/>
                      </w:rPr>
                      <w:t xml:space="preserve"> 页    共 </w:t>
                    </w:r>
                    <w:r>
                      <w:fldChar w:fldCharType="begin"/>
                    </w:r>
                    <w:r>
                      <w:rPr>
                        <w:rFonts w:hint="eastAsia"/>
                      </w:rPr>
                      <w:instrText xml:space="preserve">=</w:instrText>
                    </w:r>
                    <w:r>
                      <w:fldChar w:fldCharType="begin"/>
                    </w:r>
                    <w:r>
                      <w:instrText xml:space="preserve"> NUMPAGES  \* MERGEFORMAT </w:instrText>
                    </w:r>
                    <w:r>
                      <w:fldChar w:fldCharType="separate"/>
                    </w:r>
                    <w:r>
                      <w:instrText xml:space="preserve">68</w:instrText>
                    </w:r>
                    <w:r>
                      <w:fldChar w:fldCharType="end"/>
                    </w:r>
                    <w:r>
                      <w:rPr>
                        <w:rFonts w:hint="eastAsia"/>
                      </w:rPr>
                      <w:instrText xml:space="preserve">-1</w:instrText>
                    </w:r>
                    <w:r>
                      <w:fldChar w:fldCharType="separate"/>
                    </w:r>
                    <w:r>
                      <w:t>67</w:t>
                    </w:r>
                    <w: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rPr>
                              <w:rFonts w:hint="eastAsia"/>
                            </w:rPr>
                            <w:instrText xml:space="preserve">=</w:instrText>
                          </w:r>
                          <w:r>
                            <w:fldChar w:fldCharType="begin"/>
                          </w:r>
                          <w:r>
                            <w:instrText xml:space="preserve"> NUMPAGES  \* MERGEFORMAT </w:instrText>
                          </w:r>
                          <w:r>
                            <w:fldChar w:fldCharType="separate"/>
                          </w:r>
                          <w:r>
                            <w:instrText xml:space="preserve">4</w:instrText>
                          </w:r>
                          <w:r>
                            <w:fldChar w:fldCharType="end"/>
                          </w:r>
                          <w:r>
                            <w:rPr>
                              <w:rFonts w:hint="eastAsia"/>
                            </w:rPr>
                            <w:instrText xml:space="preserve">-1</w:instrText>
                          </w:r>
                          <w:r>
                            <w:fldChar w:fldCharType="separate"/>
                          </w:r>
                          <w:r>
                            <w:t>3</w:t>
                          </w:r>
                          <w:r>
                            <w:fldChar w:fldCharType="end"/>
                          </w:r>
                          <w:r>
                            <w:rPr>
                              <w:rFonts w:hint="eastAsia"/>
                            </w:rPr>
                            <w:t xml:space="preserve"> 页</w:t>
                          </w: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WLeQNEBAACnAwAADgAAAGRycy9lMm9Eb2MueG1srVNLbtswEN0XyB0I&#10;7mPJLlK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Vi3kDRAQAApwMAAA4AAAAAAAAAAQAgAAAAHgEAAGRy&#10;cy9lMm9Eb2MueG1sUEsFBgAAAAAGAAYAWQEAAGEFAAAAAA==&#10;">
              <v:fill on="f" focussize="0,0"/>
              <v:stroke on="f"/>
              <v:imagedata o:title=""/>
              <o:lock v:ext="edit" aspectratio="f"/>
              <v:textbox inset="0mm,0mm,0mm,0mm" style="mso-fit-shape-to-text:t;">
                <w:txbxContent>
                  <w:p>
                    <w:pPr>
                      <w:pStyle w:val="13"/>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rPr>
                        <w:rFonts w:hint="eastAsia"/>
                      </w:rPr>
                      <w:instrText xml:space="preserve">=</w:instrText>
                    </w:r>
                    <w:r>
                      <w:fldChar w:fldCharType="begin"/>
                    </w:r>
                    <w:r>
                      <w:instrText xml:space="preserve"> NUMPAGES  \* MERGEFORMAT </w:instrText>
                    </w:r>
                    <w:r>
                      <w:fldChar w:fldCharType="separate"/>
                    </w:r>
                    <w:r>
                      <w:instrText xml:space="preserve">4</w:instrText>
                    </w:r>
                    <w:r>
                      <w:fldChar w:fldCharType="end"/>
                    </w:r>
                    <w:r>
                      <w:rPr>
                        <w:rFonts w:hint="eastAsia"/>
                      </w:rPr>
                      <w:instrText xml:space="preserve">-1</w:instrText>
                    </w:r>
                    <w:r>
                      <w:fldChar w:fldCharType="separate"/>
                    </w:r>
                    <w:r>
                      <w:t>3</w:t>
                    </w:r>
                    <w:r>
                      <w:fldChar w:fldCharType="end"/>
                    </w:r>
                    <w:r>
                      <w:rPr>
                        <w:rFonts w:hint="eastAsia"/>
                      </w:rP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before="0" w:after="0"/>
      </w:pPr>
      <w:r>
        <w:separator/>
      </w:r>
    </w:p>
  </w:footnote>
  <w:footnote w:type="continuationSeparator" w:id="5">
    <w:p>
      <w:pPr>
        <w:spacing w:before="0" w:after="0"/>
      </w:pPr>
      <w:r>
        <w:continuationSeparator/>
      </w:r>
    </w:p>
  </w:footnote>
  <w:footnote w:id="0">
    <w:p>
      <w:pPr>
        <w:pStyle w:val="17"/>
        <w:snapToGrid w:val="0"/>
        <w:rPr>
          <w:rFonts w:hint="eastAsia" w:eastAsia="微软雅黑"/>
          <w:lang w:eastAsia="zh-CN"/>
        </w:rPr>
      </w:pPr>
      <w:r>
        <w:rPr>
          <w:rStyle w:val="27"/>
        </w:rPr>
        <w:footnoteRef/>
      </w:r>
      <w:r>
        <w:t xml:space="preserve"> </w:t>
      </w:r>
      <w:r>
        <w:rPr>
          <w:rFonts w:hint="eastAsia"/>
          <w:lang w:eastAsia="zh-CN"/>
        </w:rPr>
        <w:t>从业人员、营业人员、资产总额填报上一年度数据，无上一年度数据的新成立企业可不填报。</w:t>
      </w:r>
    </w:p>
  </w:footnote>
  <w:footnote w:id="1">
    <w:p>
      <w:pPr>
        <w:pStyle w:val="17"/>
        <w:snapToGrid w:val="0"/>
      </w:pPr>
      <w:r>
        <w:rPr>
          <w:rStyle w:val="27"/>
        </w:rPr>
        <w:footnoteRef/>
      </w:r>
      <w:r>
        <w:t xml:space="preserve">  </w:t>
      </w:r>
      <w:r>
        <w:rPr>
          <w:rFonts w:hint="eastAsia"/>
          <w:lang w:eastAsia="zh-CN"/>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left"/>
    </w:pPr>
    <w:r>
      <w:rPr>
        <w:rFonts w:hint="eastAsia"/>
      </w:rPr>
      <w:t>东莞市政府采购公开招标文件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D0047B7E"/>
    <w:multiLevelType w:val="singleLevel"/>
    <w:tmpl w:val="D0047B7E"/>
    <w:lvl w:ilvl="0" w:tentative="0">
      <w:start w:val="1"/>
      <w:numFmt w:val="decimal"/>
      <w:suff w:val="nothing"/>
      <w:lvlText w:val="%1、"/>
      <w:lvlJc w:val="left"/>
    </w:lvl>
  </w:abstractNum>
  <w:abstractNum w:abstractNumId="4">
    <w:nsid w:val="E09EF6E1"/>
    <w:multiLevelType w:val="singleLevel"/>
    <w:tmpl w:val="E09EF6E1"/>
    <w:lvl w:ilvl="0" w:tentative="0">
      <w:start w:val="1"/>
      <w:numFmt w:val="decimal"/>
      <w:suff w:val="nothing"/>
      <w:lvlText w:val="（%1）"/>
      <w:lvlJc w:val="left"/>
    </w:lvl>
  </w:abstractNum>
  <w:abstractNum w:abstractNumId="5">
    <w:nsid w:val="F73DC5D7"/>
    <w:multiLevelType w:val="singleLevel"/>
    <w:tmpl w:val="F73DC5D7"/>
    <w:lvl w:ilvl="0" w:tentative="0">
      <w:start w:val="1"/>
      <w:numFmt w:val="decimal"/>
      <w:suff w:val="nothing"/>
      <w:lvlText w:val="（%1）"/>
      <w:lvlJc w:val="left"/>
    </w:lvl>
  </w:abstractNum>
  <w:abstractNum w:abstractNumId="6">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8">
    <w:nsid w:val="206CABF7"/>
    <w:multiLevelType w:val="singleLevel"/>
    <w:tmpl w:val="206CABF7"/>
    <w:lvl w:ilvl="0" w:tentative="0">
      <w:start w:val="1"/>
      <w:numFmt w:val="decimal"/>
      <w:suff w:val="nothing"/>
      <w:lvlText w:val="（%1）"/>
      <w:lvlJc w:val="left"/>
    </w:lvl>
  </w:abstractNum>
  <w:abstractNum w:abstractNumId="9">
    <w:nsid w:val="30C47A82"/>
    <w:multiLevelType w:val="multilevel"/>
    <w:tmpl w:val="30C47A82"/>
    <w:lvl w:ilvl="0" w:tentative="0">
      <w:start w:val="1"/>
      <w:numFmt w:val="decimal"/>
      <w:pStyle w:val="3"/>
      <w:suff w:val="space"/>
      <w:lvlText w:val="第%1章"/>
      <w:lvlJc w:val="left"/>
      <w:pPr>
        <w:ind w:left="0" w:firstLine="0"/>
      </w:pPr>
      <w:rPr>
        <w:rFonts w:hint="default" w:ascii="楷体" w:hAnsi="楷体" w:eastAsia="楷体"/>
        <w:b/>
        <w:i w:val="0"/>
        <w:sz w:val="36"/>
      </w:rPr>
    </w:lvl>
    <w:lvl w:ilvl="1" w:tentative="0">
      <w:start w:val="1"/>
      <w:numFmt w:val="decimal"/>
      <w:isLgl/>
      <w:suff w:val="space"/>
      <w:lvlText w:val="%1.%2"/>
      <w:lvlJc w:val="left"/>
      <w:pPr>
        <w:ind w:left="0" w:firstLine="0"/>
      </w:pPr>
      <w:rPr>
        <w:rFonts w:hint="eastAsia" w:eastAsia="宋体" w:asciiTheme="majorEastAsia" w:hAnsiTheme="majorEastAsia"/>
        <w:b/>
        <w:i w:val="0"/>
        <w:sz w:val="32"/>
        <w:szCs w:val="32"/>
      </w:rPr>
    </w:lvl>
    <w:lvl w:ilvl="2" w:tentative="0">
      <w:start w:val="1"/>
      <w:numFmt w:val="decimal"/>
      <w:isLgl/>
      <w:suff w:val="space"/>
      <w:lvlText w:val="%1.%2.%3"/>
      <w:lvlJc w:val="left"/>
      <w:pPr>
        <w:ind w:left="0" w:firstLine="0"/>
      </w:pPr>
      <w:rPr>
        <w:rFonts w:hint="eastAsia" w:ascii="宋体" w:eastAsia="宋体"/>
        <w:b/>
        <w:i w:val="0"/>
        <w:sz w:val="30"/>
      </w:rPr>
    </w:lvl>
    <w:lvl w:ilvl="3" w:tentative="0">
      <w:start w:val="1"/>
      <w:numFmt w:val="decimal"/>
      <w:isLgl/>
      <w:suff w:val="space"/>
      <w:lvlText w:val="%1.%2.%3.%4"/>
      <w:lvlJc w:val="left"/>
      <w:pPr>
        <w:ind w:left="0" w:firstLine="0"/>
      </w:pPr>
      <w:rPr>
        <w:rFonts w:hint="eastAsia" w:eastAsia="宋体" w:asciiTheme="majorEastAsia" w:hAnsiTheme="majorEastAsia"/>
        <w:b/>
        <w:i w:val="0"/>
        <w:sz w:val="28"/>
        <w:szCs w:val="28"/>
      </w:rPr>
    </w:lvl>
    <w:lvl w:ilvl="4" w:tentative="0">
      <w:start w:val="1"/>
      <w:numFmt w:val="decimal"/>
      <w:isLgl/>
      <w:suff w:val="space"/>
      <w:lvlText w:val="%1.%2.%3.%4.%5"/>
      <w:lvlJc w:val="left"/>
      <w:pPr>
        <w:ind w:left="0" w:firstLine="0"/>
      </w:pPr>
      <w:rPr>
        <w:rFonts w:hint="eastAsia" w:eastAsia="宋体" w:asciiTheme="majorEastAsia" w:hAnsiTheme="majorEastAsia"/>
        <w:b/>
        <w:i w:val="0"/>
        <w:sz w:val="24"/>
      </w:rPr>
    </w:lvl>
    <w:lvl w:ilvl="5" w:tentative="0">
      <w:start w:val="1"/>
      <w:numFmt w:val="decimal"/>
      <w:isLgl/>
      <w:suff w:val="space"/>
      <w:lvlText w:val="%1.%2.%3.%4.%5.%6"/>
      <w:lvlJc w:val="left"/>
      <w:pPr>
        <w:ind w:left="0" w:firstLine="0"/>
      </w:pPr>
      <w:rPr>
        <w:rFonts w:hint="eastAsia" w:eastAsia="宋体" w:asciiTheme="majorEastAsia" w:hAnsiTheme="majorEastAsia"/>
        <w:b/>
        <w:i w:val="0"/>
        <w:sz w:val="24"/>
      </w:rPr>
    </w:lvl>
    <w:lvl w:ilvl="6" w:tentative="0">
      <w:start w:val="1"/>
      <w:numFmt w:val="decimal"/>
      <w:isLgl/>
      <w:suff w:val="space"/>
      <w:lvlText w:val="%1.%2.%3.%4.%5.%6.%7"/>
      <w:lvlJc w:val="left"/>
      <w:pPr>
        <w:ind w:left="0" w:firstLine="0"/>
      </w:pPr>
      <w:rPr>
        <w:rFonts w:hint="default" w:eastAsia="宋体" w:asciiTheme="majorEastAsia"/>
        <w:b/>
        <w:i w:val="0"/>
        <w:sz w:val="24"/>
      </w:rPr>
    </w:lvl>
    <w:lvl w:ilvl="7" w:tentative="0">
      <w:start w:val="1"/>
      <w:numFmt w:val="decimal"/>
      <w:isLgl/>
      <w:lvlText w:val="%1.%2.%3.%4.%5.%6.%7.%8"/>
      <w:lvlJc w:val="left"/>
      <w:pPr>
        <w:ind w:left="0" w:firstLine="0"/>
      </w:pPr>
      <w:rPr>
        <w:rFonts w:hint="eastAsia"/>
      </w:rPr>
    </w:lvl>
    <w:lvl w:ilvl="8" w:tentative="0">
      <w:start w:val="1"/>
      <w:numFmt w:val="decimal"/>
      <w:isLgl/>
      <w:suff w:val="space"/>
      <w:lvlText w:val="%1.%2.%3.%4.%5.%6.%7.%8.%9"/>
      <w:lvlJc w:val="left"/>
      <w:pPr>
        <w:ind w:left="0" w:firstLine="0"/>
      </w:pPr>
      <w:rPr>
        <w:rFonts w:hint="eastAsia"/>
      </w:rPr>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580745EB"/>
    <w:multiLevelType w:val="multilevel"/>
    <w:tmpl w:val="580745EB"/>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C183DB0"/>
    <w:multiLevelType w:val="multilevel"/>
    <w:tmpl w:val="5C183DB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9"/>
  </w:num>
  <w:num w:numId="2">
    <w:abstractNumId w:val="11"/>
  </w:num>
  <w:num w:numId="3">
    <w:abstractNumId w:val="7"/>
  </w:num>
  <w:num w:numId="4">
    <w:abstractNumId w:val="10"/>
  </w:num>
  <w:num w:numId="5">
    <w:abstractNumId w:val="8"/>
  </w:num>
  <w:num w:numId="6">
    <w:abstractNumId w:val="4"/>
  </w:num>
  <w:num w:numId="7">
    <w:abstractNumId w:val="5"/>
  </w:num>
  <w:num w:numId="8">
    <w:abstractNumId w:val="1"/>
  </w:num>
  <w:num w:numId="9">
    <w:abstractNumId w:val="2"/>
  </w:num>
  <w:num w:numId="10">
    <w:abstractNumId w:val="6"/>
  </w:num>
  <w:num w:numId="11">
    <w:abstractNumId w:val="0"/>
  </w:num>
  <w:num w:numId="12">
    <w:abstractNumId w:val="3"/>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4"/>
    <w:footnote w:id="5"/>
  </w:foot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938AA"/>
    <w:rsid w:val="02126CDB"/>
    <w:rsid w:val="021832B7"/>
    <w:rsid w:val="024E2E49"/>
    <w:rsid w:val="02A741FD"/>
    <w:rsid w:val="02C16E5D"/>
    <w:rsid w:val="02D964CF"/>
    <w:rsid w:val="0340787C"/>
    <w:rsid w:val="03707410"/>
    <w:rsid w:val="037F03E3"/>
    <w:rsid w:val="03A0770F"/>
    <w:rsid w:val="03A27BF9"/>
    <w:rsid w:val="03A448B8"/>
    <w:rsid w:val="03AD071E"/>
    <w:rsid w:val="041F490F"/>
    <w:rsid w:val="047A1C05"/>
    <w:rsid w:val="04DF1036"/>
    <w:rsid w:val="0573201E"/>
    <w:rsid w:val="05A97DEC"/>
    <w:rsid w:val="05B337F9"/>
    <w:rsid w:val="05C81981"/>
    <w:rsid w:val="06BC41F2"/>
    <w:rsid w:val="07197D08"/>
    <w:rsid w:val="071C2CFD"/>
    <w:rsid w:val="071E5C55"/>
    <w:rsid w:val="073F7319"/>
    <w:rsid w:val="07536A42"/>
    <w:rsid w:val="075501DF"/>
    <w:rsid w:val="07595F41"/>
    <w:rsid w:val="07615EC0"/>
    <w:rsid w:val="077005AB"/>
    <w:rsid w:val="078F4581"/>
    <w:rsid w:val="07995C5E"/>
    <w:rsid w:val="07BE179A"/>
    <w:rsid w:val="07BF027F"/>
    <w:rsid w:val="08031A31"/>
    <w:rsid w:val="081A5CC7"/>
    <w:rsid w:val="08A276E5"/>
    <w:rsid w:val="09061A75"/>
    <w:rsid w:val="09182241"/>
    <w:rsid w:val="093C069F"/>
    <w:rsid w:val="09855177"/>
    <w:rsid w:val="09870F93"/>
    <w:rsid w:val="09F1637C"/>
    <w:rsid w:val="0A25628F"/>
    <w:rsid w:val="0A9E1C96"/>
    <w:rsid w:val="0AA47D81"/>
    <w:rsid w:val="0AA534D5"/>
    <w:rsid w:val="0AA650EB"/>
    <w:rsid w:val="0AB8066A"/>
    <w:rsid w:val="0AF47339"/>
    <w:rsid w:val="0B181ED4"/>
    <w:rsid w:val="0B22594B"/>
    <w:rsid w:val="0BC044BE"/>
    <w:rsid w:val="0BDF26F7"/>
    <w:rsid w:val="0C264099"/>
    <w:rsid w:val="0C2B4952"/>
    <w:rsid w:val="0C7B2220"/>
    <w:rsid w:val="0D890E47"/>
    <w:rsid w:val="0DC64A00"/>
    <w:rsid w:val="0DFC60BA"/>
    <w:rsid w:val="0E06128C"/>
    <w:rsid w:val="0E4249F1"/>
    <w:rsid w:val="0EA7602A"/>
    <w:rsid w:val="0F302834"/>
    <w:rsid w:val="0F7C5FF6"/>
    <w:rsid w:val="0FC63FBD"/>
    <w:rsid w:val="102F435C"/>
    <w:rsid w:val="10371465"/>
    <w:rsid w:val="106C564D"/>
    <w:rsid w:val="107B7B8F"/>
    <w:rsid w:val="107C67CE"/>
    <w:rsid w:val="109D68CB"/>
    <w:rsid w:val="10A949B8"/>
    <w:rsid w:val="11200D07"/>
    <w:rsid w:val="117C11A5"/>
    <w:rsid w:val="11D6766D"/>
    <w:rsid w:val="11DA73AF"/>
    <w:rsid w:val="11DE3B47"/>
    <w:rsid w:val="11FF3047"/>
    <w:rsid w:val="12095CFC"/>
    <w:rsid w:val="12901047"/>
    <w:rsid w:val="12C60D80"/>
    <w:rsid w:val="13102045"/>
    <w:rsid w:val="131F7A3A"/>
    <w:rsid w:val="132645D0"/>
    <w:rsid w:val="13455ABC"/>
    <w:rsid w:val="134D1711"/>
    <w:rsid w:val="1370322B"/>
    <w:rsid w:val="13B27845"/>
    <w:rsid w:val="141A03E1"/>
    <w:rsid w:val="143B2E0B"/>
    <w:rsid w:val="14672B11"/>
    <w:rsid w:val="14892735"/>
    <w:rsid w:val="14CC769D"/>
    <w:rsid w:val="15D359D7"/>
    <w:rsid w:val="15D81E0F"/>
    <w:rsid w:val="163C77BE"/>
    <w:rsid w:val="1679588C"/>
    <w:rsid w:val="16994962"/>
    <w:rsid w:val="16A71041"/>
    <w:rsid w:val="16AA24BF"/>
    <w:rsid w:val="16F72341"/>
    <w:rsid w:val="17680CAB"/>
    <w:rsid w:val="176E4128"/>
    <w:rsid w:val="1783371F"/>
    <w:rsid w:val="17E62B67"/>
    <w:rsid w:val="180F4499"/>
    <w:rsid w:val="18221ECE"/>
    <w:rsid w:val="18C14401"/>
    <w:rsid w:val="1963018D"/>
    <w:rsid w:val="19A2789F"/>
    <w:rsid w:val="1A0A12FA"/>
    <w:rsid w:val="1A460CF5"/>
    <w:rsid w:val="1A78768F"/>
    <w:rsid w:val="1A7F297D"/>
    <w:rsid w:val="1AB16AC1"/>
    <w:rsid w:val="1B034A52"/>
    <w:rsid w:val="1B1F34AD"/>
    <w:rsid w:val="1B8D5DC6"/>
    <w:rsid w:val="1BFE1D3B"/>
    <w:rsid w:val="1C2775EC"/>
    <w:rsid w:val="1C750ECE"/>
    <w:rsid w:val="1D0836D7"/>
    <w:rsid w:val="1D196139"/>
    <w:rsid w:val="1D687F43"/>
    <w:rsid w:val="1DB85900"/>
    <w:rsid w:val="1E010AF7"/>
    <w:rsid w:val="1E0178EB"/>
    <w:rsid w:val="1E301173"/>
    <w:rsid w:val="1E38333E"/>
    <w:rsid w:val="1EA40BB4"/>
    <w:rsid w:val="1F43381C"/>
    <w:rsid w:val="1FA4148D"/>
    <w:rsid w:val="20121621"/>
    <w:rsid w:val="201557D4"/>
    <w:rsid w:val="201A421D"/>
    <w:rsid w:val="204E554F"/>
    <w:rsid w:val="20590035"/>
    <w:rsid w:val="20C41030"/>
    <w:rsid w:val="20FC799E"/>
    <w:rsid w:val="21601580"/>
    <w:rsid w:val="22154DDD"/>
    <w:rsid w:val="22213E42"/>
    <w:rsid w:val="22336873"/>
    <w:rsid w:val="22A70588"/>
    <w:rsid w:val="238C2182"/>
    <w:rsid w:val="239015D1"/>
    <w:rsid w:val="23BB4E7D"/>
    <w:rsid w:val="23C172D6"/>
    <w:rsid w:val="23F04F64"/>
    <w:rsid w:val="24814CBE"/>
    <w:rsid w:val="24AC168B"/>
    <w:rsid w:val="258C3BEC"/>
    <w:rsid w:val="260E3862"/>
    <w:rsid w:val="262569FC"/>
    <w:rsid w:val="26344C98"/>
    <w:rsid w:val="26F56CE2"/>
    <w:rsid w:val="27435D49"/>
    <w:rsid w:val="27A34F71"/>
    <w:rsid w:val="27B36A67"/>
    <w:rsid w:val="27EB0D9B"/>
    <w:rsid w:val="283D5068"/>
    <w:rsid w:val="286602C8"/>
    <w:rsid w:val="28665C95"/>
    <w:rsid w:val="290B3EB9"/>
    <w:rsid w:val="291418C2"/>
    <w:rsid w:val="2950768C"/>
    <w:rsid w:val="297A5FC4"/>
    <w:rsid w:val="2A1113BC"/>
    <w:rsid w:val="2A8D4F8F"/>
    <w:rsid w:val="2A911082"/>
    <w:rsid w:val="2A917B34"/>
    <w:rsid w:val="2AE3766F"/>
    <w:rsid w:val="2B7E4054"/>
    <w:rsid w:val="2BF22742"/>
    <w:rsid w:val="2C987C56"/>
    <w:rsid w:val="2CFF149A"/>
    <w:rsid w:val="2D201865"/>
    <w:rsid w:val="2D4B5CEA"/>
    <w:rsid w:val="2D652658"/>
    <w:rsid w:val="2DC80C49"/>
    <w:rsid w:val="2DCA6355"/>
    <w:rsid w:val="2DF0699F"/>
    <w:rsid w:val="2E0B0628"/>
    <w:rsid w:val="2E166748"/>
    <w:rsid w:val="2E1B4821"/>
    <w:rsid w:val="2E556F01"/>
    <w:rsid w:val="2E8E20B4"/>
    <w:rsid w:val="2ED06066"/>
    <w:rsid w:val="2ED1223D"/>
    <w:rsid w:val="2EE470F7"/>
    <w:rsid w:val="2F000139"/>
    <w:rsid w:val="2F4B3FBD"/>
    <w:rsid w:val="2F561B8A"/>
    <w:rsid w:val="2F9F42DC"/>
    <w:rsid w:val="2FF37AB3"/>
    <w:rsid w:val="30226BDF"/>
    <w:rsid w:val="30FF27D2"/>
    <w:rsid w:val="31170995"/>
    <w:rsid w:val="31264A30"/>
    <w:rsid w:val="31884E67"/>
    <w:rsid w:val="31A0275E"/>
    <w:rsid w:val="31B7357A"/>
    <w:rsid w:val="31ED6B08"/>
    <w:rsid w:val="328464CE"/>
    <w:rsid w:val="32AB70C5"/>
    <w:rsid w:val="32DC33E0"/>
    <w:rsid w:val="335D0AF5"/>
    <w:rsid w:val="3370088C"/>
    <w:rsid w:val="33A3154A"/>
    <w:rsid w:val="33DC2F78"/>
    <w:rsid w:val="3428227C"/>
    <w:rsid w:val="34FA35B3"/>
    <w:rsid w:val="350C1FC4"/>
    <w:rsid w:val="35260F83"/>
    <w:rsid w:val="35602226"/>
    <w:rsid w:val="356B72E7"/>
    <w:rsid w:val="3572424F"/>
    <w:rsid w:val="35FC3844"/>
    <w:rsid w:val="36AD519D"/>
    <w:rsid w:val="36B57705"/>
    <w:rsid w:val="37A103ED"/>
    <w:rsid w:val="37EA5E6E"/>
    <w:rsid w:val="37FF016F"/>
    <w:rsid w:val="38170F11"/>
    <w:rsid w:val="38427C0B"/>
    <w:rsid w:val="387C5ABE"/>
    <w:rsid w:val="389B3A1E"/>
    <w:rsid w:val="38EB6119"/>
    <w:rsid w:val="39FE0BE9"/>
    <w:rsid w:val="3A3C1AAF"/>
    <w:rsid w:val="3A51228C"/>
    <w:rsid w:val="3A552E60"/>
    <w:rsid w:val="3A5D642F"/>
    <w:rsid w:val="3AB210FC"/>
    <w:rsid w:val="3AD95C13"/>
    <w:rsid w:val="3B261E51"/>
    <w:rsid w:val="3BCD72F7"/>
    <w:rsid w:val="3C414142"/>
    <w:rsid w:val="3C92609F"/>
    <w:rsid w:val="3CF737A2"/>
    <w:rsid w:val="3D10295A"/>
    <w:rsid w:val="3D3A12DE"/>
    <w:rsid w:val="3E0572FD"/>
    <w:rsid w:val="3E1A5292"/>
    <w:rsid w:val="3E5A7FE7"/>
    <w:rsid w:val="3EC8179E"/>
    <w:rsid w:val="3EF66B2E"/>
    <w:rsid w:val="3F217914"/>
    <w:rsid w:val="3FD70BB0"/>
    <w:rsid w:val="3FFB55AC"/>
    <w:rsid w:val="401C5F9D"/>
    <w:rsid w:val="401C690C"/>
    <w:rsid w:val="401D7195"/>
    <w:rsid w:val="40CE3DC0"/>
    <w:rsid w:val="40D7455A"/>
    <w:rsid w:val="40E743E5"/>
    <w:rsid w:val="4110038E"/>
    <w:rsid w:val="41734CBA"/>
    <w:rsid w:val="41DD7057"/>
    <w:rsid w:val="420F7A65"/>
    <w:rsid w:val="4216611A"/>
    <w:rsid w:val="42287B6C"/>
    <w:rsid w:val="423E300F"/>
    <w:rsid w:val="42483257"/>
    <w:rsid w:val="425656C8"/>
    <w:rsid w:val="4257273C"/>
    <w:rsid w:val="425D7213"/>
    <w:rsid w:val="42677B61"/>
    <w:rsid w:val="42756DB0"/>
    <w:rsid w:val="42B21AD2"/>
    <w:rsid w:val="42FD694D"/>
    <w:rsid w:val="434A6D8F"/>
    <w:rsid w:val="43FA5777"/>
    <w:rsid w:val="44044D92"/>
    <w:rsid w:val="441C1611"/>
    <w:rsid w:val="443C440B"/>
    <w:rsid w:val="443F7DBF"/>
    <w:rsid w:val="44514F52"/>
    <w:rsid w:val="448965CB"/>
    <w:rsid w:val="44FA2D53"/>
    <w:rsid w:val="45666AC3"/>
    <w:rsid w:val="4571374F"/>
    <w:rsid w:val="457B1711"/>
    <w:rsid w:val="458B1BB0"/>
    <w:rsid w:val="460A4CD5"/>
    <w:rsid w:val="4611075B"/>
    <w:rsid w:val="46214818"/>
    <w:rsid w:val="467A0297"/>
    <w:rsid w:val="468B7125"/>
    <w:rsid w:val="46C4691F"/>
    <w:rsid w:val="479D1D34"/>
    <w:rsid w:val="47B609C0"/>
    <w:rsid w:val="482D31EA"/>
    <w:rsid w:val="485970A0"/>
    <w:rsid w:val="48A41906"/>
    <w:rsid w:val="48B65C71"/>
    <w:rsid w:val="48F303D7"/>
    <w:rsid w:val="492837FF"/>
    <w:rsid w:val="492E6A57"/>
    <w:rsid w:val="4A0030EE"/>
    <w:rsid w:val="4A706D36"/>
    <w:rsid w:val="4AC36065"/>
    <w:rsid w:val="4B7501F5"/>
    <w:rsid w:val="4B8C2DEB"/>
    <w:rsid w:val="4B8F1B86"/>
    <w:rsid w:val="4BCE2899"/>
    <w:rsid w:val="4BFA3C9F"/>
    <w:rsid w:val="4C0E3379"/>
    <w:rsid w:val="4C107F48"/>
    <w:rsid w:val="4C3277BC"/>
    <w:rsid w:val="4C904DA7"/>
    <w:rsid w:val="4CC353EB"/>
    <w:rsid w:val="4CF36F3C"/>
    <w:rsid w:val="4D4F67BA"/>
    <w:rsid w:val="4D603399"/>
    <w:rsid w:val="4D867EE1"/>
    <w:rsid w:val="4DBC4C65"/>
    <w:rsid w:val="4DF6568D"/>
    <w:rsid w:val="4E550010"/>
    <w:rsid w:val="4E5F14CB"/>
    <w:rsid w:val="4F3705F8"/>
    <w:rsid w:val="4FAC3540"/>
    <w:rsid w:val="4FBB12F4"/>
    <w:rsid w:val="4FCF1583"/>
    <w:rsid w:val="4FFA7625"/>
    <w:rsid w:val="501B0BF9"/>
    <w:rsid w:val="507D2599"/>
    <w:rsid w:val="5096229D"/>
    <w:rsid w:val="50DC4184"/>
    <w:rsid w:val="51475B39"/>
    <w:rsid w:val="514C3EA7"/>
    <w:rsid w:val="519849E5"/>
    <w:rsid w:val="51B36892"/>
    <w:rsid w:val="52506DA7"/>
    <w:rsid w:val="533B2B84"/>
    <w:rsid w:val="537A7243"/>
    <w:rsid w:val="539C1B81"/>
    <w:rsid w:val="53AE750F"/>
    <w:rsid w:val="53F263AD"/>
    <w:rsid w:val="54355914"/>
    <w:rsid w:val="549A6BFA"/>
    <w:rsid w:val="54E72921"/>
    <w:rsid w:val="54EF03A7"/>
    <w:rsid w:val="55806F07"/>
    <w:rsid w:val="55FA2961"/>
    <w:rsid w:val="565E7F4F"/>
    <w:rsid w:val="5669386E"/>
    <w:rsid w:val="56775789"/>
    <w:rsid w:val="56857D06"/>
    <w:rsid w:val="56914056"/>
    <w:rsid w:val="56DB613D"/>
    <w:rsid w:val="57FC2169"/>
    <w:rsid w:val="58096275"/>
    <w:rsid w:val="581C04F1"/>
    <w:rsid w:val="582E6EF7"/>
    <w:rsid w:val="58434392"/>
    <w:rsid w:val="584E30E6"/>
    <w:rsid w:val="59014D02"/>
    <w:rsid w:val="597B384D"/>
    <w:rsid w:val="59940D27"/>
    <w:rsid w:val="59996DA8"/>
    <w:rsid w:val="59C30F1B"/>
    <w:rsid w:val="5A0D5854"/>
    <w:rsid w:val="5A20156F"/>
    <w:rsid w:val="5A906D30"/>
    <w:rsid w:val="5AC7121C"/>
    <w:rsid w:val="5AD90B8D"/>
    <w:rsid w:val="5AE12927"/>
    <w:rsid w:val="5B06622A"/>
    <w:rsid w:val="5B2243E9"/>
    <w:rsid w:val="5B4E1A44"/>
    <w:rsid w:val="5B666742"/>
    <w:rsid w:val="5B873201"/>
    <w:rsid w:val="5B89551D"/>
    <w:rsid w:val="5B967767"/>
    <w:rsid w:val="5B9E55DE"/>
    <w:rsid w:val="5C286807"/>
    <w:rsid w:val="5C446BC8"/>
    <w:rsid w:val="5C4C687B"/>
    <w:rsid w:val="5C7C2768"/>
    <w:rsid w:val="5CB23AE6"/>
    <w:rsid w:val="5CF55792"/>
    <w:rsid w:val="5CFD533A"/>
    <w:rsid w:val="5D893B14"/>
    <w:rsid w:val="5D8B7D0D"/>
    <w:rsid w:val="5E232E18"/>
    <w:rsid w:val="5E2B7D62"/>
    <w:rsid w:val="5EA06921"/>
    <w:rsid w:val="5ED5006A"/>
    <w:rsid w:val="5F576E4B"/>
    <w:rsid w:val="5F6F72B4"/>
    <w:rsid w:val="5F7A2C30"/>
    <w:rsid w:val="5FBE370A"/>
    <w:rsid w:val="60292845"/>
    <w:rsid w:val="60BB2EDC"/>
    <w:rsid w:val="61102F34"/>
    <w:rsid w:val="612E1A5D"/>
    <w:rsid w:val="615F4B9C"/>
    <w:rsid w:val="61816046"/>
    <w:rsid w:val="62391564"/>
    <w:rsid w:val="62816669"/>
    <w:rsid w:val="62BA0953"/>
    <w:rsid w:val="62D03A7C"/>
    <w:rsid w:val="62F16BCB"/>
    <w:rsid w:val="62F648FE"/>
    <w:rsid w:val="63341DB1"/>
    <w:rsid w:val="634909AA"/>
    <w:rsid w:val="63576C69"/>
    <w:rsid w:val="63991F6D"/>
    <w:rsid w:val="63A10995"/>
    <w:rsid w:val="63C23EFA"/>
    <w:rsid w:val="63E759A8"/>
    <w:rsid w:val="643A070A"/>
    <w:rsid w:val="644C573D"/>
    <w:rsid w:val="648667A7"/>
    <w:rsid w:val="64DB383A"/>
    <w:rsid w:val="65032F85"/>
    <w:rsid w:val="65136B50"/>
    <w:rsid w:val="657E2A35"/>
    <w:rsid w:val="65A94E9D"/>
    <w:rsid w:val="65C60A92"/>
    <w:rsid w:val="662203DD"/>
    <w:rsid w:val="667E037D"/>
    <w:rsid w:val="66DD6702"/>
    <w:rsid w:val="679406CB"/>
    <w:rsid w:val="67A91F33"/>
    <w:rsid w:val="67C35C0B"/>
    <w:rsid w:val="68652AB3"/>
    <w:rsid w:val="68AD17BB"/>
    <w:rsid w:val="68D94D22"/>
    <w:rsid w:val="692B2E4A"/>
    <w:rsid w:val="694303FB"/>
    <w:rsid w:val="696A0B34"/>
    <w:rsid w:val="698D6A17"/>
    <w:rsid w:val="69EE3535"/>
    <w:rsid w:val="69F954C1"/>
    <w:rsid w:val="6A2031B6"/>
    <w:rsid w:val="6A440C53"/>
    <w:rsid w:val="6A787AE3"/>
    <w:rsid w:val="6AC61F6F"/>
    <w:rsid w:val="6ADE74F0"/>
    <w:rsid w:val="6B1002C0"/>
    <w:rsid w:val="6B723594"/>
    <w:rsid w:val="6B805156"/>
    <w:rsid w:val="6BD50977"/>
    <w:rsid w:val="6BEA2A9B"/>
    <w:rsid w:val="6C3D4E76"/>
    <w:rsid w:val="6C816099"/>
    <w:rsid w:val="6C9C0875"/>
    <w:rsid w:val="6CAA3931"/>
    <w:rsid w:val="6D1D2136"/>
    <w:rsid w:val="6D3933CA"/>
    <w:rsid w:val="6D7B61EC"/>
    <w:rsid w:val="6DD049FF"/>
    <w:rsid w:val="6E09491E"/>
    <w:rsid w:val="6E0D3655"/>
    <w:rsid w:val="6E5F4465"/>
    <w:rsid w:val="6E8C54DA"/>
    <w:rsid w:val="6EF11E03"/>
    <w:rsid w:val="6F111C62"/>
    <w:rsid w:val="6F2176E5"/>
    <w:rsid w:val="6F3053CA"/>
    <w:rsid w:val="6F592303"/>
    <w:rsid w:val="6F5F5B74"/>
    <w:rsid w:val="6F964376"/>
    <w:rsid w:val="6F9B1C65"/>
    <w:rsid w:val="6FD47A25"/>
    <w:rsid w:val="6FF71C33"/>
    <w:rsid w:val="6FFB146E"/>
    <w:rsid w:val="701A5C74"/>
    <w:rsid w:val="706516C3"/>
    <w:rsid w:val="70706192"/>
    <w:rsid w:val="70896E68"/>
    <w:rsid w:val="715B60E9"/>
    <w:rsid w:val="71EA1FED"/>
    <w:rsid w:val="72C16204"/>
    <w:rsid w:val="730313F6"/>
    <w:rsid w:val="731E1007"/>
    <w:rsid w:val="73370D24"/>
    <w:rsid w:val="7359268C"/>
    <w:rsid w:val="736C2273"/>
    <w:rsid w:val="739503EB"/>
    <w:rsid w:val="73A05B28"/>
    <w:rsid w:val="73C07D69"/>
    <w:rsid w:val="74B42AE4"/>
    <w:rsid w:val="750A429D"/>
    <w:rsid w:val="75177EBD"/>
    <w:rsid w:val="755D38A7"/>
    <w:rsid w:val="75614792"/>
    <w:rsid w:val="75784473"/>
    <w:rsid w:val="757E044C"/>
    <w:rsid w:val="75977BC3"/>
    <w:rsid w:val="75B161B3"/>
    <w:rsid w:val="75E470E3"/>
    <w:rsid w:val="76736B32"/>
    <w:rsid w:val="76E3765E"/>
    <w:rsid w:val="76FC2AFA"/>
    <w:rsid w:val="77653671"/>
    <w:rsid w:val="778546CC"/>
    <w:rsid w:val="77B56730"/>
    <w:rsid w:val="77C04A8B"/>
    <w:rsid w:val="77D85DB3"/>
    <w:rsid w:val="780252A0"/>
    <w:rsid w:val="78027772"/>
    <w:rsid w:val="787F1C3E"/>
    <w:rsid w:val="78A50513"/>
    <w:rsid w:val="796518DD"/>
    <w:rsid w:val="79653B96"/>
    <w:rsid w:val="796E0C55"/>
    <w:rsid w:val="79AA0532"/>
    <w:rsid w:val="79FE1DDD"/>
    <w:rsid w:val="7A075767"/>
    <w:rsid w:val="7A212062"/>
    <w:rsid w:val="7A282A11"/>
    <w:rsid w:val="7AC21562"/>
    <w:rsid w:val="7AD474A4"/>
    <w:rsid w:val="7B5350AD"/>
    <w:rsid w:val="7B697C89"/>
    <w:rsid w:val="7B8D34C3"/>
    <w:rsid w:val="7B971D84"/>
    <w:rsid w:val="7BF32F03"/>
    <w:rsid w:val="7C1724A5"/>
    <w:rsid w:val="7C4222EA"/>
    <w:rsid w:val="7C7137AE"/>
    <w:rsid w:val="7C8E3CCF"/>
    <w:rsid w:val="7CA54112"/>
    <w:rsid w:val="7CE50CE4"/>
    <w:rsid w:val="7D2E5ABF"/>
    <w:rsid w:val="7D3E2484"/>
    <w:rsid w:val="7E2142A2"/>
    <w:rsid w:val="7E4F5384"/>
    <w:rsid w:val="7E5A6DFA"/>
    <w:rsid w:val="7E7B0BF2"/>
    <w:rsid w:val="7E8D75B6"/>
    <w:rsid w:val="7EB2417D"/>
    <w:rsid w:val="7EF760EE"/>
    <w:rsid w:val="7F2A21E7"/>
    <w:rsid w:val="7F5B31D6"/>
    <w:rsid w:val="7F7E216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3">
    <w:name w:val="heading 1"/>
    <w:basedOn w:val="1"/>
    <w:next w:val="1"/>
    <w:qFormat/>
    <w:uiPriority w:val="0"/>
    <w:pPr>
      <w:keepNext/>
      <w:keepLines/>
      <w:pageBreakBefore/>
      <w:numPr>
        <w:ilvl w:val="0"/>
        <w:numId w:val="1"/>
      </w:numPr>
      <w:spacing w:before="120" w:after="120" w:line="360" w:lineRule="auto"/>
      <w:outlineLvl w:val="0"/>
    </w:pPr>
    <w:rPr>
      <w:rFonts w:ascii="楷体" w:hAnsi="楷体" w:eastAsia="楷体" w:cstheme="minorBidi"/>
      <w:b/>
      <w:bCs/>
      <w:kern w:val="44"/>
      <w:sz w:val="36"/>
      <w:szCs w:val="36"/>
      <w:lang w:val="en-US" w:eastAsia="zh-CN" w:bidi="ar-SA"/>
    </w:rPr>
  </w:style>
  <w:style w:type="paragraph" w:styleId="4">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9"/>
    <w:unhideWhenUsed/>
    <w:qFormat/>
    <w:uiPriority w:val="9"/>
    <w:pPr>
      <w:keepNext/>
      <w:keepLines/>
      <w:spacing w:line="360" w:lineRule="auto"/>
      <w:outlineLvl w:val="2"/>
    </w:pPr>
    <w:rPr>
      <w:rFonts w:eastAsia="宋体"/>
      <w:b/>
      <w:bCs/>
      <w:sz w:val="24"/>
      <w:szCs w:val="32"/>
    </w:rPr>
  </w:style>
  <w:style w:type="paragraph" w:styleId="6">
    <w:name w:val="heading 4"/>
    <w:basedOn w:val="1"/>
    <w:next w:val="1"/>
    <w:link w:val="3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jc w:val="left"/>
    </w:pPr>
    <w:rPr>
      <w:spacing w:val="10"/>
      <w:kern w:val="0"/>
      <w:sz w:val="24"/>
    </w:rPr>
  </w:style>
  <w:style w:type="paragraph" w:styleId="7">
    <w:name w:val="annotation text"/>
    <w:basedOn w:val="1"/>
    <w:semiHidden/>
    <w:unhideWhenUsed/>
    <w:qFormat/>
    <w:uiPriority w:val="99"/>
  </w:style>
  <w:style w:type="paragraph" w:styleId="8">
    <w:name w:val="Body Text"/>
    <w:basedOn w:val="1"/>
    <w:next w:val="1"/>
    <w:qFormat/>
    <w:uiPriority w:val="1"/>
    <w:pPr>
      <w:spacing w:before="161"/>
      <w:ind w:left="120"/>
    </w:pPr>
    <w:rPr>
      <w:rFonts w:ascii="宋体" w:hAnsi="宋体" w:eastAsia="宋体" w:cs="宋体"/>
      <w:sz w:val="24"/>
      <w:lang w:val="zh-CN" w:bidi="zh-CN"/>
    </w:rPr>
  </w:style>
  <w:style w:type="paragraph" w:styleId="9">
    <w:name w:val="Body Text Indent"/>
    <w:basedOn w:val="1"/>
    <w:qFormat/>
    <w:uiPriority w:val="0"/>
    <w:pPr>
      <w:autoSpaceDE/>
      <w:autoSpaceDN/>
      <w:adjustRightInd/>
      <w:ind w:left="567" w:leftChars="270"/>
      <w:jc w:val="both"/>
    </w:pPr>
    <w:rPr>
      <w:rFonts w:ascii="Times New Roman"/>
      <w:kern w:val="2"/>
      <w:sz w:val="21"/>
      <w:szCs w:val="20"/>
    </w:rPr>
  </w:style>
  <w:style w:type="paragraph" w:styleId="10">
    <w:name w:val="toc 3"/>
    <w:basedOn w:val="1"/>
    <w:next w:val="1"/>
    <w:unhideWhenUsed/>
    <w:qFormat/>
    <w:uiPriority w:val="39"/>
    <w:pPr>
      <w:tabs>
        <w:tab w:val="right" w:leader="dot" w:pos="8296"/>
      </w:tabs>
      <w:ind w:left="838" w:leftChars="381"/>
    </w:pPr>
    <w:rPr>
      <w:sz w:val="21"/>
      <w:szCs w:val="21"/>
    </w:rPr>
  </w:style>
  <w:style w:type="paragraph" w:styleId="11">
    <w:name w:val="Plain Text"/>
    <w:basedOn w:val="1"/>
    <w:link w:val="42"/>
    <w:qFormat/>
    <w:uiPriority w:val="0"/>
    <w:pPr>
      <w:widowControl w:val="0"/>
      <w:adjustRightInd/>
      <w:snapToGrid/>
      <w:spacing w:after="0"/>
      <w:jc w:val="both"/>
    </w:pPr>
    <w:rPr>
      <w:rFonts w:ascii="宋体" w:hAnsi="Courier New" w:eastAsia="宋体" w:cs="Times New Roman"/>
      <w:b/>
      <w:kern w:val="2"/>
      <w:sz w:val="21"/>
      <w:szCs w:val="20"/>
    </w:rPr>
  </w:style>
  <w:style w:type="paragraph" w:styleId="12">
    <w:name w:val="Balloon Text"/>
    <w:basedOn w:val="1"/>
    <w:link w:val="45"/>
    <w:semiHidden/>
    <w:unhideWhenUsed/>
    <w:qFormat/>
    <w:uiPriority w:val="99"/>
    <w:pPr>
      <w:spacing w:after="0"/>
    </w:pPr>
    <w:rPr>
      <w:sz w:val="18"/>
      <w:szCs w:val="18"/>
    </w:rPr>
  </w:style>
  <w:style w:type="paragraph" w:styleId="13">
    <w:name w:val="footer"/>
    <w:basedOn w:val="1"/>
    <w:link w:val="44"/>
    <w:unhideWhenUsed/>
    <w:qFormat/>
    <w:uiPriority w:val="99"/>
    <w:pPr>
      <w:tabs>
        <w:tab w:val="center" w:pos="4153"/>
        <w:tab w:val="right" w:pos="8306"/>
      </w:tabs>
    </w:pPr>
    <w:rPr>
      <w:sz w:val="18"/>
      <w:szCs w:val="18"/>
    </w:rPr>
  </w:style>
  <w:style w:type="paragraph" w:styleId="14">
    <w:name w:val="header"/>
    <w:basedOn w:val="1"/>
    <w:link w:val="43"/>
    <w:unhideWhenUsed/>
    <w:qFormat/>
    <w:uiPriority w:val="99"/>
    <w:pPr>
      <w:pBdr>
        <w:bottom w:val="single" w:color="auto" w:sz="6" w:space="1"/>
      </w:pBdr>
      <w:tabs>
        <w:tab w:val="center" w:pos="4153"/>
        <w:tab w:val="right" w:pos="8306"/>
      </w:tabs>
      <w:jc w:val="center"/>
    </w:pPr>
    <w:rPr>
      <w:sz w:val="18"/>
      <w:szCs w:val="18"/>
    </w:rPr>
  </w:style>
  <w:style w:type="paragraph" w:styleId="15">
    <w:name w:val="toc 1"/>
    <w:basedOn w:val="1"/>
    <w:next w:val="1"/>
    <w:semiHidden/>
    <w:unhideWhenUsed/>
    <w:qFormat/>
    <w:uiPriority w:val="39"/>
  </w:style>
  <w:style w:type="paragraph" w:styleId="16">
    <w:name w:val="toc 4"/>
    <w:basedOn w:val="1"/>
    <w:next w:val="1"/>
    <w:unhideWhenUsed/>
    <w:qFormat/>
    <w:uiPriority w:val="39"/>
    <w:pPr>
      <w:tabs>
        <w:tab w:val="right" w:leader="dot" w:pos="8296"/>
      </w:tabs>
      <w:spacing w:after="120"/>
      <w:ind w:left="1320" w:leftChars="600"/>
    </w:pPr>
  </w:style>
  <w:style w:type="paragraph" w:styleId="17">
    <w:name w:val="footnote text"/>
    <w:basedOn w:val="1"/>
    <w:semiHidden/>
    <w:unhideWhenUsed/>
    <w:qFormat/>
    <w:uiPriority w:val="99"/>
    <w:pPr>
      <w:snapToGrid w:val="0"/>
      <w:jc w:val="left"/>
    </w:pPr>
    <w:rPr>
      <w:sz w:val="18"/>
    </w:rPr>
  </w:style>
  <w:style w:type="paragraph" w:styleId="18">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19">
    <w:name w:val="Normal (Web)"/>
    <w:basedOn w:val="1"/>
    <w:link w:val="47"/>
    <w:qFormat/>
    <w:uiPriority w:val="0"/>
    <w:pPr>
      <w:widowControl w:val="0"/>
      <w:adjustRightInd/>
      <w:snapToGrid/>
      <w:spacing w:after="0"/>
      <w:jc w:val="both"/>
    </w:pPr>
    <w:rPr>
      <w:rFonts w:eastAsia="宋体" w:asciiTheme="minorHAnsi" w:hAnsiTheme="minorHAnsi"/>
      <w:kern w:val="2"/>
      <w:sz w:val="24"/>
      <w:szCs w:val="24"/>
    </w:rPr>
  </w:style>
  <w:style w:type="paragraph" w:styleId="20">
    <w:name w:val="Body Text First Indent"/>
    <w:basedOn w:val="8"/>
    <w:unhideWhenUsed/>
    <w:qFormat/>
    <w:uiPriority w:val="99"/>
    <w:pPr>
      <w:ind w:firstLine="420" w:firstLineChars="100"/>
    </w:pPr>
    <w:rPr>
      <w:rFonts w:ascii="Times New Roman" w:hAnsi="Times New Roman" w:cs="Times New Roman"/>
    </w:rPr>
  </w:style>
  <w:style w:type="table" w:styleId="22">
    <w:name w:val="Table Grid"/>
    <w:basedOn w:val="2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Emphasis"/>
    <w:basedOn w:val="23"/>
    <w:qFormat/>
    <w:uiPriority w:val="20"/>
    <w:rPr>
      <w:i/>
      <w:iCs/>
    </w:rPr>
  </w:style>
  <w:style w:type="character" w:styleId="25">
    <w:name w:val="Hyperlink"/>
    <w:qFormat/>
    <w:uiPriority w:val="99"/>
    <w:rPr>
      <w:rFonts w:hint="eastAsia" w:ascii="宋体" w:hAnsi="宋体" w:eastAsia="宋体" w:cs="宋体"/>
      <w:b/>
      <w:color w:val="0031C1"/>
      <w:kern w:val="0"/>
      <w:sz w:val="18"/>
      <w:szCs w:val="18"/>
      <w:u w:val="none"/>
      <w:lang w:eastAsia="en-US"/>
    </w:rPr>
  </w:style>
  <w:style w:type="character" w:styleId="26">
    <w:name w:val="annotation reference"/>
    <w:basedOn w:val="23"/>
    <w:semiHidden/>
    <w:unhideWhenUsed/>
    <w:qFormat/>
    <w:uiPriority w:val="99"/>
    <w:rPr>
      <w:sz w:val="21"/>
      <w:szCs w:val="21"/>
    </w:rPr>
  </w:style>
  <w:style w:type="character" w:styleId="27">
    <w:name w:val="footnote reference"/>
    <w:basedOn w:val="23"/>
    <w:semiHidden/>
    <w:unhideWhenUsed/>
    <w:qFormat/>
    <w:uiPriority w:val="99"/>
    <w:rPr>
      <w:vertAlign w:val="superscript"/>
    </w:rPr>
  </w:style>
  <w:style w:type="character" w:customStyle="1" w:styleId="28">
    <w:name w:val="标题 2 Char"/>
    <w:basedOn w:val="23"/>
    <w:link w:val="4"/>
    <w:qFormat/>
    <w:uiPriority w:val="9"/>
    <w:rPr>
      <w:rFonts w:asciiTheme="majorHAnsi" w:hAnsiTheme="majorHAnsi" w:eastAsiaTheme="majorEastAsia" w:cstheme="majorBidi"/>
      <w:b/>
      <w:bCs/>
      <w:sz w:val="32"/>
      <w:szCs w:val="32"/>
    </w:rPr>
  </w:style>
  <w:style w:type="character" w:customStyle="1" w:styleId="29">
    <w:name w:val="标题 3 Char"/>
    <w:basedOn w:val="23"/>
    <w:link w:val="5"/>
    <w:qFormat/>
    <w:uiPriority w:val="9"/>
    <w:rPr>
      <w:rFonts w:ascii="Tahoma" w:hAnsi="Tahoma" w:eastAsia="宋体"/>
      <w:b/>
      <w:bCs/>
      <w:sz w:val="24"/>
      <w:szCs w:val="32"/>
    </w:rPr>
  </w:style>
  <w:style w:type="paragraph" w:styleId="30">
    <w:name w:val="List Paragraph"/>
    <w:basedOn w:val="1"/>
    <w:qFormat/>
    <w:uiPriority w:val="34"/>
    <w:pPr>
      <w:ind w:firstLine="420" w:firstLineChars="200"/>
    </w:pPr>
  </w:style>
  <w:style w:type="character" w:customStyle="1" w:styleId="31">
    <w:name w:val="标题 4 Char"/>
    <w:basedOn w:val="23"/>
    <w:link w:val="6"/>
    <w:qFormat/>
    <w:uiPriority w:val="9"/>
    <w:rPr>
      <w:rFonts w:asciiTheme="majorHAnsi" w:hAnsiTheme="majorHAnsi" w:eastAsiaTheme="majorEastAsia" w:cstheme="majorBidi"/>
      <w:b/>
      <w:bCs/>
      <w:sz w:val="28"/>
      <w:szCs w:val="28"/>
    </w:rPr>
  </w:style>
  <w:style w:type="character" w:customStyle="1" w:styleId="32">
    <w:name w:val="正文缩进2格 Char"/>
    <w:link w:val="33"/>
    <w:qFormat/>
    <w:uiPriority w:val="0"/>
    <w:rPr>
      <w:rFonts w:ascii="仿宋_GB2312" w:hAnsi="宋体" w:eastAsia="仿宋_GB2312"/>
      <w:kern w:val="2"/>
      <w:sz w:val="31"/>
    </w:rPr>
  </w:style>
  <w:style w:type="paragraph" w:customStyle="1" w:styleId="33">
    <w:name w:val="正文缩进2格"/>
    <w:basedOn w:val="1"/>
    <w:link w:val="32"/>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4">
    <w:name w:val="正文缩进4格"/>
    <w:basedOn w:val="33"/>
    <w:qFormat/>
    <w:uiPriority w:val="0"/>
    <w:pPr>
      <w:ind w:left="2" w:firstLine="538" w:firstLineChars="192"/>
    </w:pPr>
    <w:rPr>
      <w:color w:val="0000FF"/>
      <w:sz w:val="28"/>
    </w:rPr>
  </w:style>
  <w:style w:type="character" w:customStyle="1" w:styleId="35">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6">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37">
    <w:name w:val="标题1"/>
    <w:qFormat/>
    <w:uiPriority w:val="0"/>
    <w:rPr>
      <w:rFonts w:ascii="Times New Roman" w:hAnsi="Times New Roman" w:eastAsia="宋体" w:cs="Times New Roman"/>
      <w:b/>
      <w:kern w:val="0"/>
      <w:sz w:val="24"/>
      <w:szCs w:val="20"/>
      <w:lang w:eastAsia="en-US"/>
    </w:rPr>
  </w:style>
  <w:style w:type="character" w:customStyle="1" w:styleId="38">
    <w:name w:val="标题 3.1 Char"/>
    <w:link w:val="39"/>
    <w:qFormat/>
    <w:uiPriority w:val="0"/>
    <w:rPr>
      <w:rFonts w:ascii="宋体" w:hAnsi="宋体" w:eastAsia="宋体"/>
      <w:b/>
      <w:color w:val="FF0000"/>
      <w:kern w:val="2"/>
      <w:sz w:val="32"/>
    </w:rPr>
  </w:style>
  <w:style w:type="paragraph" w:customStyle="1" w:styleId="39">
    <w:name w:val="标题 3.1"/>
    <w:basedOn w:val="5"/>
    <w:link w:val="38"/>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0">
    <w:name w:val="样式 楷体_GB2312 小四"/>
    <w:qFormat/>
    <w:uiPriority w:val="0"/>
    <w:rPr>
      <w:rFonts w:ascii="楷体_GB2312" w:hAnsi="楷体_GB2312" w:eastAsia="仿宋_GB2312"/>
      <w:sz w:val="24"/>
    </w:rPr>
  </w:style>
  <w:style w:type="character" w:customStyle="1" w:styleId="41">
    <w:name w:val="纯文本 Char"/>
    <w:qFormat/>
    <w:uiPriority w:val="0"/>
    <w:rPr>
      <w:rFonts w:ascii="宋体" w:hAnsi="Courier New" w:eastAsia="宋体" w:cs="Times New Roman"/>
      <w:b/>
      <w:kern w:val="2"/>
      <w:sz w:val="21"/>
      <w:szCs w:val="20"/>
    </w:rPr>
  </w:style>
  <w:style w:type="character" w:customStyle="1" w:styleId="42">
    <w:name w:val="纯文本 Char1"/>
    <w:basedOn w:val="23"/>
    <w:link w:val="11"/>
    <w:semiHidden/>
    <w:qFormat/>
    <w:uiPriority w:val="99"/>
    <w:rPr>
      <w:rFonts w:ascii="宋体" w:hAnsi="Courier New" w:eastAsia="宋体" w:cs="Courier New"/>
      <w:sz w:val="21"/>
      <w:szCs w:val="21"/>
    </w:rPr>
  </w:style>
  <w:style w:type="character" w:customStyle="1" w:styleId="43">
    <w:name w:val="页眉 Char"/>
    <w:basedOn w:val="23"/>
    <w:link w:val="14"/>
    <w:qFormat/>
    <w:uiPriority w:val="99"/>
    <w:rPr>
      <w:rFonts w:ascii="Tahoma" w:hAnsi="Tahoma"/>
      <w:sz w:val="18"/>
      <w:szCs w:val="18"/>
    </w:rPr>
  </w:style>
  <w:style w:type="character" w:customStyle="1" w:styleId="44">
    <w:name w:val="页脚 Char"/>
    <w:basedOn w:val="23"/>
    <w:link w:val="13"/>
    <w:qFormat/>
    <w:uiPriority w:val="99"/>
    <w:rPr>
      <w:rFonts w:ascii="Tahoma" w:hAnsi="Tahoma"/>
      <w:sz w:val="18"/>
      <w:szCs w:val="18"/>
    </w:rPr>
  </w:style>
  <w:style w:type="character" w:customStyle="1" w:styleId="45">
    <w:name w:val="批注框文本 Char"/>
    <w:basedOn w:val="23"/>
    <w:link w:val="12"/>
    <w:semiHidden/>
    <w:qFormat/>
    <w:uiPriority w:val="99"/>
    <w:rPr>
      <w:rFonts w:ascii="Tahoma" w:hAnsi="Tahoma"/>
      <w:sz w:val="18"/>
      <w:szCs w:val="18"/>
    </w:rPr>
  </w:style>
  <w:style w:type="paragraph" w:customStyle="1" w:styleId="46">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47">
    <w:name w:val="普通(网站) Char"/>
    <w:link w:val="19"/>
    <w:qFormat/>
    <w:uiPriority w:val="0"/>
    <w:rPr>
      <w:rFonts w:eastAsia="宋体"/>
      <w:kern w:val="2"/>
      <w:sz w:val="24"/>
      <w:szCs w:val="24"/>
    </w:rPr>
  </w:style>
  <w:style w:type="paragraph" w:customStyle="1" w:styleId="48">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49">
    <w:name w:val="p141"/>
    <w:qFormat/>
    <w:uiPriority w:val="0"/>
    <w:rPr>
      <w:sz w:val="21"/>
      <w:szCs w:val="21"/>
    </w:rPr>
  </w:style>
  <w:style w:type="paragraph" w:customStyle="1" w:styleId="50">
    <w:name w:val="Table Paragraph"/>
    <w:basedOn w:val="1"/>
    <w:qFormat/>
    <w:uiPriority w:val="1"/>
    <w:pPr>
      <w:autoSpaceDE/>
      <w:autoSpaceDN/>
      <w:adjustRightInd/>
    </w:pPr>
    <w:rPr>
      <w:rFonts w:ascii="Calibri" w:hAnsi="Calibri" w:eastAsia="宋体" w:cs="Times New Roman"/>
      <w:sz w:val="22"/>
      <w:szCs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68</Pages>
  <Words>5566</Words>
  <Characters>31731</Characters>
  <Lines>264</Lines>
  <Paragraphs>74</Paragraphs>
  <TotalTime>20</TotalTime>
  <ScaleCrop>false</ScaleCrop>
  <LinksUpToDate>false</LinksUpToDate>
  <CharactersWithSpaces>37223</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嗨呀</cp:lastModifiedBy>
  <cp:lastPrinted>2019-04-01T01:49:00Z</cp:lastPrinted>
  <dcterms:modified xsi:type="dcterms:W3CDTF">2021-07-09T08:10:23Z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115F8F7C26DF447F98FF61CDBB003316</vt:lpwstr>
  </property>
</Properties>
</file>