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黑体"/>
          <w:b/>
          <w:color w:val="auto"/>
          <w:sz w:val="36"/>
          <w:highlight w:val="none"/>
        </w:rPr>
      </w:pPr>
      <w:r>
        <w:rPr>
          <w:rFonts w:hint="eastAsia" w:ascii="黑体" w:eastAsia="黑体"/>
          <w:color w:val="auto"/>
          <w:szCs w:val="21"/>
          <w:highlight w:val="none"/>
          <w:lang w:eastAsia="zh-CN"/>
        </w:rPr>
        <w:drawing>
          <wp:inline distT="0" distB="0" distL="114300" distR="114300">
            <wp:extent cx="682625" cy="652145"/>
            <wp:effectExtent l="0" t="0" r="3175" b="14605"/>
            <wp:docPr id="9" name="图片 9" descr="QQ截图2020060316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200603163454"/>
                    <pic:cNvPicPr>
                      <a:picLocks noChangeAspect="1"/>
                    </pic:cNvPicPr>
                  </pic:nvPicPr>
                  <pic:blipFill>
                    <a:blip r:embed="rId9"/>
                    <a:srcRect l="6233" t="18358" r="67326" b="19339"/>
                    <a:stretch>
                      <a:fillRect/>
                    </a:stretch>
                  </pic:blipFill>
                  <pic:spPr>
                    <a:xfrm>
                      <a:off x="0" y="0"/>
                      <a:ext cx="682625" cy="652145"/>
                    </a:xfrm>
                    <a:prstGeom prst="rect">
                      <a:avLst/>
                    </a:prstGeom>
                  </pic:spPr>
                </pic:pic>
              </a:graphicData>
            </a:graphic>
          </wp:inline>
        </w:drawing>
      </w:r>
    </w:p>
    <w:p>
      <w:pPr>
        <w:jc w:val="right"/>
        <w:rPr>
          <w:rFonts w:eastAsia="黑体"/>
          <w:b/>
          <w:color w:val="auto"/>
          <w:sz w:val="36"/>
          <w:highlight w:val="none"/>
        </w:rPr>
      </w:pPr>
    </w:p>
    <w:p>
      <w:pPr>
        <w:rPr>
          <w:color w:val="auto"/>
          <w:highlight w:val="none"/>
        </w:rPr>
      </w:pPr>
    </w:p>
    <w:p>
      <w:pPr>
        <w:rPr>
          <w:color w:val="auto"/>
          <w:highlight w:val="none"/>
        </w:rPr>
      </w:pPr>
    </w:p>
    <w:p>
      <w:pPr>
        <w:rPr>
          <w:color w:val="auto"/>
          <w:highlight w:val="none"/>
        </w:rPr>
      </w:pPr>
    </w:p>
    <w:p>
      <w:pPr>
        <w:keepNext w:val="0"/>
        <w:keepLines w:val="0"/>
        <w:pageBreakBefore w:val="0"/>
        <w:widowControl/>
        <w:kinsoku/>
        <w:wordWrap/>
        <w:overflowPunct/>
        <w:topLinePunct w:val="0"/>
        <w:autoSpaceDE/>
        <w:autoSpaceDN/>
        <w:bidi w:val="0"/>
        <w:adjustRightInd w:val="0"/>
        <w:snapToGrid w:val="0"/>
        <w:spacing w:after="0"/>
        <w:ind w:right="-28"/>
        <w:jc w:val="center"/>
        <w:textAlignment w:val="bottom"/>
        <w:rPr>
          <w:rFonts w:hint="eastAsia" w:ascii="黑体" w:hAnsi="黑体" w:eastAsia="黑体" w:cs="黑体"/>
          <w:b w:val="0"/>
          <w:bCs/>
          <w:color w:val="auto"/>
          <w:spacing w:val="57"/>
          <w:sz w:val="72"/>
          <w:szCs w:val="72"/>
          <w:highlight w:val="none"/>
        </w:rPr>
      </w:pPr>
      <w:r>
        <w:rPr>
          <w:rFonts w:hint="eastAsia" w:ascii="黑体" w:hAnsi="黑体" w:eastAsia="黑体" w:cs="黑体"/>
          <w:b w:val="0"/>
          <w:bCs/>
          <w:color w:val="auto"/>
          <w:spacing w:val="57"/>
          <w:sz w:val="72"/>
          <w:szCs w:val="72"/>
          <w:highlight w:val="none"/>
        </w:rPr>
        <w:t>公开招标文件</w:t>
      </w:r>
    </w:p>
    <w:p>
      <w:pPr>
        <w:jc w:val="center"/>
        <w:rPr>
          <w:rFonts w:hint="eastAsia" w:ascii="黑体" w:hAnsi="黑体" w:eastAsia="黑体" w:cs="黑体"/>
          <w:color w:val="auto"/>
          <w:highlight w:val="none"/>
        </w:rPr>
      </w:pPr>
      <w:r>
        <w:rPr>
          <w:rFonts w:hint="eastAsia" w:ascii="黑体" w:hAnsi="黑体" w:eastAsia="黑体" w:cs="黑体"/>
          <w:b w:val="0"/>
          <w:bCs/>
          <w:color w:val="auto"/>
          <w:spacing w:val="57"/>
          <w:sz w:val="72"/>
          <w:szCs w:val="72"/>
          <w:highlight w:val="none"/>
        </w:rPr>
        <w:t>东莞市政府采购</w:t>
      </w:r>
    </w:p>
    <w:p>
      <w:pPr>
        <w:jc w:val="center"/>
        <w:rPr>
          <w:color w:val="auto"/>
          <w:highlight w:val="none"/>
        </w:rPr>
      </w:pPr>
    </w:p>
    <w:p>
      <w:pPr>
        <w:rPr>
          <w:color w:val="auto"/>
          <w:highlight w:val="none"/>
        </w:rPr>
      </w:pPr>
    </w:p>
    <w:tbl>
      <w:tblPr>
        <w:tblStyle w:val="22"/>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项目名称：</w:t>
            </w:r>
          </w:p>
        </w:tc>
        <w:tc>
          <w:tcPr>
            <w:tcW w:w="6203" w:type="dxa"/>
            <w:noWrap/>
            <w:vAlign w:val="center"/>
          </w:tcPr>
          <w:p>
            <w:pPr>
              <w:spacing w:before="200"/>
              <w:ind w:firstLine="0" w:firstLineChars="0"/>
              <w:jc w:val="both"/>
              <w:rPr>
                <w:rFonts w:hint="eastAsia" w:ascii="黑体" w:hAnsi="黑体" w:eastAsia="黑体" w:cs="黑体"/>
                <w:bCs/>
                <w:color w:val="auto"/>
                <w:sz w:val="32"/>
                <w:szCs w:val="24"/>
                <w:highlight w:val="none"/>
                <w:lang w:eastAsia="zh-CN"/>
              </w:rPr>
            </w:pPr>
            <w:r>
              <w:rPr>
                <w:rFonts w:hint="eastAsia" w:ascii="黑体" w:hAnsi="黑体" w:eastAsia="黑体" w:cs="黑体"/>
                <w:bCs/>
                <w:color w:val="auto"/>
                <w:sz w:val="32"/>
                <w:szCs w:val="24"/>
                <w:highlight w:val="none"/>
                <w:lang w:eastAsia="zh-CN"/>
              </w:rPr>
              <w:t>2021年东莞市横沥中学四间电脑室改造及教室电子班牌建设项目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noWrap/>
            <w:vAlign w:val="center"/>
          </w:tcPr>
          <w:p>
            <w:pPr>
              <w:spacing w:before="200"/>
              <w:ind w:firstLine="0" w:firstLineChars="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项目采购编号：</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441900014-2021-00465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采购人：</w:t>
            </w:r>
          </w:p>
        </w:tc>
        <w:tc>
          <w:tcPr>
            <w:tcW w:w="6203" w:type="dxa"/>
            <w:noWrap/>
            <w:vAlign w:val="center"/>
          </w:tcPr>
          <w:p>
            <w:pPr>
              <w:spacing w:before="200"/>
              <w:jc w:val="both"/>
              <w:rPr>
                <w:rFonts w:ascii="黑体" w:hAnsi="黑体" w:eastAsia="黑体" w:cs="黑体"/>
                <w:bCs/>
                <w:color w:val="auto"/>
                <w:sz w:val="32"/>
                <w:szCs w:val="24"/>
                <w:highlight w:val="none"/>
              </w:rPr>
            </w:pPr>
            <w:r>
              <w:rPr>
                <w:rFonts w:ascii="黑体" w:hAnsi="黑体" w:eastAsia="黑体" w:cs="黑体"/>
                <w:bCs/>
                <w:color w:val="auto"/>
                <w:sz w:val="32"/>
                <w:szCs w:val="24"/>
                <w:highlight w:val="none"/>
              </w:rPr>
              <w:t>东莞市横沥中学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hint="eastAsia" w:ascii="黑体" w:hAnsi="黑体" w:eastAsia="黑体" w:cs="黑体"/>
                <w:bCs/>
                <w:color w:val="auto"/>
                <w:sz w:val="32"/>
                <w:szCs w:val="24"/>
                <w:highlight w:val="none"/>
              </w:rPr>
            </w:pPr>
            <w:r>
              <w:rPr>
                <w:rFonts w:hint="eastAsia" w:ascii="黑体" w:hAnsi="黑体" w:eastAsia="黑体" w:cs="黑体"/>
                <w:bCs/>
                <w:color w:val="auto"/>
                <w:sz w:val="32"/>
                <w:szCs w:val="24"/>
                <w:highlight w:val="none"/>
                <w:lang w:val="en-US" w:eastAsia="zh-CN"/>
              </w:rPr>
              <w:t>招标代理：</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lang w:eastAsia="zh-CN"/>
              </w:rPr>
              <w:t>广东政通招标有限公司</w:t>
            </w:r>
          </w:p>
        </w:tc>
      </w:tr>
    </w:tbl>
    <w:p>
      <w:pPr>
        <w:jc w:val="center"/>
        <w:rPr>
          <w:rFonts w:ascii="黑体" w:eastAsia="黑体"/>
          <w:color w:val="auto"/>
          <w:szCs w:val="21"/>
          <w:highlight w:val="none"/>
        </w:rPr>
      </w:pPr>
    </w:p>
    <w:p>
      <w:pPr>
        <w:jc w:val="center"/>
        <w:rPr>
          <w:rFonts w:ascii="黑体" w:eastAsia="黑体"/>
          <w:color w:val="auto"/>
          <w:szCs w:val="21"/>
          <w:highlight w:val="none"/>
        </w:rPr>
      </w:pPr>
    </w:p>
    <w:p>
      <w:pPr>
        <w:jc w:val="center"/>
        <w:rPr>
          <w:rFonts w:ascii="黑体" w:eastAsia="黑体"/>
          <w:color w:val="auto"/>
          <w:szCs w:val="21"/>
          <w:highlight w:val="none"/>
        </w:rPr>
      </w:pPr>
    </w:p>
    <w:p>
      <w:pPr>
        <w:jc w:val="both"/>
        <w:rPr>
          <w:rFonts w:ascii="黑体" w:eastAsia="黑体"/>
          <w:color w:val="auto"/>
          <w:szCs w:val="21"/>
          <w:highlight w:val="none"/>
        </w:rPr>
      </w:pPr>
    </w:p>
    <w:p>
      <w:pPr>
        <w:pStyle w:val="18"/>
        <w:rPr>
          <w:color w:val="auto"/>
          <w:sz w:val="32"/>
          <w:szCs w:val="32"/>
          <w:highlight w:val="none"/>
        </w:rPr>
        <w:sectPr>
          <w:headerReference r:id="rId5" w:type="default"/>
          <w:pgSz w:w="11906" w:h="16838"/>
          <w:pgMar w:top="1440" w:right="1800" w:bottom="1440" w:left="1800" w:header="708" w:footer="708" w:gutter="0"/>
          <w:pgNumType w:start="0"/>
          <w:cols w:space="708" w:num="1"/>
          <w:titlePg/>
          <w:docGrid w:type="lines" w:linePitch="360" w:charSpace="0"/>
        </w:sectPr>
      </w:pPr>
      <w:r>
        <w:rPr>
          <w:rFonts w:hint="eastAsia" w:ascii="黑体" w:eastAsia="黑体"/>
          <w:color w:val="auto"/>
          <w:szCs w:val="21"/>
          <w:highlight w:val="none"/>
          <w:lang w:eastAsia="zh-CN"/>
        </w:rPr>
        <w:drawing>
          <wp:inline distT="0" distB="0" distL="114300" distR="114300">
            <wp:extent cx="3716020" cy="633730"/>
            <wp:effectExtent l="0" t="0" r="17780" b="13970"/>
            <wp:docPr id="14" name="图片 14" descr="QQ截图2020060316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QQ截图20200603163515"/>
                    <pic:cNvPicPr>
                      <a:picLocks noChangeAspect="1"/>
                    </pic:cNvPicPr>
                  </pic:nvPicPr>
                  <pic:blipFill>
                    <a:blip r:embed="rId10"/>
                    <a:srcRect l="6033" t="52170" r="5754" b="9299"/>
                    <a:stretch>
                      <a:fillRect/>
                    </a:stretch>
                  </pic:blipFill>
                  <pic:spPr>
                    <a:xfrm>
                      <a:off x="0" y="0"/>
                      <a:ext cx="3716020" cy="633730"/>
                    </a:xfrm>
                    <a:prstGeom prst="rect">
                      <a:avLst/>
                    </a:prstGeom>
                  </pic:spPr>
                </pic:pic>
              </a:graphicData>
            </a:graphic>
          </wp:inline>
        </w:drawing>
      </w:r>
    </w:p>
    <w:p>
      <w:pPr>
        <w:pStyle w:val="18"/>
        <w:rPr>
          <w:color w:val="auto"/>
          <w:sz w:val="40"/>
          <w:szCs w:val="40"/>
          <w:highlight w:val="none"/>
        </w:rPr>
      </w:pPr>
      <w:r>
        <w:rPr>
          <w:rFonts w:hint="eastAsia"/>
          <w:color w:val="auto"/>
          <w:sz w:val="40"/>
          <w:szCs w:val="40"/>
          <w:highlight w:val="none"/>
        </w:rPr>
        <w:t>目录</w:t>
      </w:r>
    </w:p>
    <w:p>
      <w:pPr>
        <w:pStyle w:val="10"/>
        <w:tabs>
          <w:tab w:val="right" w:leader="dot" w:pos="8306"/>
          <w:tab w:val="clear" w:pos="8296"/>
        </w:tabs>
        <w:spacing w:after="0" w:line="360" w:lineRule="auto"/>
        <w:ind w:left="0" w:leftChars="0"/>
        <w:rPr>
          <w:rFonts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"1-4" \h \z \u </w:instrText>
      </w:r>
      <w:r>
        <w:rPr>
          <w:rFonts w:hint="eastAsia" w:ascii="宋体" w:hAnsi="宋体" w:eastAsia="宋体" w:cs="宋体"/>
          <w:color w:val="auto"/>
          <w:highlight w:val="none"/>
        </w:rPr>
        <w:fldChar w:fldCharType="separate"/>
      </w:r>
      <w:r>
        <w:rPr>
          <w:color w:val="auto"/>
          <w:highlight w:val="none"/>
        </w:rPr>
        <w:fldChar w:fldCharType="begin"/>
      </w:r>
      <w:r>
        <w:rPr>
          <w:color w:val="auto"/>
          <w:highlight w:val="none"/>
        </w:rPr>
        <w:instrText xml:space="preserve"> HYPERLINK \l "_Toc1420" </w:instrText>
      </w:r>
      <w:r>
        <w:rPr>
          <w:color w:val="auto"/>
          <w:highlight w:val="none"/>
        </w:rPr>
        <w:fldChar w:fldCharType="separate"/>
      </w:r>
      <w:r>
        <w:rPr>
          <w:rFonts w:hint="eastAsia" w:ascii="宋体" w:hAnsi="宋体" w:eastAsia="宋体" w:cs="宋体"/>
          <w:color w:val="auto"/>
          <w:highlight w:val="none"/>
        </w:rPr>
        <w:t>投标邀请书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_Toc1420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8"/>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"_Toc14146" </w:instrText>
      </w:r>
      <w:r>
        <w:rPr>
          <w:color w:val="auto"/>
          <w:highlight w:val="none"/>
        </w:rPr>
        <w:fldChar w:fldCharType="separate"/>
      </w:r>
      <w:r>
        <w:rPr>
          <w:rFonts w:hint="eastAsia" w:cs="宋体"/>
          <w:color w:val="auto"/>
          <w:sz w:val="21"/>
          <w:szCs w:val="21"/>
          <w:highlight w:val="none"/>
        </w:rPr>
        <w:t>第二部分 相关资料表格</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_Toc14146 </w:instrText>
      </w:r>
      <w:r>
        <w:rPr>
          <w:rFonts w:hint="eastAsia" w:cs="宋体"/>
          <w:color w:val="auto"/>
          <w:sz w:val="21"/>
          <w:szCs w:val="21"/>
          <w:highlight w:val="none"/>
        </w:rPr>
        <w:fldChar w:fldCharType="separate"/>
      </w:r>
      <w:r>
        <w:rPr>
          <w:rFonts w:hint="eastAsia" w:cs="宋体"/>
          <w:color w:val="auto"/>
          <w:sz w:val="21"/>
          <w:szCs w:val="21"/>
          <w:highlight w:val="none"/>
        </w:rPr>
        <w:t>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10"/>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"_Toc20683" </w:instrText>
      </w:r>
      <w:r>
        <w:rPr>
          <w:color w:val="auto"/>
          <w:highlight w:val="none"/>
        </w:rPr>
        <w:fldChar w:fldCharType="separate"/>
      </w:r>
      <w:r>
        <w:rPr>
          <w:rFonts w:hint="eastAsia" w:ascii="宋体" w:hAnsi="宋体" w:eastAsia="宋体" w:cs="宋体"/>
          <w:color w:val="auto"/>
          <w:highlight w:val="none"/>
        </w:rPr>
        <w:t>附表一：投标资料表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_Toc20683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0"/>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"_Toc9572" </w:instrText>
      </w:r>
      <w:r>
        <w:rPr>
          <w:color w:val="auto"/>
          <w:highlight w:val="none"/>
        </w:rPr>
        <w:fldChar w:fldCharType="separate"/>
      </w:r>
      <w:r>
        <w:rPr>
          <w:rFonts w:hint="eastAsia" w:ascii="宋体" w:hAnsi="宋体" w:eastAsia="宋体" w:cs="宋体"/>
          <w:color w:val="auto"/>
          <w:highlight w:val="none"/>
        </w:rPr>
        <w:t>附表二：商务技术评分及价格权重表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_Toc9572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8"/>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"_Toc31854" </w:instrText>
      </w:r>
      <w:r>
        <w:rPr>
          <w:color w:val="auto"/>
          <w:highlight w:val="none"/>
        </w:rPr>
        <w:fldChar w:fldCharType="separate"/>
      </w:r>
      <w:r>
        <w:rPr>
          <w:rFonts w:hint="eastAsia" w:cs="宋体"/>
          <w:color w:val="auto"/>
          <w:sz w:val="21"/>
          <w:szCs w:val="21"/>
          <w:highlight w:val="none"/>
        </w:rPr>
        <w:t>第三部分 用户需求书</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_Toc31854 </w:instrText>
      </w:r>
      <w:r>
        <w:rPr>
          <w:rFonts w:hint="eastAsia" w:cs="宋体"/>
          <w:color w:val="auto"/>
          <w:sz w:val="21"/>
          <w:szCs w:val="21"/>
          <w:highlight w:val="none"/>
        </w:rPr>
        <w:fldChar w:fldCharType="separate"/>
      </w:r>
      <w:r>
        <w:rPr>
          <w:rFonts w:hint="eastAsia" w:cs="宋体"/>
          <w:color w:val="auto"/>
          <w:sz w:val="21"/>
          <w:szCs w:val="21"/>
          <w:highlight w:val="none"/>
        </w:rPr>
        <w:t>13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10"/>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"_Toc3968" </w:instrText>
      </w:r>
      <w:r>
        <w:rPr>
          <w:color w:val="auto"/>
          <w:highlight w:val="none"/>
        </w:rPr>
        <w:fldChar w:fldCharType="separate"/>
      </w:r>
      <w:r>
        <w:rPr>
          <w:rFonts w:hint="eastAsia" w:ascii="宋体" w:hAnsi="宋体" w:eastAsia="宋体" w:cs="宋体"/>
          <w:color w:val="auto"/>
          <w:highlight w:val="none"/>
        </w:rPr>
        <w:t>用户需求明细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_Toc3968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8"/>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"_Toc2479" </w:instrText>
      </w:r>
      <w:r>
        <w:rPr>
          <w:color w:val="auto"/>
          <w:highlight w:val="none"/>
        </w:rPr>
        <w:fldChar w:fldCharType="separate"/>
      </w:r>
      <w:r>
        <w:rPr>
          <w:rFonts w:hint="eastAsia" w:cs="宋体"/>
          <w:color w:val="auto"/>
          <w:sz w:val="21"/>
          <w:szCs w:val="21"/>
          <w:highlight w:val="none"/>
        </w:rPr>
        <w:t>第四部分 投标人须知</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_Toc2479 </w:instrText>
      </w:r>
      <w:r>
        <w:rPr>
          <w:rFonts w:hint="eastAsia" w:cs="宋体"/>
          <w:color w:val="auto"/>
          <w:sz w:val="21"/>
          <w:szCs w:val="21"/>
          <w:highlight w:val="none"/>
        </w:rPr>
        <w:fldChar w:fldCharType="separate"/>
      </w:r>
      <w:r>
        <w:rPr>
          <w:rFonts w:hint="eastAsia" w:cs="宋体"/>
          <w:color w:val="auto"/>
          <w:sz w:val="21"/>
          <w:szCs w:val="21"/>
          <w:highlight w:val="none"/>
        </w:rPr>
        <w:t>40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10"/>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"_Toc19746" </w:instrText>
      </w:r>
      <w:r>
        <w:rPr>
          <w:color w:val="auto"/>
          <w:highlight w:val="none"/>
        </w:rPr>
        <w:fldChar w:fldCharType="separate"/>
      </w:r>
      <w:r>
        <w:rPr>
          <w:rFonts w:hint="eastAsia" w:ascii="宋体" w:hAnsi="宋体" w:eastAsia="宋体" w:cs="宋体"/>
          <w:color w:val="auto"/>
          <w:highlight w:val="none"/>
        </w:rPr>
        <w:t>一、 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_Toc19746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"_Toc18488" </w:instrText>
      </w:r>
      <w:r>
        <w:rPr>
          <w:color w:val="auto"/>
          <w:highlight w:val="none"/>
        </w:rPr>
        <w:fldChar w:fldCharType="separate"/>
      </w:r>
      <w:r>
        <w:rPr>
          <w:rFonts w:hint="eastAsia" w:ascii="宋体" w:hAnsi="宋体" w:eastAsia="宋体" w:cs="宋体"/>
          <w:color w:val="auto"/>
          <w:sz w:val="21"/>
          <w:szCs w:val="21"/>
          <w:highlight w:val="none"/>
        </w:rPr>
        <w:t>1.适用范围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_Toc18488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"_Toc13400" </w:instrText>
      </w:r>
      <w:r>
        <w:rPr>
          <w:color w:val="auto"/>
          <w:highlight w:val="none"/>
        </w:rPr>
        <w:fldChar w:fldCharType="separate"/>
      </w:r>
      <w:r>
        <w:rPr>
          <w:rFonts w:hint="eastAsia" w:ascii="宋体" w:hAnsi="宋体" w:eastAsia="宋体" w:cs="宋体"/>
          <w:color w:val="auto"/>
          <w:sz w:val="21"/>
          <w:szCs w:val="21"/>
          <w:highlight w:val="none"/>
        </w:rPr>
        <w:t>2.定义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_Toc13400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"_Toc3780" </w:instrText>
      </w:r>
      <w:r>
        <w:rPr>
          <w:color w:val="auto"/>
          <w:highlight w:val="none"/>
        </w:rPr>
        <w:fldChar w:fldCharType="separate"/>
      </w:r>
      <w:r>
        <w:rPr>
          <w:rFonts w:hint="eastAsia" w:ascii="宋体" w:hAnsi="宋体" w:eastAsia="宋体" w:cs="宋体"/>
          <w:color w:val="auto"/>
          <w:sz w:val="21"/>
          <w:szCs w:val="21"/>
          <w:highlight w:val="none"/>
        </w:rPr>
        <w:t>3.货物和服务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_Toc3780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"_Toc15945" </w:instrText>
      </w:r>
      <w:r>
        <w:rPr>
          <w:color w:val="auto"/>
          <w:highlight w:val="none"/>
        </w:rPr>
        <w:fldChar w:fldCharType="separate"/>
      </w:r>
      <w:r>
        <w:rPr>
          <w:rFonts w:hint="eastAsia" w:ascii="宋体" w:hAnsi="宋体" w:eastAsia="宋体" w:cs="宋体"/>
          <w:color w:val="auto"/>
          <w:sz w:val="21"/>
          <w:szCs w:val="21"/>
          <w:highlight w:val="none"/>
        </w:rPr>
        <w:t>4.投标费用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_Toc15945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"_Toc25040" </w:instrText>
      </w:r>
      <w:r>
        <w:rPr>
          <w:color w:val="auto"/>
          <w:highlight w:val="none"/>
        </w:rPr>
        <w:fldChar w:fldCharType="separate"/>
      </w:r>
      <w:r>
        <w:rPr>
          <w:rFonts w:hint="eastAsia" w:ascii="宋体" w:hAnsi="宋体" w:eastAsia="宋体" w:cs="宋体"/>
          <w:color w:val="auto"/>
          <w:sz w:val="21"/>
          <w:szCs w:val="21"/>
          <w:highlight w:val="none"/>
        </w:rPr>
        <w:t>5.知识产权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_Toc25040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"_Toc21930" </w:instrText>
      </w:r>
      <w:r>
        <w:rPr>
          <w:color w:val="auto"/>
          <w:highlight w:val="none"/>
        </w:rPr>
        <w:fldChar w:fldCharType="separate"/>
      </w:r>
      <w:r>
        <w:rPr>
          <w:rFonts w:hint="eastAsia" w:ascii="宋体" w:hAnsi="宋体" w:eastAsia="宋体" w:cs="宋体"/>
          <w:color w:val="auto"/>
          <w:sz w:val="21"/>
          <w:szCs w:val="21"/>
          <w:highlight w:val="none"/>
        </w:rPr>
        <w:t>6.关于联合体投标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_Toc21930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"_Toc16571" </w:instrText>
      </w:r>
      <w:r>
        <w:rPr>
          <w:color w:val="auto"/>
          <w:highlight w:val="none"/>
        </w:rPr>
        <w:fldChar w:fldCharType="separate"/>
      </w:r>
      <w:r>
        <w:rPr>
          <w:rFonts w:hint="eastAsia" w:ascii="宋体" w:hAnsi="宋体" w:eastAsia="宋体" w:cs="宋体"/>
          <w:color w:val="auto"/>
          <w:sz w:val="21"/>
          <w:szCs w:val="21"/>
          <w:highlight w:val="none"/>
        </w:rPr>
        <w:t>7.关于分支机构投标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_Toc16571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0"/>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"_Toc17879" </w:instrText>
      </w:r>
      <w:r>
        <w:rPr>
          <w:color w:val="auto"/>
          <w:highlight w:val="none"/>
        </w:rPr>
        <w:fldChar w:fldCharType="separate"/>
      </w:r>
      <w:r>
        <w:rPr>
          <w:rFonts w:hint="eastAsia" w:ascii="宋体" w:hAnsi="宋体" w:eastAsia="宋体" w:cs="宋体"/>
          <w:color w:val="auto"/>
          <w:highlight w:val="none"/>
        </w:rPr>
        <w:t>二、 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_Toc17879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"_Toc21771" </w:instrText>
      </w:r>
      <w:r>
        <w:rPr>
          <w:color w:val="auto"/>
          <w:highlight w:val="none"/>
        </w:rPr>
        <w:fldChar w:fldCharType="separate"/>
      </w:r>
      <w:r>
        <w:rPr>
          <w:rFonts w:hint="eastAsia" w:ascii="宋体" w:hAnsi="宋体" w:eastAsia="宋体" w:cs="宋体"/>
          <w:color w:val="auto"/>
          <w:sz w:val="21"/>
          <w:szCs w:val="21"/>
          <w:highlight w:val="none"/>
        </w:rPr>
        <w:t>8.招标文件的组成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_Toc21771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"_Toc14217" </w:instrText>
      </w:r>
      <w:r>
        <w:rPr>
          <w:color w:val="auto"/>
          <w:highlight w:val="none"/>
        </w:rPr>
        <w:fldChar w:fldCharType="separate"/>
      </w:r>
      <w:r>
        <w:rPr>
          <w:rFonts w:hint="eastAsia" w:ascii="宋体" w:hAnsi="宋体" w:eastAsia="宋体" w:cs="宋体"/>
          <w:color w:val="auto"/>
          <w:sz w:val="21"/>
          <w:szCs w:val="21"/>
          <w:highlight w:val="none"/>
        </w:rPr>
        <w:t>9.招标文件的澄清或修改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_Toc14217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0"/>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"_Toc23726" </w:instrText>
      </w:r>
      <w:r>
        <w:rPr>
          <w:color w:val="auto"/>
          <w:highlight w:val="none"/>
        </w:rPr>
        <w:fldChar w:fldCharType="separate"/>
      </w:r>
      <w:r>
        <w:rPr>
          <w:rFonts w:hint="eastAsia" w:ascii="宋体" w:hAnsi="宋体" w:eastAsia="宋体" w:cs="宋体"/>
          <w:color w:val="auto"/>
          <w:highlight w:val="none"/>
        </w:rPr>
        <w:t>三、 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_Toc23726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"_Toc20623" </w:instrText>
      </w:r>
      <w:r>
        <w:rPr>
          <w:color w:val="auto"/>
          <w:highlight w:val="none"/>
        </w:rPr>
        <w:fldChar w:fldCharType="separate"/>
      </w:r>
      <w:r>
        <w:rPr>
          <w:rFonts w:hint="eastAsia" w:ascii="宋体" w:hAnsi="宋体" w:eastAsia="宋体" w:cs="宋体"/>
          <w:color w:val="auto"/>
          <w:sz w:val="21"/>
          <w:szCs w:val="21"/>
          <w:highlight w:val="none"/>
        </w:rPr>
        <w:t>10.投标文件的语言及度量衡单位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_Toc20623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"_Toc12145" </w:instrText>
      </w:r>
      <w:r>
        <w:rPr>
          <w:color w:val="auto"/>
          <w:highlight w:val="none"/>
        </w:rPr>
        <w:fldChar w:fldCharType="separate"/>
      </w:r>
      <w:r>
        <w:rPr>
          <w:rFonts w:hint="eastAsia" w:ascii="宋体" w:hAnsi="宋体" w:eastAsia="宋体" w:cs="宋体"/>
          <w:color w:val="auto"/>
          <w:sz w:val="21"/>
          <w:szCs w:val="21"/>
          <w:highlight w:val="none"/>
        </w:rPr>
        <w:t>11.投标文件的组成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_Toc12145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"_Toc30189" </w:instrText>
      </w:r>
      <w:r>
        <w:rPr>
          <w:color w:val="auto"/>
          <w:highlight w:val="none"/>
        </w:rPr>
        <w:fldChar w:fldCharType="separate"/>
      </w:r>
      <w:r>
        <w:rPr>
          <w:rFonts w:hint="eastAsia" w:ascii="宋体" w:hAnsi="宋体" w:eastAsia="宋体" w:cs="宋体"/>
          <w:color w:val="auto"/>
          <w:sz w:val="21"/>
          <w:szCs w:val="21"/>
          <w:highlight w:val="none"/>
        </w:rPr>
        <w:t>12.投标文件编制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_Toc30189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"_Toc259" </w:instrText>
      </w:r>
      <w:r>
        <w:rPr>
          <w:color w:val="auto"/>
          <w:highlight w:val="none"/>
        </w:rPr>
        <w:fldChar w:fldCharType="separate"/>
      </w:r>
      <w:r>
        <w:rPr>
          <w:rFonts w:hint="eastAsia" w:ascii="宋体" w:hAnsi="宋体" w:eastAsia="宋体" w:cs="宋体"/>
          <w:color w:val="auto"/>
          <w:sz w:val="21"/>
          <w:szCs w:val="21"/>
          <w:highlight w:val="none"/>
        </w:rPr>
        <w:t>13.投标报价说明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"_Toc27724" </w:instrText>
      </w:r>
      <w:r>
        <w:rPr>
          <w:color w:val="auto"/>
          <w:highlight w:val="none"/>
        </w:rPr>
        <w:fldChar w:fldCharType="separate"/>
      </w:r>
      <w:r>
        <w:rPr>
          <w:rFonts w:hint="eastAsia" w:ascii="宋体" w:hAnsi="宋体" w:eastAsia="宋体" w:cs="宋体"/>
          <w:color w:val="auto"/>
          <w:sz w:val="21"/>
          <w:szCs w:val="21"/>
          <w:highlight w:val="none"/>
        </w:rPr>
        <w:t>14.投标人所提供的服务或货物的证明文件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_Toc27724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"_Toc19520" </w:instrText>
      </w:r>
      <w:r>
        <w:rPr>
          <w:color w:val="auto"/>
          <w:highlight w:val="none"/>
        </w:rPr>
        <w:fldChar w:fldCharType="separate"/>
      </w:r>
      <w:r>
        <w:rPr>
          <w:rFonts w:hint="eastAsia" w:ascii="宋体" w:hAnsi="宋体" w:eastAsia="宋体" w:cs="宋体"/>
          <w:color w:val="auto"/>
          <w:sz w:val="21"/>
          <w:szCs w:val="21"/>
          <w:highlight w:val="none"/>
        </w:rPr>
        <w:t>15.投标有效期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_Toc19520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"_Toc12456" </w:instrText>
      </w:r>
      <w:r>
        <w:rPr>
          <w:color w:val="auto"/>
          <w:highlight w:val="none"/>
        </w:rPr>
        <w:fldChar w:fldCharType="separate"/>
      </w:r>
      <w:r>
        <w:rPr>
          <w:rFonts w:hint="eastAsia" w:ascii="宋体" w:hAnsi="宋体" w:eastAsia="宋体" w:cs="宋体"/>
          <w:color w:val="auto"/>
          <w:sz w:val="21"/>
          <w:szCs w:val="21"/>
          <w:highlight w:val="none"/>
        </w:rPr>
        <w:t>16.投标保证金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_Toc12456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0"/>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"_Toc31124" </w:instrText>
      </w:r>
      <w:r>
        <w:rPr>
          <w:color w:val="auto"/>
          <w:highlight w:val="none"/>
        </w:rPr>
        <w:fldChar w:fldCharType="separate"/>
      </w:r>
      <w:r>
        <w:rPr>
          <w:rFonts w:hint="eastAsia" w:ascii="宋体" w:hAnsi="宋体" w:eastAsia="宋体" w:cs="宋体"/>
          <w:color w:val="auto"/>
          <w:highlight w:val="none"/>
        </w:rPr>
        <w:t>四、 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_Toc31124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"_Toc29590" </w:instrText>
      </w:r>
      <w:r>
        <w:rPr>
          <w:color w:val="auto"/>
          <w:highlight w:val="none"/>
        </w:rPr>
        <w:fldChar w:fldCharType="separate"/>
      </w:r>
      <w:r>
        <w:rPr>
          <w:rFonts w:hint="eastAsia" w:ascii="宋体" w:hAnsi="宋体" w:eastAsia="宋体" w:cs="宋体"/>
          <w:color w:val="auto"/>
          <w:sz w:val="21"/>
          <w:szCs w:val="21"/>
          <w:highlight w:val="none"/>
        </w:rPr>
        <w:t>17.投标文件的装订，签署，密封和标记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_Toc29590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"_Toc8628" </w:instrText>
      </w:r>
      <w:r>
        <w:rPr>
          <w:color w:val="auto"/>
          <w:highlight w:val="none"/>
        </w:rPr>
        <w:fldChar w:fldCharType="separate"/>
      </w:r>
      <w:r>
        <w:rPr>
          <w:rFonts w:hint="eastAsia" w:ascii="宋体" w:hAnsi="宋体" w:eastAsia="宋体" w:cs="宋体"/>
          <w:color w:val="auto"/>
          <w:sz w:val="21"/>
          <w:szCs w:val="21"/>
          <w:highlight w:val="none"/>
        </w:rPr>
        <w:t>18.迟交的投标文件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_Toc8628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"_Toc13212" </w:instrText>
      </w:r>
      <w:r>
        <w:rPr>
          <w:color w:val="auto"/>
          <w:highlight w:val="none"/>
        </w:rPr>
        <w:fldChar w:fldCharType="separate"/>
      </w:r>
      <w:r>
        <w:rPr>
          <w:rFonts w:hint="eastAsia" w:ascii="宋体" w:hAnsi="宋体" w:eastAsia="宋体" w:cs="宋体"/>
          <w:color w:val="auto"/>
          <w:sz w:val="21"/>
          <w:szCs w:val="21"/>
          <w:highlight w:val="none"/>
        </w:rPr>
        <w:t>19.投标样品（如需提交）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_Toc13212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"_Toc5900" </w:instrText>
      </w:r>
      <w:r>
        <w:rPr>
          <w:color w:val="auto"/>
          <w:highlight w:val="none"/>
        </w:rPr>
        <w:fldChar w:fldCharType="separate"/>
      </w:r>
      <w:r>
        <w:rPr>
          <w:rFonts w:hint="eastAsia" w:ascii="宋体" w:hAnsi="宋体" w:eastAsia="宋体" w:cs="宋体"/>
          <w:color w:val="auto"/>
          <w:sz w:val="21"/>
          <w:szCs w:val="21"/>
          <w:highlight w:val="none"/>
        </w:rPr>
        <w:t>20.投标截止期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_Toc5900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"_Toc6003" </w:instrText>
      </w:r>
      <w:r>
        <w:rPr>
          <w:color w:val="auto"/>
          <w:highlight w:val="none"/>
        </w:rPr>
        <w:fldChar w:fldCharType="separate"/>
      </w:r>
      <w:r>
        <w:rPr>
          <w:rFonts w:hint="eastAsia" w:ascii="宋体" w:hAnsi="宋体" w:eastAsia="宋体" w:cs="宋体"/>
          <w:color w:val="auto"/>
          <w:sz w:val="21"/>
          <w:szCs w:val="21"/>
          <w:highlight w:val="none"/>
        </w:rPr>
        <w:t>21.投标文件的补充、修改与撤回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_Toc6003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0"/>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"_Toc29574" </w:instrText>
      </w:r>
      <w:r>
        <w:rPr>
          <w:color w:val="auto"/>
          <w:highlight w:val="none"/>
        </w:rPr>
        <w:fldChar w:fldCharType="separate"/>
      </w:r>
      <w:r>
        <w:rPr>
          <w:rFonts w:hint="eastAsia" w:ascii="宋体" w:hAnsi="宋体" w:eastAsia="宋体" w:cs="宋体"/>
          <w:color w:val="auto"/>
          <w:highlight w:val="none"/>
        </w:rPr>
        <w:t>五、 开标与评标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_Toc29574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"_Toc28458" </w:instrText>
      </w:r>
      <w:r>
        <w:rPr>
          <w:color w:val="auto"/>
          <w:highlight w:val="none"/>
        </w:rPr>
        <w:fldChar w:fldCharType="separate"/>
      </w:r>
      <w:r>
        <w:rPr>
          <w:rFonts w:hint="eastAsia" w:ascii="宋体" w:hAnsi="宋体" w:eastAsia="宋体" w:cs="宋体"/>
          <w:color w:val="auto"/>
          <w:sz w:val="21"/>
          <w:szCs w:val="21"/>
          <w:highlight w:val="none"/>
        </w:rPr>
        <w:t>22.开标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_Toc28458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"_Toc5524" </w:instrText>
      </w:r>
      <w:r>
        <w:rPr>
          <w:color w:val="auto"/>
          <w:highlight w:val="none"/>
        </w:rPr>
        <w:fldChar w:fldCharType="separate"/>
      </w:r>
      <w:r>
        <w:rPr>
          <w:rFonts w:hint="eastAsia" w:ascii="宋体" w:hAnsi="宋体" w:eastAsia="宋体" w:cs="宋体"/>
          <w:color w:val="auto"/>
          <w:sz w:val="21"/>
          <w:szCs w:val="21"/>
          <w:highlight w:val="none"/>
        </w:rPr>
        <w:t>23.评标委员会及评标方法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_Toc5524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"_Toc15231" </w:instrText>
      </w:r>
      <w:r>
        <w:rPr>
          <w:color w:val="auto"/>
          <w:highlight w:val="none"/>
        </w:rPr>
        <w:fldChar w:fldCharType="separate"/>
      </w:r>
      <w:r>
        <w:rPr>
          <w:rFonts w:hint="eastAsia" w:ascii="宋体" w:hAnsi="宋体" w:eastAsia="宋体" w:cs="宋体"/>
          <w:color w:val="auto"/>
          <w:sz w:val="21"/>
          <w:szCs w:val="21"/>
          <w:highlight w:val="none"/>
        </w:rPr>
        <w:t>24.评审原则及评标过程的保密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_Toc15231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"_Toc3762" </w:instrText>
      </w:r>
      <w:r>
        <w:rPr>
          <w:color w:val="auto"/>
          <w:highlight w:val="none"/>
        </w:rPr>
        <w:fldChar w:fldCharType="separate"/>
      </w:r>
      <w:r>
        <w:rPr>
          <w:rFonts w:hint="eastAsia" w:ascii="宋体" w:hAnsi="宋体" w:eastAsia="宋体" w:cs="宋体"/>
          <w:color w:val="auto"/>
          <w:sz w:val="21"/>
          <w:szCs w:val="21"/>
          <w:highlight w:val="none"/>
        </w:rPr>
        <w:t>25.投标文件的初审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_Toc3762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"_Toc21742" </w:instrText>
      </w:r>
      <w:r>
        <w:rPr>
          <w:color w:val="auto"/>
          <w:highlight w:val="none"/>
        </w:rPr>
        <w:fldChar w:fldCharType="separate"/>
      </w:r>
      <w:r>
        <w:rPr>
          <w:rFonts w:hint="eastAsia" w:ascii="宋体" w:hAnsi="宋体" w:eastAsia="宋体" w:cs="宋体"/>
          <w:color w:val="auto"/>
          <w:sz w:val="21"/>
          <w:szCs w:val="21"/>
          <w:highlight w:val="none"/>
        </w:rPr>
        <w:t>26.商务、技术、价格评审（具体评审项目详见投标资料表）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_Toc21742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"_Toc22192" </w:instrText>
      </w:r>
      <w:r>
        <w:rPr>
          <w:color w:val="auto"/>
          <w:highlight w:val="none"/>
        </w:rPr>
        <w:fldChar w:fldCharType="separate"/>
      </w:r>
      <w:r>
        <w:rPr>
          <w:rFonts w:hint="eastAsia" w:ascii="宋体" w:hAnsi="宋体" w:eastAsia="宋体" w:cs="宋体"/>
          <w:color w:val="auto"/>
          <w:sz w:val="21"/>
          <w:szCs w:val="21"/>
          <w:highlight w:val="none"/>
        </w:rPr>
        <w:t>27.优惠政策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_Toc22192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"_Toc22591" </w:instrText>
      </w:r>
      <w:r>
        <w:rPr>
          <w:color w:val="auto"/>
          <w:highlight w:val="none"/>
        </w:rPr>
        <w:fldChar w:fldCharType="separate"/>
      </w:r>
      <w:r>
        <w:rPr>
          <w:rFonts w:hint="eastAsia" w:ascii="宋体" w:hAnsi="宋体" w:eastAsia="宋体" w:cs="宋体"/>
          <w:color w:val="auto"/>
          <w:sz w:val="21"/>
          <w:szCs w:val="21"/>
          <w:highlight w:val="none"/>
        </w:rPr>
        <w:t>28.纪律和保密事项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_Toc22591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0"/>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"_Toc29310" </w:instrText>
      </w:r>
      <w:r>
        <w:rPr>
          <w:color w:val="auto"/>
          <w:highlight w:val="none"/>
        </w:rPr>
        <w:fldChar w:fldCharType="separate"/>
      </w:r>
      <w:r>
        <w:rPr>
          <w:rFonts w:hint="eastAsia" w:ascii="宋体" w:hAnsi="宋体" w:eastAsia="宋体" w:cs="宋体"/>
          <w:color w:val="auto"/>
          <w:highlight w:val="none"/>
        </w:rPr>
        <w:t>六、 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_Toc29310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"_Toc27817" </w:instrText>
      </w:r>
      <w:r>
        <w:rPr>
          <w:color w:val="auto"/>
          <w:highlight w:val="none"/>
        </w:rPr>
        <w:fldChar w:fldCharType="separate"/>
      </w:r>
      <w:r>
        <w:rPr>
          <w:rFonts w:hint="eastAsia" w:ascii="宋体" w:hAnsi="宋体" w:eastAsia="宋体" w:cs="宋体"/>
          <w:color w:val="auto"/>
          <w:sz w:val="21"/>
          <w:szCs w:val="21"/>
          <w:highlight w:val="none"/>
        </w:rPr>
        <w:t>29.合同授予标准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_Toc27817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"_Toc29283" </w:instrText>
      </w:r>
      <w:r>
        <w:rPr>
          <w:color w:val="auto"/>
          <w:highlight w:val="none"/>
        </w:rPr>
        <w:fldChar w:fldCharType="separate"/>
      </w:r>
      <w:r>
        <w:rPr>
          <w:rFonts w:hint="eastAsia" w:ascii="宋体" w:hAnsi="宋体" w:eastAsia="宋体" w:cs="宋体"/>
          <w:color w:val="auto"/>
          <w:sz w:val="21"/>
          <w:szCs w:val="21"/>
          <w:highlight w:val="none"/>
        </w:rPr>
        <w:t>30.发布采购结果</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_Toc29283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"_Toc22451" </w:instrText>
      </w:r>
      <w:r>
        <w:rPr>
          <w:color w:val="auto"/>
          <w:highlight w:val="none"/>
        </w:rPr>
        <w:fldChar w:fldCharType="separate"/>
      </w:r>
      <w:r>
        <w:rPr>
          <w:rFonts w:hint="eastAsia" w:ascii="宋体" w:hAnsi="宋体" w:eastAsia="宋体" w:cs="宋体"/>
          <w:color w:val="auto"/>
          <w:sz w:val="21"/>
          <w:szCs w:val="21"/>
          <w:highlight w:val="none"/>
        </w:rPr>
        <w:t>31.合同的签订与履行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_Toc22451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"_Toc2744" </w:instrText>
      </w:r>
      <w:r>
        <w:rPr>
          <w:color w:val="auto"/>
          <w:highlight w:val="none"/>
        </w:rPr>
        <w:fldChar w:fldCharType="separate"/>
      </w:r>
      <w:r>
        <w:rPr>
          <w:rFonts w:hint="eastAsia" w:ascii="宋体" w:hAnsi="宋体" w:eastAsia="宋体" w:cs="宋体"/>
          <w:color w:val="auto"/>
          <w:sz w:val="21"/>
          <w:szCs w:val="21"/>
          <w:highlight w:val="none"/>
        </w:rPr>
        <w:t>32.履约保证金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_Toc2744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0"/>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"_Toc13694" </w:instrText>
      </w:r>
      <w:r>
        <w:rPr>
          <w:color w:val="auto"/>
          <w:highlight w:val="none"/>
        </w:rPr>
        <w:fldChar w:fldCharType="separate"/>
      </w:r>
      <w:r>
        <w:rPr>
          <w:rFonts w:hint="eastAsia" w:ascii="宋体" w:hAnsi="宋体" w:eastAsia="宋体" w:cs="宋体"/>
          <w:color w:val="auto"/>
          <w:highlight w:val="none"/>
        </w:rPr>
        <w:t>七、询问或质疑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_Toc13694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"_Toc25498" </w:instrText>
      </w:r>
      <w:r>
        <w:rPr>
          <w:color w:val="auto"/>
          <w:highlight w:val="none"/>
        </w:rPr>
        <w:fldChar w:fldCharType="separate"/>
      </w:r>
      <w:r>
        <w:rPr>
          <w:rFonts w:hint="eastAsia" w:ascii="宋体" w:hAnsi="宋体" w:eastAsia="宋体" w:cs="宋体"/>
          <w:color w:val="auto"/>
          <w:sz w:val="21"/>
          <w:szCs w:val="21"/>
          <w:highlight w:val="none"/>
        </w:rPr>
        <w:t>33.询问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_Toc25498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"_Toc8234" </w:instrText>
      </w:r>
      <w:r>
        <w:rPr>
          <w:color w:val="auto"/>
          <w:highlight w:val="none"/>
        </w:rPr>
        <w:fldChar w:fldCharType="separate"/>
      </w:r>
      <w:r>
        <w:rPr>
          <w:rFonts w:hint="eastAsia" w:ascii="宋体" w:hAnsi="宋体" w:eastAsia="宋体" w:cs="宋体"/>
          <w:color w:val="auto"/>
          <w:sz w:val="21"/>
          <w:szCs w:val="21"/>
          <w:highlight w:val="none"/>
        </w:rPr>
        <w:t>34.质疑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_Toc8234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0"/>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"_Toc24383" </w:instrText>
      </w:r>
      <w:r>
        <w:rPr>
          <w:color w:val="auto"/>
          <w:highlight w:val="none"/>
        </w:rPr>
        <w:fldChar w:fldCharType="separate"/>
      </w:r>
      <w:r>
        <w:rPr>
          <w:rFonts w:hint="eastAsia" w:ascii="宋体" w:hAnsi="宋体" w:eastAsia="宋体" w:cs="宋体"/>
          <w:color w:val="auto"/>
          <w:highlight w:val="none"/>
        </w:rPr>
        <w:t>八、其他</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_Toc24383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"_Toc10082" </w:instrText>
      </w:r>
      <w:r>
        <w:rPr>
          <w:color w:val="auto"/>
          <w:highlight w:val="none"/>
        </w:rPr>
        <w:fldChar w:fldCharType="separate"/>
      </w:r>
      <w:r>
        <w:rPr>
          <w:rFonts w:hint="eastAsia" w:ascii="宋体" w:hAnsi="宋体" w:eastAsia="宋体" w:cs="宋体"/>
          <w:color w:val="auto"/>
          <w:sz w:val="21"/>
          <w:szCs w:val="21"/>
          <w:highlight w:val="none"/>
        </w:rPr>
        <w:t>35.招标文件的解释权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_Toc10082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8"/>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"_Toc21448" </w:instrText>
      </w:r>
      <w:r>
        <w:rPr>
          <w:color w:val="auto"/>
          <w:highlight w:val="none"/>
        </w:rPr>
        <w:fldChar w:fldCharType="separate"/>
      </w:r>
      <w:r>
        <w:rPr>
          <w:rFonts w:hint="eastAsia" w:cs="宋体"/>
          <w:color w:val="auto"/>
          <w:sz w:val="21"/>
          <w:szCs w:val="21"/>
          <w:highlight w:val="none"/>
        </w:rPr>
        <w:t>第五部分 合同格式（仅供参考）</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_Toc21448 </w:instrText>
      </w:r>
      <w:r>
        <w:rPr>
          <w:rFonts w:hint="eastAsia" w:cs="宋体"/>
          <w:color w:val="auto"/>
          <w:sz w:val="21"/>
          <w:szCs w:val="21"/>
          <w:highlight w:val="none"/>
        </w:rPr>
        <w:fldChar w:fldCharType="separate"/>
      </w:r>
      <w:r>
        <w:rPr>
          <w:rFonts w:hint="eastAsia" w:cs="宋体"/>
          <w:color w:val="auto"/>
          <w:sz w:val="21"/>
          <w:szCs w:val="21"/>
          <w:highlight w:val="none"/>
        </w:rPr>
        <w:t>56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10"/>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"_Toc16730" </w:instrText>
      </w:r>
      <w:r>
        <w:rPr>
          <w:color w:val="auto"/>
          <w:highlight w:val="none"/>
        </w:rPr>
        <w:fldChar w:fldCharType="separate"/>
      </w:r>
      <w:r>
        <w:rPr>
          <w:rFonts w:hint="eastAsia" w:ascii="宋体" w:hAnsi="宋体" w:eastAsia="宋体" w:cs="宋体"/>
          <w:color w:val="auto"/>
          <w:highlight w:val="none"/>
        </w:rPr>
        <w:t>合同格式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_Toc16730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8"/>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"_Toc23749" </w:instrText>
      </w:r>
      <w:r>
        <w:rPr>
          <w:color w:val="auto"/>
          <w:highlight w:val="none"/>
        </w:rPr>
        <w:fldChar w:fldCharType="separate"/>
      </w:r>
      <w:r>
        <w:rPr>
          <w:rFonts w:hint="eastAsia" w:cs="宋体"/>
          <w:color w:val="auto"/>
          <w:sz w:val="21"/>
          <w:szCs w:val="21"/>
          <w:highlight w:val="none"/>
        </w:rPr>
        <w:t>第六部分  附件－投标文件格式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_Toc23749 </w:instrText>
      </w:r>
      <w:r>
        <w:rPr>
          <w:rFonts w:hint="eastAsia" w:cs="宋体"/>
          <w:color w:val="auto"/>
          <w:sz w:val="21"/>
          <w:szCs w:val="21"/>
          <w:highlight w:val="none"/>
        </w:rPr>
        <w:fldChar w:fldCharType="separate"/>
      </w:r>
      <w:r>
        <w:rPr>
          <w:rFonts w:hint="eastAsia" w:cs="宋体"/>
          <w:color w:val="auto"/>
          <w:sz w:val="21"/>
          <w:szCs w:val="21"/>
          <w:highlight w:val="none"/>
        </w:rPr>
        <w:t>59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"_Toc26830" </w:instrText>
      </w:r>
      <w:r>
        <w:rPr>
          <w:color w:val="auto"/>
          <w:highlight w:val="none"/>
        </w:rPr>
        <w:fldChar w:fldCharType="separate"/>
      </w:r>
      <w:r>
        <w:rPr>
          <w:rFonts w:hint="eastAsia" w:ascii="宋体" w:hAnsi="宋体" w:eastAsia="宋体" w:cs="宋体"/>
          <w:color w:val="auto"/>
          <w:sz w:val="21"/>
          <w:szCs w:val="21"/>
          <w:highlight w:val="none"/>
        </w:rPr>
        <w:t>附件1.投标文件目录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_Toc26830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"_Toc18893" </w:instrText>
      </w:r>
      <w:r>
        <w:rPr>
          <w:color w:val="auto"/>
          <w:highlight w:val="none"/>
        </w:rPr>
        <w:fldChar w:fldCharType="separate"/>
      </w:r>
      <w:r>
        <w:rPr>
          <w:rFonts w:hint="eastAsia" w:ascii="宋体" w:hAnsi="宋体" w:eastAsia="宋体" w:cs="宋体"/>
          <w:color w:val="auto"/>
          <w:sz w:val="21"/>
          <w:szCs w:val="21"/>
          <w:highlight w:val="none"/>
        </w:rPr>
        <w:t>附件1-1 评分标准索引表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_Toc18893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"_Toc30640" </w:instrText>
      </w:r>
      <w:r>
        <w:rPr>
          <w:color w:val="auto"/>
          <w:highlight w:val="none"/>
        </w:rPr>
        <w:fldChar w:fldCharType="separate"/>
      </w:r>
      <w:r>
        <w:rPr>
          <w:rFonts w:hint="eastAsia" w:ascii="宋体" w:hAnsi="宋体" w:eastAsia="宋体" w:cs="宋体"/>
          <w:color w:val="auto"/>
          <w:sz w:val="21"/>
          <w:szCs w:val="21"/>
          <w:highlight w:val="none"/>
        </w:rPr>
        <w:t>附件2.投标书格式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_Toc30640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"_Toc6866" </w:instrText>
      </w:r>
      <w:r>
        <w:rPr>
          <w:color w:val="auto"/>
          <w:highlight w:val="none"/>
        </w:rPr>
        <w:fldChar w:fldCharType="separate"/>
      </w:r>
      <w:r>
        <w:rPr>
          <w:rFonts w:hint="eastAsia" w:ascii="宋体" w:hAnsi="宋体" w:eastAsia="宋体" w:cs="宋体"/>
          <w:color w:val="auto"/>
          <w:sz w:val="21"/>
          <w:szCs w:val="21"/>
          <w:highlight w:val="none"/>
        </w:rPr>
        <w:t>附件3.开标一览表格式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_Toc6866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"_Toc3254" </w:instrText>
      </w:r>
      <w:r>
        <w:rPr>
          <w:color w:val="auto"/>
          <w:highlight w:val="none"/>
        </w:rPr>
        <w:fldChar w:fldCharType="separate"/>
      </w:r>
      <w:r>
        <w:rPr>
          <w:rFonts w:hint="eastAsia" w:ascii="宋体" w:hAnsi="宋体" w:eastAsia="宋体" w:cs="宋体"/>
          <w:color w:val="auto"/>
          <w:sz w:val="21"/>
          <w:szCs w:val="21"/>
          <w:highlight w:val="none"/>
        </w:rPr>
        <w:t>附件4.投标分项报价表格式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_Toc3254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"_Toc16412" </w:instrText>
      </w:r>
      <w:r>
        <w:rPr>
          <w:color w:val="auto"/>
          <w:highlight w:val="none"/>
        </w:rPr>
        <w:fldChar w:fldCharType="separate"/>
      </w:r>
      <w:r>
        <w:rPr>
          <w:rFonts w:hint="eastAsia" w:ascii="宋体" w:hAnsi="宋体" w:eastAsia="宋体" w:cs="宋体"/>
          <w:color w:val="auto"/>
          <w:sz w:val="21"/>
          <w:szCs w:val="21"/>
          <w:highlight w:val="none"/>
        </w:rPr>
        <w:t>附件5.法定代表人证明书格式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_Toc16412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"_Toc31205" </w:instrText>
      </w:r>
      <w:r>
        <w:rPr>
          <w:color w:val="auto"/>
          <w:highlight w:val="none"/>
        </w:rPr>
        <w:fldChar w:fldCharType="separate"/>
      </w:r>
      <w:r>
        <w:rPr>
          <w:rFonts w:hint="eastAsia" w:ascii="宋体" w:hAnsi="宋体" w:eastAsia="宋体" w:cs="宋体"/>
          <w:color w:val="auto"/>
          <w:sz w:val="21"/>
          <w:szCs w:val="21"/>
          <w:highlight w:val="none"/>
        </w:rPr>
        <w:t>附件6.法定代表人授权书格式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_Toc31205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"_Toc17164" </w:instrText>
      </w:r>
      <w:r>
        <w:rPr>
          <w:color w:val="auto"/>
          <w:highlight w:val="none"/>
        </w:rPr>
        <w:fldChar w:fldCharType="separate"/>
      </w:r>
      <w:r>
        <w:rPr>
          <w:rFonts w:hint="eastAsia" w:ascii="宋体" w:hAnsi="宋体" w:eastAsia="宋体" w:cs="宋体"/>
          <w:color w:val="auto"/>
          <w:sz w:val="21"/>
          <w:szCs w:val="21"/>
          <w:highlight w:val="none"/>
        </w:rPr>
        <w:t>附件7.资格申明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_Toc17164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"_Toc27839" </w:instrText>
      </w:r>
      <w:r>
        <w:rPr>
          <w:color w:val="auto"/>
          <w:highlight w:val="none"/>
        </w:rPr>
        <w:fldChar w:fldCharType="separate"/>
      </w:r>
      <w:r>
        <w:rPr>
          <w:rFonts w:hint="eastAsia" w:ascii="宋体" w:hAnsi="宋体" w:eastAsia="宋体" w:cs="宋体"/>
          <w:color w:val="auto"/>
          <w:sz w:val="21"/>
          <w:szCs w:val="21"/>
          <w:highlight w:val="none"/>
        </w:rPr>
        <w:t>附件8.营业执照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_Toc27839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"_Toc26141" </w:instrText>
      </w:r>
      <w:r>
        <w:rPr>
          <w:color w:val="auto"/>
          <w:highlight w:val="none"/>
        </w:rPr>
        <w:fldChar w:fldCharType="separate"/>
      </w:r>
      <w:r>
        <w:rPr>
          <w:rFonts w:hint="eastAsia" w:ascii="宋体" w:hAnsi="宋体" w:eastAsia="宋体" w:cs="宋体"/>
          <w:color w:val="auto"/>
          <w:sz w:val="21"/>
          <w:szCs w:val="21"/>
          <w:highlight w:val="none"/>
        </w:rPr>
        <w:t>附件9.相关资质证明文件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_Toc26141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"_Toc17618" </w:instrText>
      </w:r>
      <w:r>
        <w:rPr>
          <w:color w:val="auto"/>
          <w:highlight w:val="none"/>
        </w:rPr>
        <w:fldChar w:fldCharType="separate"/>
      </w:r>
      <w:r>
        <w:rPr>
          <w:rFonts w:hint="eastAsia" w:ascii="宋体" w:hAnsi="宋体" w:eastAsia="宋体" w:cs="宋体"/>
          <w:color w:val="auto"/>
          <w:sz w:val="21"/>
          <w:szCs w:val="21"/>
          <w:highlight w:val="none"/>
        </w:rPr>
        <w:t>附件10.商务条款偏离表格式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_Toc17618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"_Toc32183" </w:instrText>
      </w:r>
      <w:r>
        <w:rPr>
          <w:color w:val="auto"/>
          <w:highlight w:val="none"/>
        </w:rPr>
        <w:fldChar w:fldCharType="separate"/>
      </w:r>
      <w:r>
        <w:rPr>
          <w:rFonts w:hint="eastAsia" w:ascii="宋体" w:hAnsi="宋体" w:eastAsia="宋体" w:cs="宋体"/>
          <w:color w:val="auto"/>
          <w:sz w:val="21"/>
          <w:szCs w:val="21"/>
          <w:highlight w:val="none"/>
        </w:rPr>
        <w:t>附件11.技术规格偏离表格式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_Toc32183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"_Toc29613" </w:instrText>
      </w:r>
      <w:r>
        <w:rPr>
          <w:color w:val="auto"/>
          <w:highlight w:val="none"/>
        </w:rPr>
        <w:fldChar w:fldCharType="separate"/>
      </w:r>
      <w:r>
        <w:rPr>
          <w:rFonts w:hint="eastAsia" w:ascii="宋体" w:hAnsi="宋体" w:eastAsia="宋体" w:cs="宋体"/>
          <w:color w:val="auto"/>
          <w:sz w:val="21"/>
          <w:szCs w:val="21"/>
          <w:highlight w:val="none"/>
        </w:rPr>
        <w:t>附件12.重要技术参数（▲）响应表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_Toc29613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"_Toc27674" </w:instrText>
      </w:r>
      <w:r>
        <w:rPr>
          <w:color w:val="auto"/>
          <w:highlight w:val="none"/>
        </w:rPr>
        <w:fldChar w:fldCharType="separate"/>
      </w:r>
      <w:r>
        <w:rPr>
          <w:rFonts w:hint="eastAsia" w:ascii="宋体" w:hAnsi="宋体" w:eastAsia="宋体" w:cs="宋体"/>
          <w:color w:val="auto"/>
          <w:sz w:val="21"/>
          <w:szCs w:val="21"/>
          <w:highlight w:val="none"/>
        </w:rPr>
        <w:t>附件13.业绩表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_Toc27674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"_Toc7860" </w:instrText>
      </w:r>
      <w:r>
        <w:rPr>
          <w:color w:val="auto"/>
          <w:highlight w:val="none"/>
        </w:rPr>
        <w:fldChar w:fldCharType="separate"/>
      </w:r>
      <w:r>
        <w:rPr>
          <w:rFonts w:hint="eastAsia" w:ascii="宋体" w:hAnsi="宋体" w:eastAsia="宋体" w:cs="宋体"/>
          <w:color w:val="auto"/>
          <w:sz w:val="21"/>
          <w:szCs w:val="21"/>
          <w:highlight w:val="none"/>
        </w:rPr>
        <w:t>附件14.项目实施方案格式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_Toc7860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"_Toc8596" </w:instrText>
      </w:r>
      <w:r>
        <w:rPr>
          <w:color w:val="auto"/>
          <w:highlight w:val="none"/>
        </w:rPr>
        <w:fldChar w:fldCharType="separate"/>
      </w:r>
      <w:r>
        <w:rPr>
          <w:rFonts w:hint="eastAsia" w:ascii="宋体" w:hAnsi="宋体" w:eastAsia="宋体" w:cs="宋体"/>
          <w:color w:val="auto"/>
          <w:sz w:val="21"/>
          <w:szCs w:val="21"/>
          <w:highlight w:val="none"/>
        </w:rPr>
        <w:t>附件15.实施本项目的有关人员资料表格式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_Toc8596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"_Toc21598" </w:instrText>
      </w:r>
      <w:r>
        <w:rPr>
          <w:color w:val="auto"/>
          <w:highlight w:val="none"/>
        </w:rPr>
        <w:fldChar w:fldCharType="separate"/>
      </w:r>
      <w:r>
        <w:rPr>
          <w:rFonts w:hint="eastAsia" w:ascii="宋体" w:hAnsi="宋体" w:eastAsia="宋体" w:cs="宋体"/>
          <w:color w:val="auto"/>
          <w:sz w:val="21"/>
          <w:szCs w:val="21"/>
          <w:highlight w:val="none"/>
        </w:rPr>
        <w:t>附件16.投标货物说明一览表格式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_Toc21598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"_Toc10094" </w:instrText>
      </w:r>
      <w:r>
        <w:rPr>
          <w:color w:val="auto"/>
          <w:highlight w:val="none"/>
        </w:rPr>
        <w:fldChar w:fldCharType="separate"/>
      </w:r>
      <w:r>
        <w:rPr>
          <w:rFonts w:hint="eastAsia" w:ascii="宋体" w:hAnsi="宋体" w:eastAsia="宋体" w:cs="宋体"/>
          <w:color w:val="auto"/>
          <w:sz w:val="21"/>
          <w:szCs w:val="21"/>
          <w:highlight w:val="none"/>
        </w:rPr>
        <w:t>附件17.在经营活动中没有重大违法记录的书面声明格式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_Toc10094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"_Toc21223" </w:instrText>
      </w:r>
      <w:r>
        <w:rPr>
          <w:color w:val="auto"/>
          <w:highlight w:val="none"/>
        </w:rPr>
        <w:fldChar w:fldCharType="separate"/>
      </w:r>
      <w:r>
        <w:rPr>
          <w:rFonts w:hint="eastAsia" w:ascii="宋体" w:hAnsi="宋体" w:eastAsia="宋体" w:cs="宋体"/>
          <w:color w:val="auto"/>
          <w:sz w:val="21"/>
          <w:szCs w:val="21"/>
          <w:highlight w:val="none"/>
        </w:rPr>
        <w:t>附件18.中小企业声明函（投标人为中小企业时适用）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_Toc21223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"_Toc28081" </w:instrText>
      </w:r>
      <w:r>
        <w:rPr>
          <w:color w:val="auto"/>
          <w:highlight w:val="none"/>
        </w:rPr>
        <w:fldChar w:fldCharType="separate"/>
      </w:r>
      <w:r>
        <w:rPr>
          <w:rFonts w:hint="eastAsia" w:ascii="宋体" w:hAnsi="宋体" w:eastAsia="宋体" w:cs="宋体"/>
          <w:color w:val="auto"/>
          <w:sz w:val="21"/>
          <w:szCs w:val="21"/>
          <w:highlight w:val="none"/>
        </w:rPr>
        <w:t>附件19.《残疾人福利性单位声明函》（残疾人福利性单位适用）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_Toc28081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"_Toc25634" </w:instrText>
      </w:r>
      <w:r>
        <w:rPr>
          <w:color w:val="auto"/>
          <w:highlight w:val="none"/>
        </w:rPr>
        <w:fldChar w:fldCharType="separate"/>
      </w:r>
      <w:r>
        <w:rPr>
          <w:rFonts w:hint="eastAsia" w:ascii="宋体" w:hAnsi="宋体" w:eastAsia="宋体" w:cs="宋体"/>
          <w:color w:val="auto"/>
          <w:sz w:val="21"/>
          <w:szCs w:val="21"/>
          <w:highlight w:val="none"/>
        </w:rPr>
        <w:t>附件20.投标保证金汇入情况说明格式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_Toc25634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"_Toc4363" </w:instrText>
      </w:r>
      <w:r>
        <w:rPr>
          <w:color w:val="auto"/>
          <w:highlight w:val="none"/>
        </w:rPr>
        <w:fldChar w:fldCharType="separate"/>
      </w:r>
      <w:r>
        <w:rPr>
          <w:rFonts w:hint="eastAsia" w:ascii="宋体" w:hAnsi="宋体" w:eastAsia="宋体" w:cs="宋体"/>
          <w:color w:val="auto"/>
          <w:sz w:val="21"/>
          <w:szCs w:val="21"/>
          <w:highlight w:val="none"/>
        </w:rPr>
        <w:t>附件21.政府采购投标担保函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_Toc4363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"_Toc27534" </w:instrText>
      </w:r>
      <w:r>
        <w:rPr>
          <w:color w:val="auto"/>
          <w:highlight w:val="none"/>
        </w:rPr>
        <w:fldChar w:fldCharType="separate"/>
      </w:r>
      <w:r>
        <w:rPr>
          <w:rFonts w:hint="eastAsia" w:ascii="宋体" w:hAnsi="宋体" w:eastAsia="宋体" w:cs="宋体"/>
          <w:color w:val="auto"/>
          <w:sz w:val="21"/>
          <w:szCs w:val="21"/>
          <w:highlight w:val="none"/>
        </w:rPr>
        <w:t>附件22.政府采购履约担保函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_Toc27534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"_Toc17023" </w:instrText>
      </w:r>
      <w:r>
        <w:rPr>
          <w:color w:val="auto"/>
          <w:highlight w:val="none"/>
        </w:rPr>
        <w:fldChar w:fldCharType="separate"/>
      </w:r>
      <w:r>
        <w:rPr>
          <w:rFonts w:hint="eastAsia" w:ascii="宋体" w:hAnsi="宋体" w:eastAsia="宋体" w:cs="宋体"/>
          <w:color w:val="auto"/>
          <w:sz w:val="21"/>
          <w:szCs w:val="21"/>
          <w:highlight w:val="none"/>
        </w:rPr>
        <w:t>附件23.获取招标文件登记表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_Toc17023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"_Toc11182" </w:instrText>
      </w:r>
      <w:r>
        <w:rPr>
          <w:color w:val="auto"/>
          <w:highlight w:val="none"/>
        </w:rPr>
        <w:fldChar w:fldCharType="separate"/>
      </w:r>
      <w:r>
        <w:rPr>
          <w:rFonts w:hint="eastAsia" w:ascii="宋体" w:hAnsi="宋体" w:eastAsia="宋体" w:cs="宋体"/>
          <w:color w:val="auto"/>
          <w:sz w:val="21"/>
          <w:szCs w:val="21"/>
          <w:highlight w:val="none"/>
        </w:rPr>
        <w:t>附件24.质疑函范本</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_Toc11182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jc w:val="both"/>
        <w:rPr>
          <w:rFonts w:cs="宋体"/>
          <w:color w:val="auto"/>
          <w:szCs w:val="21"/>
          <w:highlight w:val="none"/>
        </w:rPr>
      </w:pPr>
      <w:r>
        <w:rPr>
          <w:rFonts w:hint="eastAsia" w:ascii="宋体" w:hAnsi="宋体" w:eastAsia="宋体" w:cs="宋体"/>
          <w:color w:val="auto"/>
          <w:sz w:val="21"/>
          <w:szCs w:val="21"/>
          <w:highlight w:val="none"/>
        </w:rPr>
        <w:fldChar w:fldCharType="end"/>
      </w:r>
    </w:p>
    <w:p>
      <w:pP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3"/>
        <w:spacing w:before="0" w:after="0" w:line="240" w:lineRule="auto"/>
        <w:rPr>
          <w:color w:val="auto"/>
          <w:sz w:val="28"/>
          <w:szCs w:val="28"/>
          <w:highlight w:val="none"/>
        </w:rPr>
      </w:pPr>
      <w:r>
        <w:rPr>
          <w:rFonts w:hint="eastAsia"/>
          <w:color w:val="auto"/>
          <w:sz w:val="28"/>
          <w:szCs w:val="28"/>
          <w:highlight w:val="none"/>
        </w:rPr>
        <w:t>第一部分 投标邀请</w:t>
      </w:r>
    </w:p>
    <w:p>
      <w:pPr>
        <w:pStyle w:val="4"/>
        <w:spacing w:before="0" w:after="0" w:line="360" w:lineRule="auto"/>
        <w:jc w:val="center"/>
        <w:rPr>
          <w:rFonts w:ascii="宋体" w:hAnsi="宋体" w:eastAsia="宋体" w:cs="宋体"/>
          <w:color w:val="auto"/>
          <w:highlight w:val="none"/>
        </w:rPr>
      </w:pPr>
      <w:bookmarkStart w:id="0" w:name="_Toc1420"/>
      <w:r>
        <w:rPr>
          <w:rFonts w:hint="eastAsia" w:ascii="宋体" w:hAnsi="宋体" w:eastAsia="宋体" w:cs="宋体"/>
          <w:color w:val="auto"/>
          <w:highlight w:val="none"/>
        </w:rPr>
        <w:t>投标邀请书</w:t>
      </w:r>
      <w:bookmarkEnd w:id="0"/>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广东政通招标有限公司</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）受</w:t>
      </w:r>
      <w:r>
        <w:rPr>
          <w:rFonts w:ascii="宋体" w:hAnsi="宋体" w:eastAsia="宋体"/>
          <w:b/>
          <w:bCs/>
          <w:color w:val="auto"/>
          <w:sz w:val="21"/>
          <w:szCs w:val="21"/>
          <w:highlight w:val="none"/>
          <w:u w:val="single"/>
        </w:rPr>
        <w:t>东莞市横沥中学</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）委托，</w:t>
      </w:r>
      <w:r>
        <w:rPr>
          <w:rFonts w:hint="eastAsia" w:ascii="宋体" w:hAnsi="宋体" w:eastAsia="宋体"/>
          <w:color w:val="auto"/>
          <w:sz w:val="21"/>
          <w:szCs w:val="21"/>
          <w:highlight w:val="none"/>
        </w:rPr>
        <w:t>现</w:t>
      </w:r>
      <w:r>
        <w:rPr>
          <w:rFonts w:ascii="宋体" w:hAnsi="宋体" w:eastAsia="宋体"/>
          <w:color w:val="auto"/>
          <w:sz w:val="21"/>
          <w:szCs w:val="21"/>
          <w:highlight w:val="none"/>
        </w:rPr>
        <w:t>就</w:t>
      </w:r>
      <w:r>
        <w:rPr>
          <w:rFonts w:hint="eastAsia" w:ascii="宋体" w:hAnsi="宋体"/>
          <w:b/>
          <w:color w:val="auto"/>
          <w:sz w:val="21"/>
          <w:szCs w:val="21"/>
          <w:highlight w:val="none"/>
          <w:u w:val="single"/>
          <w:lang w:eastAsia="zh-CN"/>
        </w:rPr>
        <w:t>2021年东莞市横沥中学四间电脑室改造及教室电子班牌建设项目</w:t>
      </w:r>
      <w:r>
        <w:rPr>
          <w:rFonts w:hint="eastAsia" w:ascii="宋体" w:hAnsi="宋体" w:eastAsia="宋体"/>
          <w:color w:val="auto"/>
          <w:sz w:val="21"/>
          <w:szCs w:val="21"/>
          <w:highlight w:val="none"/>
        </w:rPr>
        <w:t>（采购项目编号</w:t>
      </w:r>
      <w:r>
        <w:rPr>
          <w:rFonts w:hint="eastAsia" w:ascii="宋体" w:hAnsi="宋体"/>
          <w:color w:val="auto"/>
          <w:sz w:val="21"/>
          <w:szCs w:val="21"/>
          <w:highlight w:val="none"/>
          <w:lang w:eastAsia="zh-CN"/>
        </w:rPr>
        <w:t>：</w:t>
      </w:r>
      <w:r>
        <w:rPr>
          <w:rFonts w:hint="eastAsia" w:ascii="宋体" w:hAnsi="宋体" w:eastAsia="宋体"/>
          <w:b/>
          <w:bCs/>
          <w:color w:val="auto"/>
          <w:sz w:val="21"/>
          <w:szCs w:val="21"/>
          <w:highlight w:val="none"/>
          <w:u w:val="single"/>
        </w:rPr>
        <w:t>441900014-2021-00465</w:t>
      </w:r>
      <w:r>
        <w:rPr>
          <w:rFonts w:hint="eastAsia" w:ascii="宋体" w:hAnsi="宋体" w:eastAsia="宋体"/>
          <w:color w:val="auto"/>
          <w:sz w:val="21"/>
          <w:szCs w:val="21"/>
          <w:highlight w:val="none"/>
        </w:rPr>
        <w:t>）</w:t>
      </w:r>
      <w:r>
        <w:rPr>
          <w:rFonts w:hint="eastAsia" w:ascii="宋体" w:hAnsi="宋体" w:eastAsia="宋体" w:cs="Times New Roman"/>
          <w:color w:val="auto"/>
          <w:sz w:val="21"/>
          <w:szCs w:val="21"/>
          <w:highlight w:val="none"/>
        </w:rPr>
        <w:t>进行国内公开招标采购</w:t>
      </w:r>
      <w:r>
        <w:rPr>
          <w:rFonts w:hint="eastAsia" w:ascii="宋体" w:hAnsi="宋体" w:eastAsia="宋体"/>
          <w:color w:val="auto"/>
          <w:sz w:val="21"/>
          <w:szCs w:val="21"/>
          <w:highlight w:val="none"/>
        </w:rPr>
        <w:t>，欢迎符合招标文件要求的国内投标人参加投标</w:t>
      </w:r>
      <w:r>
        <w:rPr>
          <w:rFonts w:ascii="宋体" w:hAnsi="宋体" w:eastAsia="宋体"/>
          <w:color w:val="auto"/>
          <w:sz w:val="21"/>
          <w:szCs w:val="21"/>
          <w:highlight w:val="none"/>
        </w:rPr>
        <w:t>。有关事项如下：</w:t>
      </w:r>
    </w:p>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一、招标项目的名称、用途、简要技术要求或者招标项目的性质</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1、项目内容：</w:t>
      </w:r>
      <w:r>
        <w:rPr>
          <w:rFonts w:hint="eastAsia" w:ascii="宋体" w:hAnsi="宋体"/>
          <w:b/>
          <w:color w:val="auto"/>
          <w:sz w:val="21"/>
          <w:szCs w:val="21"/>
          <w:highlight w:val="none"/>
          <w:u w:val="single"/>
          <w:lang w:eastAsia="zh-CN"/>
        </w:rPr>
        <w:t>2021年东莞市横沥中学四间电脑室改造及教室电子班牌建设项目</w:t>
      </w:r>
      <w:r>
        <w:rPr>
          <w:rFonts w:hint="eastAsia" w:ascii="宋体" w:hAnsi="宋体" w:eastAsia="宋体"/>
          <w:color w:val="auto"/>
          <w:sz w:val="21"/>
          <w:szCs w:val="21"/>
          <w:highlight w:val="none"/>
        </w:rPr>
        <w:t>采购一项，预算：</w:t>
      </w:r>
      <w:r>
        <w:rPr>
          <w:rFonts w:hint="eastAsia" w:ascii="宋体" w:hAnsi="宋体"/>
          <w:b/>
          <w:color w:val="auto"/>
          <w:sz w:val="21"/>
          <w:szCs w:val="21"/>
          <w:highlight w:val="none"/>
          <w:u w:val="single"/>
          <w:lang w:val="en-US" w:eastAsia="zh-CN"/>
        </w:rPr>
        <w:t>1,935,186.00</w:t>
      </w:r>
      <w:r>
        <w:rPr>
          <w:rFonts w:hint="eastAsia" w:ascii="宋体" w:hAnsi="宋体" w:eastAsia="宋体"/>
          <w:color w:val="auto"/>
          <w:sz w:val="21"/>
          <w:szCs w:val="21"/>
          <w:highlight w:val="none"/>
        </w:rPr>
        <w:t>元。</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2、简要技术要求或招标项目的性质：详细内容请参阅招标文件第三部分《用户需求书》。</w:t>
      </w:r>
    </w:p>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二、投标人资格要求</w:t>
      </w:r>
    </w:p>
    <w:p>
      <w:pPr>
        <w:spacing w:after="0" w:line="360" w:lineRule="auto"/>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1、一般要求：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（1）须符合《中华人民共和国政府采购法》第二十二条规定（需提供书面承诺）；</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（2）参加采购活动前三年内，在经营活动中没有重大违法记录（须提供书面声明）；</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3）本项目不接受联合体投标；投标人的单位负责人为同一人或者存在直接控股、管理关系的不同投标人，不得参加同一合同项下的政府采购活动。为本项目提供整体设计、规范编制或者项目管理、监理、检测等服务的投标人，不得参加本采购项目的采购活动；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截止日当天在“信用中国”网站及中国政府采购网查询结果为准，如相关失信记录已失效，投标人需提供相关证明资料。</w:t>
      </w:r>
    </w:p>
    <w:p>
      <w:pPr>
        <w:spacing w:after="0" w:line="360" w:lineRule="auto"/>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2、特殊要求：</w:t>
      </w:r>
    </w:p>
    <w:p>
      <w:pPr>
        <w:spacing w:after="0" w:line="360" w:lineRule="auto"/>
        <w:ind w:firstLine="411" w:firstLineChars="196"/>
        <w:rPr>
          <w:rFonts w:hint="eastAsia" w:ascii="宋体" w:hAnsi="宋体" w:eastAsia="宋体"/>
          <w:b/>
          <w:color w:val="auto"/>
          <w:sz w:val="21"/>
          <w:szCs w:val="21"/>
          <w:highlight w:val="none"/>
          <w:lang w:eastAsia="zh-CN"/>
        </w:rPr>
      </w:pPr>
      <w:r>
        <w:rPr>
          <w:rFonts w:hint="eastAsia" w:ascii="宋体" w:hAnsi="宋体"/>
          <w:color w:val="auto"/>
          <w:sz w:val="21"/>
          <w:szCs w:val="21"/>
          <w:highlight w:val="none"/>
          <w:lang w:val="en-US" w:eastAsia="zh-CN"/>
        </w:rPr>
        <w:t>无</w:t>
      </w: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三、项目公示时间、招标文件领购时间、地点、方式</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1、项目公示时间：202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color w:val="auto"/>
          <w:sz w:val="21"/>
          <w:szCs w:val="21"/>
          <w:highlight w:val="none"/>
          <w:lang w:val="en-US" w:eastAsia="zh-CN"/>
        </w:rPr>
        <w:t>06</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01</w:t>
      </w:r>
      <w:r>
        <w:rPr>
          <w:rFonts w:hint="eastAsia" w:ascii="宋体" w:hAnsi="宋体" w:eastAsia="宋体"/>
          <w:color w:val="auto"/>
          <w:sz w:val="21"/>
          <w:szCs w:val="21"/>
          <w:highlight w:val="none"/>
        </w:rPr>
        <w:t>日起至202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color w:val="auto"/>
          <w:sz w:val="21"/>
          <w:szCs w:val="21"/>
          <w:highlight w:val="none"/>
          <w:lang w:val="en-US" w:eastAsia="zh-CN"/>
        </w:rPr>
        <w:t>06</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08</w:t>
      </w:r>
      <w:r>
        <w:rPr>
          <w:rFonts w:hint="eastAsia" w:ascii="宋体" w:hAnsi="宋体" w:eastAsia="宋体"/>
          <w:color w:val="auto"/>
          <w:sz w:val="21"/>
          <w:szCs w:val="21"/>
          <w:highlight w:val="none"/>
        </w:rPr>
        <w:t>日。</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2、招标文件领购</w:t>
      </w:r>
      <w:r>
        <w:rPr>
          <w:rFonts w:ascii="宋体" w:hAnsi="宋体" w:eastAsia="宋体"/>
          <w:color w:val="auto"/>
          <w:sz w:val="21"/>
          <w:szCs w:val="21"/>
          <w:highlight w:val="none"/>
        </w:rPr>
        <w:t>时间：</w:t>
      </w:r>
      <w:r>
        <w:rPr>
          <w:rFonts w:hint="eastAsia" w:ascii="宋体" w:hAnsi="宋体" w:eastAsia="宋体"/>
          <w:color w:val="auto"/>
          <w:sz w:val="21"/>
          <w:szCs w:val="21"/>
          <w:highlight w:val="none"/>
        </w:rPr>
        <w:t>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color w:val="auto"/>
          <w:sz w:val="21"/>
          <w:szCs w:val="21"/>
          <w:highlight w:val="none"/>
          <w:lang w:val="en-US" w:eastAsia="zh-CN"/>
        </w:rPr>
        <w:t>06</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01</w:t>
      </w:r>
      <w:r>
        <w:rPr>
          <w:rFonts w:hint="eastAsia" w:ascii="宋体" w:hAnsi="宋体" w:eastAsia="宋体"/>
          <w:color w:val="auto"/>
          <w:sz w:val="21"/>
          <w:szCs w:val="21"/>
          <w:highlight w:val="none"/>
        </w:rPr>
        <w:t>日起至202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color w:val="auto"/>
          <w:sz w:val="21"/>
          <w:szCs w:val="21"/>
          <w:highlight w:val="none"/>
          <w:lang w:val="en-US" w:eastAsia="zh-CN"/>
        </w:rPr>
        <w:t>06</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08</w:t>
      </w:r>
      <w:r>
        <w:rPr>
          <w:rFonts w:hint="eastAsia" w:ascii="宋体" w:hAnsi="宋体" w:eastAsia="宋体"/>
          <w:color w:val="auto"/>
          <w:sz w:val="21"/>
          <w:szCs w:val="21"/>
          <w:highlight w:val="none"/>
        </w:rPr>
        <w:t xml:space="preserve">日（节假日除外），上午9：00～12：00，下午14：30～17：30（北京时间）。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注：（1）投标人可自行打印招标文件中的“附件23 获取招标文件登记表”进行填写并带到现场进行领购，并现场领取发票。（招标文件领购价：人民币150元整）</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（2）现场支持现金支付、微信支付、支付宝支付等支付方式，请将相应表格交予我司</w:t>
      </w:r>
      <w:r>
        <w:rPr>
          <w:rFonts w:hint="eastAsia" w:ascii="宋体" w:hAnsi="宋体" w:eastAsia="宋体"/>
          <w:color w:val="auto"/>
          <w:sz w:val="21"/>
          <w:szCs w:val="21"/>
          <w:highlight w:val="none"/>
          <w:lang w:val="en-US" w:eastAsia="zh-CN"/>
        </w:rPr>
        <w:t>简小姐</w:t>
      </w:r>
      <w:r>
        <w:rPr>
          <w:rFonts w:hint="eastAsia" w:ascii="宋体" w:hAnsi="宋体" w:eastAsia="宋体"/>
          <w:color w:val="auto"/>
          <w:sz w:val="21"/>
          <w:szCs w:val="21"/>
          <w:highlight w:val="none"/>
        </w:rPr>
        <w:t>。</w:t>
      </w:r>
    </w:p>
    <w:p>
      <w:pPr>
        <w:spacing w:after="0" w:line="360" w:lineRule="auto"/>
        <w:ind w:firstLine="420" w:firstLineChars="200"/>
        <w:rPr>
          <w:color w:val="auto"/>
          <w:highlight w:val="none"/>
        </w:rPr>
      </w:pPr>
      <w:r>
        <w:rPr>
          <w:rFonts w:hint="eastAsia" w:ascii="宋体" w:hAnsi="宋体" w:eastAsia="宋体"/>
          <w:color w:val="auto"/>
          <w:sz w:val="21"/>
          <w:szCs w:val="21"/>
          <w:highlight w:val="none"/>
        </w:rPr>
        <w:t>（3）招标文件电子版可在广东省政府采购网（https://gdgpo.czt.gd.gov.cn/）相关招标信息公告下自行下载。</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3、招标文件领购地点：东莞市南城街道鸿福西路81号国际商会大厦</w:t>
      </w:r>
      <w:r>
        <w:rPr>
          <w:rFonts w:hint="eastAsia" w:ascii="宋体" w:hAnsi="宋体" w:eastAsia="宋体"/>
          <w:color w:val="auto"/>
          <w:sz w:val="21"/>
          <w:szCs w:val="21"/>
          <w:highlight w:val="none"/>
          <w:lang w:eastAsia="zh-CN"/>
        </w:rPr>
        <w:t>1</w:t>
      </w:r>
      <w:r>
        <w:rPr>
          <w:rFonts w:hint="eastAsia" w:ascii="宋体" w:hAnsi="宋体" w:eastAsia="宋体"/>
          <w:color w:val="auto"/>
          <w:sz w:val="21"/>
          <w:szCs w:val="21"/>
          <w:highlight w:val="none"/>
          <w:lang w:val="en-US" w:eastAsia="zh-CN"/>
        </w:rPr>
        <w:t>3A</w:t>
      </w:r>
      <w:r>
        <w:rPr>
          <w:rFonts w:hint="eastAsia" w:ascii="宋体" w:hAnsi="宋体" w:eastAsia="宋体"/>
          <w:color w:val="auto"/>
          <w:sz w:val="21"/>
          <w:szCs w:val="21"/>
          <w:highlight w:val="none"/>
          <w:lang w:eastAsia="zh-CN"/>
        </w:rPr>
        <w:t>01</w:t>
      </w:r>
      <w:r>
        <w:rPr>
          <w:rFonts w:hint="eastAsia" w:ascii="宋体" w:hAnsi="宋体" w:eastAsia="宋体"/>
          <w:color w:val="auto"/>
          <w:sz w:val="21"/>
          <w:szCs w:val="21"/>
          <w:highlight w:val="none"/>
        </w:rPr>
        <w:t>室。</w:t>
      </w:r>
    </w:p>
    <w:p>
      <w:pPr>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联系人：</w:t>
      </w:r>
      <w:r>
        <w:rPr>
          <w:rFonts w:hint="eastAsia" w:ascii="宋体" w:hAnsi="宋体" w:eastAsia="宋体"/>
          <w:color w:val="auto"/>
          <w:sz w:val="21"/>
          <w:szCs w:val="21"/>
          <w:highlight w:val="none"/>
          <w:lang w:eastAsia="zh-CN"/>
        </w:rPr>
        <w:t>简海欣</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w:t>
      </w:r>
      <w:r>
        <w:rPr>
          <w:rFonts w:hint="eastAsia" w:ascii="宋体" w:hAnsi="宋体" w:eastAsia="宋体"/>
          <w:color w:val="auto"/>
          <w:sz w:val="21"/>
          <w:szCs w:val="21"/>
          <w:highlight w:val="none"/>
          <w:lang w:eastAsia="zh-CN"/>
        </w:rPr>
        <w:t>0769-22881803</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4、招标文件领购方式：现场领购。</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人在领购招标文件时须提供如下证明材料：《营业执照》复印件（加盖公章）或《事业单位法人证书》复印件（加盖公章）或其他主体证书复印件（加盖公章），自然人参加投标须提供自然人的身份证明材料；</w:t>
      </w:r>
    </w:p>
    <w:p>
      <w:pPr>
        <w:pStyle w:val="9"/>
        <w:keepNext w:val="0"/>
        <w:keepLines w:val="0"/>
        <w:pageBreakBefore w:val="0"/>
        <w:widowControl/>
        <w:kinsoku/>
        <w:wordWrap/>
        <w:overflowPunct/>
        <w:topLinePunct w:val="0"/>
        <w:autoSpaceDE/>
        <w:autoSpaceDN/>
        <w:bidi w:val="0"/>
        <w:adjustRightInd w:val="0"/>
        <w:snapToGrid w:val="0"/>
        <w:spacing w:before="0" w:after="0" w:line="360" w:lineRule="auto"/>
        <w:ind w:left="0"/>
        <w:textAlignment w:val="auto"/>
        <w:rPr>
          <w:color w:val="auto"/>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四、其他事宜</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凡参与本项目政府采购活动的供应商需访问并登录广东省政府采购网的广东政府采购智慧云平台（https://gdgpo.czt.gd.gov.cn/）进行注册建档入库，投标供应商在使用过程中遇到涉及系统使用的任何问题，可致电云平台技术支持热线400-183-2999进行咨询。</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2、需要落实的政府采购政策：《政府采购促进中小企业发展管理办法》（财库〔2020〕46 号）、《关于政府采购支持监狱企业发展有关问题的通知》(财库〔2014〕68 号)、《关于促进残疾人就业政府采购政策的通知》（财库〔2017〕141 号)、《关于环境标志产品政府采购实施的意见》（财库〔2006〕90 号、《节能产品政府采购实施意见》的通知（财库〔2004〕185 号）、《关于调整优化节能产品、环境标志产品政府采购执行机制的通知》（粤财采购[2019]9 号）、《关于运用政府采购政策支持脱贫攻坚的通知》（财库[2019]27 号）、《关于印发&lt;商品包装政府采购需求标准（试行）&gt;、 &lt;快递包装政府采购需求标准（试行）&gt;的通知》（财办库〔2020〕123 号）等。</w:t>
      </w:r>
    </w:p>
    <w:p>
      <w:pPr>
        <w:spacing w:after="0" w:line="360" w:lineRule="auto"/>
        <w:ind w:firstLine="411" w:firstLineChars="196"/>
        <w:rPr>
          <w:rFonts w:ascii="宋体" w:hAnsi="宋体" w:eastAsia="宋体"/>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lang w:val="en-US" w:eastAsia="zh-CN"/>
        </w:rPr>
        <w:t>五</w:t>
      </w:r>
      <w:r>
        <w:rPr>
          <w:rFonts w:hint="eastAsia" w:ascii="宋体" w:hAnsi="宋体" w:eastAsia="宋体"/>
          <w:b/>
          <w:color w:val="auto"/>
          <w:sz w:val="21"/>
          <w:szCs w:val="21"/>
          <w:highlight w:val="none"/>
        </w:rPr>
        <w:t>、投标截止时间、开标时间及地点</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1、递交投标文件时间：202</w:t>
      </w:r>
      <w:r>
        <w:rPr>
          <w:rFonts w:hint="eastAsia" w:ascii="宋体" w:hAnsi="宋体" w:eastAsia="宋体"/>
          <w:bCs/>
          <w:color w:val="auto"/>
          <w:sz w:val="21"/>
          <w:szCs w:val="21"/>
          <w:highlight w:val="none"/>
          <w:lang w:val="en-US" w:eastAsia="zh-CN"/>
        </w:rPr>
        <w:t>1</w:t>
      </w:r>
      <w:r>
        <w:rPr>
          <w:rFonts w:hint="eastAsia" w:ascii="宋体" w:hAnsi="宋体" w:eastAsia="宋体"/>
          <w:bCs/>
          <w:color w:val="auto"/>
          <w:sz w:val="21"/>
          <w:szCs w:val="21"/>
          <w:highlight w:val="none"/>
        </w:rPr>
        <w:t>年</w:t>
      </w:r>
      <w:r>
        <w:rPr>
          <w:rFonts w:hint="eastAsia" w:ascii="宋体" w:hAnsi="宋体"/>
          <w:bCs/>
          <w:color w:val="auto"/>
          <w:sz w:val="21"/>
          <w:szCs w:val="21"/>
          <w:highlight w:val="none"/>
          <w:lang w:val="en-US" w:eastAsia="zh-CN"/>
        </w:rPr>
        <w:t>06</w:t>
      </w:r>
      <w:r>
        <w:rPr>
          <w:rFonts w:hint="eastAsia" w:ascii="宋体" w:hAnsi="宋体" w:eastAsia="宋体"/>
          <w:bCs/>
          <w:color w:val="auto"/>
          <w:sz w:val="21"/>
          <w:szCs w:val="21"/>
          <w:highlight w:val="none"/>
        </w:rPr>
        <w:t>月</w:t>
      </w:r>
      <w:r>
        <w:rPr>
          <w:rFonts w:hint="eastAsia" w:ascii="宋体" w:hAnsi="宋体"/>
          <w:bCs/>
          <w:color w:val="auto"/>
          <w:sz w:val="21"/>
          <w:szCs w:val="21"/>
          <w:highlight w:val="none"/>
          <w:lang w:val="en-US" w:eastAsia="zh-CN"/>
        </w:rPr>
        <w:t>22</w:t>
      </w:r>
      <w:r>
        <w:rPr>
          <w:rFonts w:hint="eastAsia" w:ascii="宋体" w:hAnsi="宋体" w:eastAsia="宋体"/>
          <w:bCs/>
          <w:color w:val="auto"/>
          <w:sz w:val="21"/>
          <w:szCs w:val="21"/>
          <w:highlight w:val="none"/>
        </w:rPr>
        <w:t>日</w:t>
      </w:r>
      <w:r>
        <w:rPr>
          <w:rFonts w:hint="eastAsia" w:ascii="宋体" w:hAnsi="宋体"/>
          <w:bCs/>
          <w:color w:val="auto"/>
          <w:sz w:val="21"/>
          <w:szCs w:val="21"/>
          <w:highlight w:val="none"/>
          <w:lang w:val="en-US" w:eastAsia="zh-CN"/>
        </w:rPr>
        <w:t>下</w:t>
      </w:r>
      <w:r>
        <w:rPr>
          <w:rFonts w:hint="eastAsia" w:ascii="宋体" w:hAnsi="宋体" w:eastAsia="宋体"/>
          <w:bCs/>
          <w:color w:val="auto"/>
          <w:sz w:val="21"/>
          <w:szCs w:val="21"/>
          <w:highlight w:val="none"/>
        </w:rPr>
        <w:t>午</w:t>
      </w:r>
      <w:r>
        <w:rPr>
          <w:rFonts w:hint="eastAsia" w:ascii="宋体" w:hAnsi="宋体"/>
          <w:bCs/>
          <w:color w:val="auto"/>
          <w:sz w:val="21"/>
          <w:szCs w:val="21"/>
          <w:highlight w:val="none"/>
          <w:lang w:val="en-US" w:eastAsia="zh-CN"/>
        </w:rPr>
        <w:t>14</w:t>
      </w:r>
      <w:r>
        <w:rPr>
          <w:rFonts w:hint="eastAsia" w:ascii="宋体" w:hAnsi="宋体" w:eastAsia="宋体"/>
          <w:bCs/>
          <w:color w:val="auto"/>
          <w:sz w:val="21"/>
          <w:szCs w:val="21"/>
          <w:highlight w:val="none"/>
        </w:rPr>
        <w:t>：00～</w:t>
      </w:r>
      <w:r>
        <w:rPr>
          <w:rFonts w:hint="eastAsia" w:ascii="宋体" w:hAnsi="宋体"/>
          <w:bCs/>
          <w:color w:val="auto"/>
          <w:sz w:val="21"/>
          <w:szCs w:val="21"/>
          <w:highlight w:val="none"/>
          <w:lang w:val="en-US" w:eastAsia="zh-CN"/>
        </w:rPr>
        <w:t>14</w:t>
      </w:r>
      <w:r>
        <w:rPr>
          <w:rFonts w:hint="eastAsia" w:ascii="宋体" w:hAnsi="宋体" w:eastAsia="宋体"/>
          <w:bCs/>
          <w:color w:val="auto"/>
          <w:sz w:val="21"/>
          <w:szCs w:val="21"/>
          <w:highlight w:val="none"/>
        </w:rPr>
        <w:t>：30。</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2、</w:t>
      </w:r>
      <w:r>
        <w:rPr>
          <w:rFonts w:ascii="宋体" w:hAnsi="宋体" w:eastAsia="宋体"/>
          <w:bCs/>
          <w:color w:val="auto"/>
          <w:sz w:val="21"/>
          <w:szCs w:val="21"/>
          <w:highlight w:val="none"/>
        </w:rPr>
        <w:t>投标截止</w:t>
      </w:r>
      <w:r>
        <w:rPr>
          <w:rFonts w:hint="eastAsia" w:ascii="宋体" w:hAnsi="宋体" w:eastAsia="宋体"/>
          <w:bCs/>
          <w:color w:val="auto"/>
          <w:sz w:val="21"/>
          <w:szCs w:val="21"/>
          <w:highlight w:val="none"/>
        </w:rPr>
        <w:t>及开标时间：202</w:t>
      </w:r>
      <w:r>
        <w:rPr>
          <w:rFonts w:hint="eastAsia" w:ascii="宋体" w:hAnsi="宋体" w:eastAsia="宋体"/>
          <w:bCs/>
          <w:color w:val="auto"/>
          <w:sz w:val="21"/>
          <w:szCs w:val="21"/>
          <w:highlight w:val="none"/>
          <w:lang w:val="en-US" w:eastAsia="zh-CN"/>
        </w:rPr>
        <w:t>1</w:t>
      </w:r>
      <w:r>
        <w:rPr>
          <w:rFonts w:hint="eastAsia" w:ascii="宋体" w:hAnsi="宋体"/>
          <w:bCs/>
          <w:color w:val="auto"/>
          <w:sz w:val="21"/>
          <w:szCs w:val="21"/>
          <w:highlight w:val="none"/>
          <w:lang w:val="en-US" w:eastAsia="zh-CN"/>
        </w:rPr>
        <w:t>年06</w:t>
      </w:r>
      <w:r>
        <w:rPr>
          <w:rFonts w:hint="eastAsia" w:ascii="宋体" w:hAnsi="宋体" w:eastAsia="宋体"/>
          <w:bCs/>
          <w:color w:val="auto"/>
          <w:sz w:val="21"/>
          <w:szCs w:val="21"/>
          <w:highlight w:val="none"/>
        </w:rPr>
        <w:t>月</w:t>
      </w:r>
      <w:r>
        <w:rPr>
          <w:rFonts w:hint="eastAsia" w:ascii="宋体" w:hAnsi="宋体"/>
          <w:bCs/>
          <w:color w:val="auto"/>
          <w:sz w:val="21"/>
          <w:szCs w:val="21"/>
          <w:highlight w:val="none"/>
          <w:lang w:val="en-US" w:eastAsia="zh-CN"/>
        </w:rPr>
        <w:t>22</w:t>
      </w:r>
      <w:r>
        <w:rPr>
          <w:rFonts w:hint="eastAsia" w:ascii="宋体" w:hAnsi="宋体" w:eastAsia="宋体"/>
          <w:bCs/>
          <w:color w:val="auto"/>
          <w:sz w:val="21"/>
          <w:szCs w:val="21"/>
          <w:highlight w:val="none"/>
        </w:rPr>
        <w:t>日</w:t>
      </w:r>
      <w:r>
        <w:rPr>
          <w:rFonts w:hint="eastAsia" w:ascii="宋体" w:hAnsi="宋体"/>
          <w:bCs/>
          <w:color w:val="auto"/>
          <w:sz w:val="21"/>
          <w:szCs w:val="21"/>
          <w:highlight w:val="none"/>
          <w:lang w:val="en-US" w:eastAsia="zh-CN"/>
        </w:rPr>
        <w:t>下</w:t>
      </w:r>
      <w:r>
        <w:rPr>
          <w:rFonts w:hint="eastAsia" w:ascii="宋体" w:hAnsi="宋体" w:eastAsia="宋体"/>
          <w:bCs/>
          <w:color w:val="auto"/>
          <w:sz w:val="21"/>
          <w:szCs w:val="21"/>
          <w:highlight w:val="none"/>
        </w:rPr>
        <w:t>午</w:t>
      </w:r>
      <w:r>
        <w:rPr>
          <w:rFonts w:hint="eastAsia" w:ascii="宋体" w:hAnsi="宋体"/>
          <w:bCs/>
          <w:color w:val="auto"/>
          <w:sz w:val="21"/>
          <w:szCs w:val="21"/>
          <w:highlight w:val="none"/>
          <w:lang w:val="en-US" w:eastAsia="zh-CN"/>
        </w:rPr>
        <w:t>14</w:t>
      </w:r>
      <w:r>
        <w:rPr>
          <w:rFonts w:hint="eastAsia" w:ascii="宋体" w:hAnsi="宋体" w:eastAsia="宋体"/>
          <w:bCs/>
          <w:color w:val="auto"/>
          <w:sz w:val="21"/>
          <w:szCs w:val="21"/>
          <w:highlight w:val="none"/>
        </w:rPr>
        <w:t>时30分。</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3、</w:t>
      </w:r>
      <w:r>
        <w:rPr>
          <w:rFonts w:ascii="宋体" w:hAnsi="宋体" w:eastAsia="宋体"/>
          <w:bCs/>
          <w:color w:val="auto"/>
          <w:sz w:val="21"/>
          <w:szCs w:val="21"/>
          <w:highlight w:val="none"/>
        </w:rPr>
        <w:t>开标地点：</w:t>
      </w:r>
      <w:r>
        <w:rPr>
          <w:rFonts w:hint="eastAsia" w:ascii="宋体" w:hAnsi="宋体" w:eastAsia="宋体"/>
          <w:color w:val="auto"/>
          <w:sz w:val="21"/>
          <w:szCs w:val="21"/>
          <w:highlight w:val="none"/>
        </w:rPr>
        <w:t>东莞市南城街道鸿福西路81号国际商会大厦</w:t>
      </w:r>
      <w:r>
        <w:rPr>
          <w:rFonts w:hint="eastAsia" w:ascii="宋体" w:hAnsi="宋体" w:eastAsia="宋体"/>
          <w:color w:val="auto"/>
          <w:sz w:val="21"/>
          <w:szCs w:val="21"/>
          <w:highlight w:val="none"/>
          <w:lang w:val="en-US" w:eastAsia="zh-CN"/>
        </w:rPr>
        <w:t>13A</w:t>
      </w:r>
      <w:r>
        <w:rPr>
          <w:rFonts w:hint="eastAsia" w:ascii="宋体" w:hAnsi="宋体" w:eastAsia="宋体"/>
          <w:color w:val="auto"/>
          <w:sz w:val="21"/>
          <w:szCs w:val="21"/>
          <w:highlight w:val="none"/>
        </w:rPr>
        <w:t>01室</w:t>
      </w:r>
      <w:r>
        <w:rPr>
          <w:rFonts w:hint="eastAsia" w:ascii="宋体" w:hAnsi="宋体" w:eastAsia="宋体"/>
          <w:bCs/>
          <w:color w:val="auto"/>
          <w:sz w:val="21"/>
          <w:szCs w:val="21"/>
          <w:highlight w:val="none"/>
        </w:rPr>
        <w:t>。</w:t>
      </w:r>
    </w:p>
    <w:p>
      <w:pPr>
        <w:spacing w:after="0" w:line="360" w:lineRule="auto"/>
        <w:ind w:firstLine="411" w:firstLineChars="196"/>
        <w:rPr>
          <w:rFonts w:ascii="宋体" w:hAnsi="宋体" w:eastAsia="宋体"/>
          <w:bCs/>
          <w:color w:val="auto"/>
          <w:sz w:val="21"/>
          <w:szCs w:val="21"/>
          <w:highlight w:val="none"/>
        </w:rPr>
      </w:pPr>
    </w:p>
    <w:p>
      <w:pPr>
        <w:spacing w:after="0" w:line="360" w:lineRule="auto"/>
        <w:ind w:firstLine="413" w:firstLineChars="196"/>
        <w:rPr>
          <w:rFonts w:ascii="宋体" w:hAnsi="宋体" w:eastAsia="宋体"/>
          <w:bCs/>
          <w:color w:val="auto"/>
          <w:sz w:val="21"/>
          <w:szCs w:val="21"/>
          <w:highlight w:val="none"/>
        </w:rPr>
      </w:pPr>
      <w:r>
        <w:rPr>
          <w:rFonts w:hint="eastAsia" w:ascii="宋体" w:hAnsi="宋体" w:eastAsia="宋体"/>
          <w:b/>
          <w:color w:val="auto"/>
          <w:sz w:val="21"/>
          <w:szCs w:val="21"/>
          <w:highlight w:val="none"/>
          <w:lang w:val="en-US" w:eastAsia="zh-CN"/>
        </w:rPr>
        <w:t>六</w:t>
      </w:r>
      <w:r>
        <w:rPr>
          <w:rFonts w:hint="eastAsia" w:ascii="宋体" w:hAnsi="宋体" w:eastAsia="宋体"/>
          <w:b/>
          <w:color w:val="auto"/>
          <w:sz w:val="21"/>
          <w:szCs w:val="21"/>
          <w:highlight w:val="none"/>
        </w:rPr>
        <w:t>、采购人及采购代理机构的名称、地址和联系方法：</w:t>
      </w:r>
    </w:p>
    <w:p>
      <w:pPr>
        <w:spacing w:after="0" w:line="360" w:lineRule="auto"/>
        <w:ind w:firstLine="420" w:firstLineChars="200"/>
        <w:rPr>
          <w:rFonts w:hint="default"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rPr>
        <w:t>采购人联系人：</w:t>
      </w:r>
      <w:r>
        <w:rPr>
          <w:rFonts w:hint="eastAsia" w:ascii="宋体" w:hAnsi="宋体"/>
          <w:bCs/>
          <w:color w:val="auto"/>
          <w:sz w:val="21"/>
          <w:szCs w:val="21"/>
          <w:highlight w:val="none"/>
          <w:lang w:val="en-US" w:eastAsia="zh-CN"/>
        </w:rPr>
        <w:t>赵先生</w:t>
      </w:r>
    </w:p>
    <w:p>
      <w:pPr>
        <w:spacing w:after="0" w:line="360" w:lineRule="auto"/>
        <w:ind w:firstLine="420" w:firstLineChars="200"/>
        <w:rPr>
          <w:rFonts w:hint="default"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rPr>
        <w:t>地址：</w:t>
      </w:r>
      <w:r>
        <w:rPr>
          <w:rFonts w:hint="eastAsia" w:ascii="宋体" w:hAnsi="宋体"/>
          <w:bCs/>
          <w:color w:val="auto"/>
          <w:sz w:val="21"/>
          <w:szCs w:val="21"/>
          <w:highlight w:val="none"/>
          <w:lang w:val="en-US" w:eastAsia="zh-CN"/>
        </w:rPr>
        <w:t>东莞市横沥镇</w:t>
      </w:r>
    </w:p>
    <w:p>
      <w:pPr>
        <w:spacing w:after="0" w:line="360" w:lineRule="auto"/>
        <w:ind w:firstLine="420" w:firstLineChars="200"/>
        <w:rPr>
          <w:rFonts w:hint="default"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rPr>
        <w:t>联系电话：</w:t>
      </w:r>
      <w:r>
        <w:rPr>
          <w:rFonts w:hint="eastAsia" w:ascii="宋体" w:hAnsi="宋体"/>
          <w:bCs/>
          <w:color w:val="auto"/>
          <w:sz w:val="21"/>
          <w:szCs w:val="21"/>
          <w:highlight w:val="none"/>
          <w:lang w:val="en-US" w:eastAsia="zh-CN"/>
        </w:rPr>
        <w:t>0769-83797261</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采购代理机构名称：</w:t>
      </w:r>
      <w:r>
        <w:rPr>
          <w:rFonts w:hint="eastAsia" w:ascii="宋体" w:hAnsi="宋体" w:eastAsia="宋体"/>
          <w:color w:val="auto"/>
          <w:sz w:val="21"/>
          <w:szCs w:val="21"/>
          <w:highlight w:val="none"/>
          <w:lang w:eastAsia="zh-CN"/>
        </w:rPr>
        <w:t>广东政通招标有限公司</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地址：东莞市南城街道鸿福西路81号国际商会大厦</w:t>
      </w:r>
      <w:r>
        <w:rPr>
          <w:rFonts w:hint="eastAsia" w:ascii="宋体" w:hAnsi="宋体" w:eastAsia="宋体"/>
          <w:color w:val="auto"/>
          <w:sz w:val="21"/>
          <w:szCs w:val="21"/>
          <w:highlight w:val="none"/>
          <w:lang w:val="en-US" w:eastAsia="zh-CN"/>
        </w:rPr>
        <w:t>13A01</w:t>
      </w:r>
      <w:r>
        <w:rPr>
          <w:rFonts w:hint="eastAsia" w:ascii="宋体" w:hAnsi="宋体" w:eastAsia="宋体"/>
          <w:color w:val="auto"/>
          <w:sz w:val="21"/>
          <w:szCs w:val="21"/>
          <w:highlight w:val="none"/>
        </w:rPr>
        <w:t>室。</w:t>
      </w:r>
    </w:p>
    <w:p>
      <w:pPr>
        <w:spacing w:after="0" w:line="360" w:lineRule="auto"/>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采购代理机构联系人：</w:t>
      </w:r>
      <w:r>
        <w:rPr>
          <w:rFonts w:hint="eastAsia" w:ascii="宋体" w:hAnsi="宋体" w:eastAsia="宋体"/>
          <w:color w:val="auto"/>
          <w:sz w:val="21"/>
          <w:szCs w:val="21"/>
          <w:highlight w:val="none"/>
          <w:lang w:val="en-US" w:eastAsia="zh-CN"/>
        </w:rPr>
        <w:t>杨俊平</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联系电话：0769-22881803</w:t>
      </w:r>
    </w:p>
    <w:p>
      <w:pPr>
        <w:spacing w:after="0" w:line="360" w:lineRule="auto"/>
        <w:ind w:firstLine="420" w:firstLineChars="200"/>
        <w:rPr>
          <w:rFonts w:hint="default" w:eastAsia="宋体"/>
          <w:color w:val="auto"/>
          <w:highlight w:val="none"/>
          <w:lang w:val="en-US" w:eastAsia="zh-CN"/>
        </w:rPr>
      </w:pPr>
      <w:r>
        <w:rPr>
          <w:rFonts w:hint="eastAsia" w:ascii="宋体" w:hAnsi="宋体" w:eastAsia="宋体"/>
          <w:color w:val="auto"/>
          <w:sz w:val="21"/>
          <w:szCs w:val="21"/>
          <w:highlight w:val="none"/>
        </w:rPr>
        <w:t>E－ mail：</w:t>
      </w:r>
      <w:r>
        <w:rPr>
          <w:rFonts w:hint="eastAsia" w:ascii="宋体" w:hAnsi="宋体" w:eastAsia="宋体"/>
          <w:color w:val="auto"/>
          <w:sz w:val="21"/>
          <w:szCs w:val="21"/>
          <w:highlight w:val="none"/>
          <w:lang w:val="en-US" w:eastAsia="zh-CN"/>
        </w:rPr>
        <w:t>769552785@qq.com</w:t>
      </w:r>
    </w:p>
    <w:p>
      <w:pPr>
        <w:rPr>
          <w:color w:val="auto"/>
          <w:highlight w:val="none"/>
        </w:rPr>
      </w:pPr>
    </w:p>
    <w:p>
      <w:pPr>
        <w:ind w:right="752" w:rightChars="358"/>
        <w:jc w:val="both"/>
        <w:rPr>
          <w:color w:val="auto"/>
          <w:highlight w:val="none"/>
        </w:rPr>
      </w:pPr>
    </w:p>
    <w:p>
      <w:pPr>
        <w:ind w:right="752" w:rightChars="358"/>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广东政通招标有限公司</w:t>
      </w:r>
    </w:p>
    <w:p>
      <w:pPr>
        <w:ind w:left="6205" w:leftChars="2755" w:hanging="420" w:hanging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06</w:t>
      </w:r>
      <w:r>
        <w:rPr>
          <w:rFonts w:hint="eastAsia" w:ascii="宋体" w:hAnsi="宋体" w:eastAsia="宋体" w:cs="宋体"/>
          <w:color w:val="auto"/>
          <w:sz w:val="21"/>
          <w:szCs w:val="21"/>
          <w:highlight w:val="none"/>
        </w:rPr>
        <w:t>月</w:t>
      </w:r>
    </w:p>
    <w:p>
      <w:pPr>
        <w:ind w:left="6205" w:leftChars="2755" w:hanging="420" w:hangingChars="200"/>
        <w:rPr>
          <w:rFonts w:ascii="黑体" w:hAnsi="宋体" w:eastAsia="黑体"/>
          <w:color w:val="auto"/>
          <w:highlight w:val="none"/>
        </w:rPr>
      </w:pPr>
      <w:r>
        <w:rPr>
          <w:rFonts w:hint="eastAsia" w:ascii="宋体" w:hAnsi="宋体" w:eastAsia="宋体" w:cs="宋体"/>
          <w:color w:val="auto"/>
          <w:sz w:val="21"/>
          <w:szCs w:val="21"/>
          <w:highlight w:val="none"/>
        </w:rPr>
        <w:br w:type="page"/>
      </w:r>
    </w:p>
    <w:p>
      <w:pPr>
        <w:pStyle w:val="3"/>
        <w:spacing w:before="0" w:after="0" w:line="240" w:lineRule="auto"/>
        <w:rPr>
          <w:color w:val="auto"/>
          <w:sz w:val="28"/>
          <w:szCs w:val="28"/>
          <w:highlight w:val="none"/>
        </w:rPr>
      </w:pPr>
      <w:bookmarkStart w:id="1" w:name="_Toc14146"/>
      <w:r>
        <w:rPr>
          <w:rFonts w:hint="eastAsia"/>
          <w:color w:val="auto"/>
          <w:sz w:val="28"/>
          <w:szCs w:val="28"/>
          <w:highlight w:val="none"/>
        </w:rPr>
        <w:t>第二部分 相关资料表格</w:t>
      </w:r>
      <w:bookmarkEnd w:id="1"/>
    </w:p>
    <w:p>
      <w:pPr>
        <w:pStyle w:val="4"/>
        <w:spacing w:before="0" w:after="0" w:line="240" w:lineRule="auto"/>
        <w:jc w:val="center"/>
        <w:rPr>
          <w:rFonts w:ascii="宋体" w:hAnsi="宋体" w:eastAsia="宋体" w:cs="宋体"/>
          <w:color w:val="auto"/>
          <w:sz w:val="24"/>
          <w:szCs w:val="24"/>
          <w:highlight w:val="none"/>
        </w:rPr>
      </w:pPr>
      <w:bookmarkStart w:id="2" w:name="_Toc20683"/>
      <w:r>
        <w:rPr>
          <w:rFonts w:hint="eastAsia" w:ascii="宋体" w:hAnsi="宋体" w:eastAsia="宋体" w:cs="宋体"/>
          <w:color w:val="auto"/>
          <w:sz w:val="24"/>
          <w:szCs w:val="24"/>
          <w:highlight w:val="none"/>
        </w:rPr>
        <w:t>附表一：投标资料表</w:t>
      </w:r>
      <w:bookmarkEnd w:id="2"/>
    </w:p>
    <w:tbl>
      <w:tblPr>
        <w:tblStyle w:val="21"/>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1158"/>
        <w:gridCol w:w="75"/>
        <w:gridCol w:w="3691"/>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内容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Cs/>
                <w:color w:val="auto"/>
                <w:sz w:val="21"/>
                <w:szCs w:val="21"/>
                <w:highlight w:val="none"/>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w:t>
            </w:r>
          </w:p>
        </w:tc>
        <w:tc>
          <w:tcPr>
            <w:tcW w:w="7532" w:type="dxa"/>
            <w:gridSpan w:val="4"/>
            <w:vAlign w:val="center"/>
          </w:tcPr>
          <w:p>
            <w:pPr>
              <w:spacing w:after="0"/>
              <w:rPr>
                <w:rFonts w:hint="eastAsia" w:ascii="宋体" w:hAnsi="宋体" w:eastAsia="宋体"/>
                <w:bCs/>
                <w:color w:val="auto"/>
                <w:sz w:val="21"/>
                <w:szCs w:val="21"/>
                <w:highlight w:val="none"/>
              </w:rPr>
            </w:pPr>
            <w:r>
              <w:rPr>
                <w:rFonts w:hint="eastAsia" w:ascii="宋体" w:hAnsi="宋体" w:eastAsia="宋体"/>
                <w:b/>
                <w:bCs/>
                <w:color w:val="auto"/>
                <w:sz w:val="21"/>
                <w:szCs w:val="21"/>
                <w:highlight w:val="none"/>
                <w:lang w:eastAsia="zh-CN"/>
              </w:rPr>
              <w:t>项目类型</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lang w:eastAsia="zh-CN"/>
              </w:rPr>
              <w:t>货物</w:t>
            </w:r>
            <w:r>
              <w:rPr>
                <w:rFonts w:hint="eastAsia" w:ascii="宋体" w:hAnsi="宋体" w:eastAsia="宋体"/>
                <w:bCs/>
                <w:color w:val="auto"/>
                <w:sz w:val="21"/>
                <w:szCs w:val="21"/>
                <w:highlight w:val="none"/>
              </w:rPr>
              <w:sym w:font="Wingdings" w:char="00FE"/>
            </w:r>
            <w:r>
              <w:rPr>
                <w:rFonts w:hint="eastAsia" w:ascii="宋体" w:hAnsi="宋体" w:eastAsia="宋体"/>
                <w:bCs/>
                <w:color w:val="auto"/>
                <w:sz w:val="21"/>
                <w:szCs w:val="21"/>
                <w:highlight w:val="none"/>
                <w:lang w:val="en-US" w:eastAsia="zh-CN"/>
              </w:rPr>
              <w:t xml:space="preserve">   工程</w:t>
            </w:r>
            <w:r>
              <w:rPr>
                <w:rFonts w:hint="eastAsia" w:ascii="宋体" w:hAnsi="宋体" w:eastAsia="宋体"/>
                <w:bCs/>
                <w:color w:val="auto"/>
                <w:sz w:val="21"/>
                <w:szCs w:val="21"/>
                <w:highlight w:val="none"/>
                <w:lang w:val="en-US" w:eastAsia="zh-CN"/>
              </w:rPr>
              <w:sym w:font="Wingdings" w:char="00A8"/>
            </w:r>
            <w:r>
              <w:rPr>
                <w:rFonts w:hint="eastAsia" w:ascii="宋体" w:hAnsi="宋体" w:eastAsia="宋体"/>
                <w:bCs/>
                <w:color w:val="auto"/>
                <w:sz w:val="21"/>
                <w:szCs w:val="21"/>
                <w:highlight w:val="none"/>
                <w:lang w:val="en-US" w:eastAsia="zh-CN"/>
              </w:rPr>
              <w:t xml:space="preserve">   服务</w:t>
            </w:r>
            <w:r>
              <w:rPr>
                <w:rFonts w:hint="eastAsia" w:ascii="宋体" w:hAnsi="宋体" w:eastAsia="宋体"/>
                <w:bCs/>
                <w:color w:val="auto"/>
                <w:sz w:val="21"/>
                <w:szCs w:val="21"/>
                <w:highlight w:val="none"/>
                <w:lang w:val="en-US" w:eastAsia="zh-CN"/>
              </w:rPr>
              <w:sym w:font="Wingdings" w:char="00A8"/>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lang w:val="en-US" w:eastAsia="zh-CN"/>
              </w:rPr>
              <w:t>所属行业：信息传输、软件和信息技术服务业</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3</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color w:val="auto"/>
                <w:sz w:val="21"/>
                <w:szCs w:val="21"/>
                <w:highlight w:val="none"/>
              </w:rPr>
              <w:t>财政性资金。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4</w:t>
            </w:r>
          </w:p>
        </w:tc>
        <w:tc>
          <w:tcPr>
            <w:tcW w:w="7532" w:type="dxa"/>
            <w:gridSpan w:val="4"/>
            <w:vAlign w:val="center"/>
          </w:tcPr>
          <w:p>
            <w:pPr>
              <w:spacing w:after="0"/>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lang w:eastAsia="zh-CN"/>
              </w:rPr>
              <w:t>是否为专门面向中小企业采购的采购项目</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spacing w:after="0"/>
              <w:jc w:val="center"/>
              <w:rPr>
                <w:rFonts w:hint="eastAsia" w:ascii="宋体" w:hAnsi="宋体" w:eastAsia="宋体"/>
                <w:color w:val="auto"/>
                <w:sz w:val="21"/>
                <w:szCs w:val="21"/>
                <w:highlight w:val="none"/>
              </w:rPr>
            </w:pPr>
          </w:p>
        </w:tc>
        <w:tc>
          <w:tcPr>
            <w:tcW w:w="7532" w:type="dxa"/>
            <w:gridSpan w:val="4"/>
            <w:vAlign w:val="center"/>
          </w:tcPr>
          <w:p>
            <w:pPr>
              <w:spacing w:after="0"/>
              <w:rPr>
                <w:rFonts w:hint="default" w:ascii="宋体" w:hAnsi="宋体" w:eastAsia="宋体"/>
                <w:b/>
                <w:color w:val="auto"/>
                <w:sz w:val="21"/>
                <w:szCs w:val="21"/>
                <w:highlight w:val="none"/>
                <w:lang w:val="en-US" w:eastAsia="zh-CN"/>
              </w:rPr>
            </w:pPr>
            <w:r>
              <w:rPr>
                <w:rFonts w:hint="eastAsia" w:ascii="宋体" w:hAnsi="宋体" w:eastAsia="宋体"/>
                <w:bCs/>
                <w:color w:val="auto"/>
                <w:sz w:val="21"/>
                <w:szCs w:val="21"/>
                <w:highlight w:val="none"/>
                <w:lang w:eastAsia="zh-CN"/>
              </w:rPr>
              <w:t>是</w:t>
            </w:r>
            <w:r>
              <w:rPr>
                <w:rFonts w:hint="eastAsia" w:ascii="宋体" w:hAnsi="宋体" w:eastAsia="宋体"/>
                <w:bCs/>
                <w:color w:val="auto"/>
                <w:sz w:val="21"/>
                <w:szCs w:val="21"/>
                <w:highlight w:val="none"/>
              </w:rPr>
              <w:sym w:font="Wingdings" w:char="00A8"/>
            </w:r>
            <w:r>
              <w:rPr>
                <w:rFonts w:hint="eastAsia" w:ascii="宋体" w:hAnsi="宋体" w:eastAsia="宋体"/>
                <w:bCs/>
                <w:color w:val="auto"/>
                <w:sz w:val="21"/>
                <w:szCs w:val="21"/>
                <w:highlight w:val="none"/>
                <w:lang w:val="en-US" w:eastAsia="zh-CN"/>
              </w:rPr>
              <w:t xml:space="preserve">    否</w:t>
            </w:r>
            <w:r>
              <w:rPr>
                <w:rFonts w:hint="eastAsia" w:ascii="宋体" w:hAnsi="宋体" w:eastAsia="宋体"/>
                <w:bCs/>
                <w:color w:val="auto"/>
                <w:sz w:val="21"/>
                <w:szCs w:val="21"/>
                <w:highlight w:val="none"/>
                <w:lang w:val="en-US" w:eastAsia="zh-CN"/>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5</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Cs/>
                <w:color w:val="auto"/>
                <w:sz w:val="21"/>
                <w:szCs w:val="21"/>
                <w:highlight w:val="none"/>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6</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841"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广东省政府采购网</w:t>
            </w:r>
          </w:p>
        </w:tc>
        <w:tc>
          <w:tcPr>
            <w:tcW w:w="3691"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841"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color w:val="auto"/>
                <w:sz w:val="21"/>
                <w:szCs w:val="21"/>
                <w:highlight w:val="none"/>
              </w:rPr>
              <w:t>https://gdgpo.czt.gd.gov.cn/</w:t>
            </w:r>
          </w:p>
        </w:tc>
        <w:tc>
          <w:tcPr>
            <w:tcW w:w="3691" w:type="dxa"/>
            <w:vAlign w:val="center"/>
          </w:tcPr>
          <w:p>
            <w:pPr>
              <w:spacing w:after="0"/>
              <w:jc w:val="center"/>
              <w:rPr>
                <w:rFonts w:ascii="宋体" w:hAnsi="宋体" w:eastAsia="宋体"/>
                <w:b/>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7</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投标语言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color w:val="auto"/>
                <w:sz w:val="21"/>
                <w:szCs w:val="21"/>
                <w:highlight w:val="none"/>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8</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详见投标人须知。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9</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10</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both"/>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11</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（1）投标保证金金额：人民币</w:t>
            </w:r>
            <w:r>
              <w:rPr>
                <w:rFonts w:hint="eastAsia" w:ascii="宋体" w:hAnsi="宋体"/>
                <w:color w:val="auto"/>
                <w:sz w:val="21"/>
                <w:szCs w:val="21"/>
                <w:highlight w:val="none"/>
                <w:lang w:val="en-US" w:eastAsia="zh-CN"/>
              </w:rPr>
              <w:t>贰万</w:t>
            </w:r>
            <w:r>
              <w:rPr>
                <w:rFonts w:hint="eastAsia" w:ascii="宋体" w:hAnsi="宋体" w:eastAsia="宋体"/>
                <w:color w:val="auto"/>
                <w:sz w:val="21"/>
                <w:szCs w:val="21"/>
                <w:highlight w:val="none"/>
              </w:rPr>
              <w:t>元整（￥</w:t>
            </w:r>
            <w:r>
              <w:rPr>
                <w:rFonts w:hint="eastAsia" w:ascii="宋体" w:hAnsi="宋体"/>
                <w:b/>
                <w:color w:val="auto"/>
                <w:sz w:val="21"/>
                <w:szCs w:val="21"/>
                <w:highlight w:val="none"/>
                <w:lang w:val="en-US" w:eastAsia="zh-CN"/>
              </w:rPr>
              <w:t>20,000.00</w:t>
            </w:r>
            <w:r>
              <w:rPr>
                <w:rFonts w:hint="eastAsia" w:ascii="宋体" w:hAnsi="宋体" w:eastAsia="宋体"/>
                <w:color w:val="auto"/>
                <w:sz w:val="21"/>
                <w:szCs w:val="21"/>
                <w:highlight w:val="none"/>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zh-CN"/>
              </w:rPr>
              <w:t>投标保证金须严格按“招标文件第</w:t>
            </w:r>
            <w:r>
              <w:rPr>
                <w:rFonts w:hint="eastAsia" w:ascii="宋体" w:hAnsi="宋体" w:eastAsia="宋体"/>
                <w:color w:val="auto"/>
                <w:sz w:val="21"/>
                <w:szCs w:val="21"/>
                <w:highlight w:val="none"/>
              </w:rPr>
              <w:t>四部分</w:t>
            </w:r>
            <w:r>
              <w:rPr>
                <w:rFonts w:hint="eastAsia" w:ascii="宋体" w:hAnsi="宋体" w:eastAsia="宋体"/>
                <w:color w:val="auto"/>
                <w:sz w:val="21"/>
                <w:szCs w:val="21"/>
                <w:highlight w:val="none"/>
                <w:lang w:val="en-US" w:eastAsia="zh-CN"/>
              </w:rPr>
              <w:t>投</w:t>
            </w:r>
            <w:r>
              <w:rPr>
                <w:rFonts w:hint="eastAsia" w:ascii="宋体" w:hAnsi="宋体" w:eastAsia="宋体"/>
                <w:color w:val="auto"/>
                <w:sz w:val="21"/>
                <w:szCs w:val="21"/>
                <w:highlight w:val="none"/>
                <w:lang w:val="zh-CN"/>
              </w:rPr>
              <w:t>标人须知”要求提交。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60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（3）保证金递交账户：</w:t>
            </w:r>
          </w:p>
          <w:p>
            <w:pPr>
              <w:spacing w:after="0"/>
              <w:jc w:val="both"/>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收款人：广东政通招标有限公司</w:t>
            </w:r>
          </w:p>
          <w:p>
            <w:pPr>
              <w:spacing w:after="0"/>
              <w:jc w:val="both"/>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开户行：广发银行股份有限公司东莞新城支行</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帐  号：6232590699050028990</w:t>
            </w:r>
          </w:p>
          <w:p>
            <w:pPr>
              <w:spacing w:after="0"/>
              <w:jc w:val="both"/>
              <w:rPr>
                <w:color w:val="auto"/>
                <w:highlight w:val="none"/>
              </w:rPr>
            </w:pPr>
            <w:r>
              <w:rPr>
                <w:rFonts w:hint="eastAsia" w:ascii="宋体" w:hAnsi="宋体" w:eastAsia="宋体"/>
                <w:color w:val="auto"/>
                <w:sz w:val="21"/>
                <w:szCs w:val="21"/>
                <w:highlight w:val="none"/>
                <w:lang w:val="zh-CN"/>
              </w:rPr>
              <w:t>（各投标人在转帐或电汇时须在用途栏上写明采购项目编号）。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12</w:t>
            </w:r>
          </w:p>
        </w:tc>
        <w:tc>
          <w:tcPr>
            <w:tcW w:w="7532" w:type="dxa"/>
            <w:gridSpan w:val="4"/>
            <w:vAlign w:val="center"/>
          </w:tcPr>
          <w:p>
            <w:pPr>
              <w:spacing w:after="0"/>
              <w:jc w:val="both"/>
              <w:rPr>
                <w:rFonts w:ascii="宋体" w:hAnsi="宋体" w:eastAsia="宋体"/>
                <w:b/>
                <w:bCs/>
                <w:color w:val="auto"/>
                <w:sz w:val="21"/>
                <w:szCs w:val="21"/>
                <w:highlight w:val="none"/>
                <w:lang w:val="zh-CN"/>
              </w:rPr>
            </w:pPr>
            <w:r>
              <w:rPr>
                <w:rFonts w:hint="eastAsia" w:ascii="宋体" w:hAnsi="宋体" w:eastAsia="宋体"/>
                <w:b/>
                <w:bCs/>
                <w:color w:val="auto"/>
                <w:sz w:val="21"/>
                <w:szCs w:val="21"/>
                <w:highlight w:val="none"/>
                <w:lang w:val="zh-CN"/>
              </w:rPr>
              <w:t>投标保证金退还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zh-CN"/>
              </w:rPr>
              <w:t>）未中标的投标人的保证金在采购结果公示发出后5个工作日内退还，中标投标人的保证金在采购合同签订后5个工作日内退还。</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zh-CN"/>
              </w:rPr>
              <w:t>）为方便退还未中标的投保人的保证金，投标人应制作《投标保证金汇入情况说明》随开标文件一并递交。</w:t>
            </w:r>
          </w:p>
          <w:p>
            <w:pPr>
              <w:spacing w:after="0"/>
              <w:jc w:val="both"/>
              <w:rPr>
                <w:rFonts w:eastAsia="宋体"/>
                <w:color w:val="auto"/>
                <w:highlight w:val="none"/>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3</w:t>
            </w:r>
            <w:r>
              <w:rPr>
                <w:rFonts w:hint="eastAsia" w:ascii="宋体" w:hAnsi="宋体" w:eastAsia="宋体"/>
                <w:color w:val="auto"/>
                <w:sz w:val="21"/>
                <w:szCs w:val="21"/>
                <w:highlight w:val="none"/>
                <w:lang w:val="zh-CN"/>
              </w:rPr>
              <w:t>）投标保证金退还联系电话：</w:t>
            </w:r>
            <w:r>
              <w:rPr>
                <w:rFonts w:hint="eastAsia" w:ascii="宋体" w:hAnsi="宋体" w:eastAsia="宋体"/>
                <w:color w:val="auto"/>
                <w:sz w:val="21"/>
                <w:szCs w:val="21"/>
                <w:highlight w:val="none"/>
              </w:rPr>
              <w:t>0769-22881803。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3</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4</w:t>
            </w:r>
          </w:p>
        </w:tc>
        <w:tc>
          <w:tcPr>
            <w:tcW w:w="7532" w:type="dxa"/>
            <w:gridSpan w:val="4"/>
            <w:vAlign w:val="center"/>
          </w:tcPr>
          <w:p>
            <w:pPr>
              <w:spacing w:after="0"/>
              <w:jc w:val="center"/>
              <w:rPr>
                <w:rFonts w:ascii="宋体" w:hAnsi="宋体" w:eastAsia="宋体"/>
                <w:color w:val="auto"/>
                <w:sz w:val="21"/>
                <w:szCs w:val="21"/>
                <w:highlight w:val="none"/>
              </w:rPr>
            </w:pPr>
            <w:r>
              <w:rPr>
                <w:rFonts w:hint="eastAsia" w:ascii="宋体" w:hAnsi="宋体" w:eastAsia="宋体"/>
                <w:b/>
                <w:color w:val="auto"/>
                <w:sz w:val="21"/>
                <w:szCs w:val="21"/>
                <w:highlight w:val="none"/>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6"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信用中国</w:t>
            </w:r>
          </w:p>
        </w:tc>
        <w:tc>
          <w:tcPr>
            <w:tcW w:w="3766"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6" w:type="dxa"/>
            <w:gridSpan w:val="2"/>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https://www.creditchina.gov.cn/</w:t>
            </w:r>
          </w:p>
        </w:tc>
        <w:tc>
          <w:tcPr>
            <w:tcW w:w="3766" w:type="dxa"/>
            <w:gridSpan w:val="2"/>
            <w:vAlign w:val="center"/>
          </w:tcPr>
          <w:p>
            <w:pPr>
              <w:spacing w:after="0"/>
              <w:jc w:val="center"/>
              <w:rPr>
                <w:rFonts w:ascii="宋体" w:hAnsi="宋体" w:eastAsia="宋体"/>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5</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投标人应提交以下投标文件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投标文件类型</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开标文件</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投标文件正本</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投标文件副本</w:t>
            </w:r>
          </w:p>
        </w:tc>
        <w:tc>
          <w:tcPr>
            <w:tcW w:w="4924" w:type="dxa"/>
            <w:gridSpan w:val="3"/>
            <w:vAlign w:val="center"/>
          </w:tcPr>
          <w:p>
            <w:pPr>
              <w:spacing w:after="0"/>
              <w:jc w:val="center"/>
              <w:rPr>
                <w:rFonts w:hint="eastAsia" w:ascii="宋体" w:hAnsi="宋体" w:eastAsia="宋体"/>
                <w:b/>
                <w:color w:val="auto"/>
                <w:sz w:val="21"/>
                <w:szCs w:val="21"/>
                <w:highlight w:val="none"/>
                <w:lang w:eastAsia="zh-CN"/>
              </w:rPr>
            </w:pPr>
            <w:r>
              <w:rPr>
                <w:rFonts w:hint="eastAsia" w:ascii="宋体" w:hAnsi="宋体"/>
                <w:b/>
                <w:color w:val="auto"/>
                <w:sz w:val="21"/>
                <w:szCs w:val="21"/>
                <w:highlight w:val="none"/>
                <w:lang w:val="en-US" w:eastAsia="zh-CN"/>
              </w:rPr>
              <w:t>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电子文档</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三、开标与评标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6</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7</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综合评分法评分因素和权重分值</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见附表二。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8</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小型或微型企业、监狱企业、残疾人福利性单位投标价格折扣标准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投标人符合须知“优惠政策”中联合体规定的投标价格折扣标准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对于联合协议或者分包意向协议约定小微企业的合同份额占到合同总金额30%以上的，报价给予</w:t>
            </w:r>
            <w:r>
              <w:rPr>
                <w:rFonts w:hint="default" w:ascii="宋体" w:hAnsi="宋体" w:eastAsia="宋体"/>
                <w:b/>
                <w:bCs/>
                <w:color w:val="auto"/>
                <w:sz w:val="21"/>
                <w:szCs w:val="21"/>
                <w:highlight w:val="none"/>
                <w:u w:val="single"/>
              </w:rPr>
              <w:t>2%</w:t>
            </w:r>
            <w:r>
              <w:rPr>
                <w:rFonts w:hint="eastAsia" w:ascii="宋体" w:hAnsi="宋体" w:eastAsia="宋体"/>
                <w:color w:val="auto"/>
                <w:sz w:val="21"/>
                <w:szCs w:val="21"/>
                <w:highlight w:val="none"/>
              </w:rPr>
              <w:t>的扣除。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bCs/>
                <w:color w:val="auto"/>
                <w:sz w:val="21"/>
                <w:szCs w:val="21"/>
                <w:highlight w:val="none"/>
              </w:rPr>
              <w:t>投标人所投产品为获得节能产品认证或环境标志产品认证证书的价格折扣标准（相关规定详见投标人须知“优惠政策”）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该项节能或环境标志产品折扣3%。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9</w:t>
            </w:r>
          </w:p>
        </w:tc>
        <w:tc>
          <w:tcPr>
            <w:tcW w:w="7532" w:type="dxa"/>
            <w:gridSpan w:val="4"/>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履约保证金（如有需要）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履约保证金的数额为政府采购合同金额的5%。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20</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中标服务费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中标服务费根据国家计委[计价格[2002]1980号]文和国家发改委[发改价格[2011]534号]文及相关规定向中标单位收取，按差额定率累进法计算，以中标通知书中确定的中标总金额作为收费的计算依据；中标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（2）中标服务费以转账或现金的形式支付。采购代理机构服务费汇入账号：</w:t>
            </w:r>
          </w:p>
          <w:p>
            <w:pPr>
              <w:widowControl w:val="0"/>
              <w:tabs>
                <w:tab w:val="left" w:pos="907"/>
              </w:tabs>
              <w:adjustRightInd/>
              <w:snapToGrid/>
              <w:spacing w:after="0" w:line="360" w:lineRule="exact"/>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收 款 人：</w:t>
            </w:r>
            <w:r>
              <w:rPr>
                <w:rFonts w:hint="eastAsia" w:ascii="宋体" w:hAnsi="宋体" w:eastAsia="宋体"/>
                <w:color w:val="auto"/>
                <w:sz w:val="21"/>
                <w:szCs w:val="21"/>
                <w:highlight w:val="none"/>
                <w:lang w:eastAsia="zh-CN"/>
              </w:rPr>
              <w:t>广东政通招标有限公司</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开户银行：广发银行股份有限公司东莞南城支行</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账　　号：9550880331235700173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5"/>
            <w:vAlign w:val="center"/>
          </w:tcPr>
          <w:p>
            <w:pPr>
              <w:widowControl w:val="0"/>
              <w:tabs>
                <w:tab w:val="left" w:pos="907"/>
              </w:tabs>
              <w:adjustRightInd/>
              <w:snapToGrid/>
              <w:spacing w:after="0"/>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注：本表关于要采购项目的具体资料，是对投标人须知的具体补充和修改，如有矛盾，应以本资料表为准。</w:t>
            </w:r>
          </w:p>
        </w:tc>
      </w:tr>
    </w:tbl>
    <w:p>
      <w:pPr>
        <w:jc w:val="center"/>
        <w:rPr>
          <w:color w:val="auto"/>
          <w:highlight w:val="none"/>
        </w:rPr>
      </w:pPr>
      <w:r>
        <w:rPr>
          <w:rFonts w:hint="eastAsia"/>
          <w:color w:val="auto"/>
          <w:highlight w:val="none"/>
        </w:rPr>
        <w:br w:type="page"/>
      </w:r>
    </w:p>
    <w:p>
      <w:pPr>
        <w:pStyle w:val="4"/>
        <w:spacing w:before="0" w:after="0" w:line="240" w:lineRule="auto"/>
        <w:jc w:val="center"/>
        <w:rPr>
          <w:rFonts w:ascii="宋体" w:hAnsi="宋体" w:eastAsia="宋体" w:cs="宋体"/>
          <w:color w:val="auto"/>
          <w:sz w:val="24"/>
          <w:szCs w:val="24"/>
          <w:highlight w:val="none"/>
        </w:rPr>
      </w:pPr>
      <w:bookmarkStart w:id="3" w:name="_Toc9572"/>
      <w:r>
        <w:rPr>
          <w:rFonts w:hint="eastAsia" w:ascii="宋体" w:hAnsi="宋体" w:eastAsia="宋体" w:cs="宋体"/>
          <w:color w:val="auto"/>
          <w:sz w:val="24"/>
          <w:szCs w:val="24"/>
          <w:highlight w:val="none"/>
        </w:rPr>
        <w:t>附表二：商务技术评分及价格权重表</w:t>
      </w:r>
      <w:bookmarkEnd w:id="3"/>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762"/>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评审项目</w:t>
            </w:r>
          </w:p>
        </w:tc>
        <w:tc>
          <w:tcPr>
            <w:tcW w:w="762"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4"/>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商务评审（</w:t>
            </w:r>
            <w:r>
              <w:rPr>
                <w:rFonts w:hint="eastAsia" w:asci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90" w:type="dxa"/>
            <w:tcBorders>
              <w:top w:val="single" w:color="auto" w:sz="4" w:space="0"/>
              <w:left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07" w:type="dxa"/>
            <w:tcBorders>
              <w:top w:val="single" w:color="auto" w:sz="4" w:space="0"/>
              <w:left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eastAsia="宋体" w:cs="宋体"/>
                <w:color w:val="auto"/>
                <w:sz w:val="21"/>
                <w:szCs w:val="21"/>
                <w:highlight w:val="none"/>
              </w:rPr>
              <w:t>知识产权</w:t>
            </w:r>
          </w:p>
        </w:tc>
        <w:tc>
          <w:tcPr>
            <w:tcW w:w="762"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ascii="宋体" w:eastAsia="宋体" w:cs="宋体"/>
                <w:color w:val="auto"/>
                <w:sz w:val="21"/>
                <w:szCs w:val="21"/>
                <w:highlight w:val="none"/>
              </w:rPr>
              <w:t>6</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eastAsia="宋体" w:cs="宋体"/>
                <w:bCs/>
                <w:color w:val="auto"/>
                <w:sz w:val="21"/>
                <w:szCs w:val="21"/>
                <w:highlight w:val="none"/>
              </w:rPr>
            </w:pPr>
            <w:r>
              <w:rPr>
                <w:rFonts w:hint="eastAsia" w:ascii="宋体" w:eastAsia="宋体" w:cs="宋体"/>
                <w:bCs/>
                <w:color w:val="auto"/>
                <w:sz w:val="21"/>
                <w:szCs w:val="21"/>
                <w:highlight w:val="none"/>
              </w:rPr>
              <w:t>投标人获得的教学资源管理系统</w:t>
            </w:r>
            <w:r>
              <w:rPr>
                <w:rFonts w:hint="eastAsia" w:ascii="宋体" w:eastAsia="宋体" w:cs="宋体"/>
                <w:bCs/>
                <w:color w:val="auto"/>
                <w:sz w:val="21"/>
                <w:szCs w:val="21"/>
                <w:highlight w:val="none"/>
                <w:lang w:val="en-US" w:eastAsia="zh-CN"/>
              </w:rPr>
              <w:t>类</w:t>
            </w:r>
            <w:r>
              <w:rPr>
                <w:rFonts w:hint="eastAsia" w:ascii="宋体" w:eastAsia="宋体" w:cs="宋体"/>
                <w:bCs/>
                <w:color w:val="auto"/>
                <w:sz w:val="21"/>
                <w:szCs w:val="21"/>
                <w:highlight w:val="none"/>
              </w:rPr>
              <w:t>、教学行为监测分析</w:t>
            </w:r>
            <w:r>
              <w:rPr>
                <w:rFonts w:hint="eastAsia" w:ascii="宋体" w:eastAsia="宋体" w:cs="宋体"/>
                <w:bCs/>
                <w:color w:val="auto"/>
                <w:sz w:val="21"/>
                <w:szCs w:val="21"/>
                <w:highlight w:val="none"/>
                <w:lang w:val="en-US" w:eastAsia="zh-CN"/>
              </w:rPr>
              <w:t>类、</w:t>
            </w:r>
            <w:r>
              <w:rPr>
                <w:rFonts w:hint="eastAsia" w:ascii="宋体" w:eastAsia="宋体" w:cs="宋体"/>
                <w:bCs/>
                <w:color w:val="auto"/>
                <w:sz w:val="21"/>
                <w:szCs w:val="21"/>
                <w:highlight w:val="none"/>
              </w:rPr>
              <w:t>互动教学系统系统类的软件著作权证书，每提供一类得</w:t>
            </w:r>
            <w:r>
              <w:rPr>
                <w:rFonts w:hint="eastAsia" w:ascii="宋体" w:eastAsia="宋体" w:cs="宋体"/>
                <w:bCs/>
                <w:color w:val="auto"/>
                <w:sz w:val="21"/>
                <w:szCs w:val="21"/>
                <w:highlight w:val="none"/>
                <w:lang w:val="en-US" w:eastAsia="zh-CN"/>
              </w:rPr>
              <w:t>2</w:t>
            </w:r>
            <w:r>
              <w:rPr>
                <w:rFonts w:hint="eastAsia" w:ascii="宋体" w:eastAsia="宋体" w:cs="宋体"/>
                <w:bCs/>
                <w:color w:val="auto"/>
                <w:sz w:val="21"/>
                <w:szCs w:val="21"/>
                <w:highlight w:val="none"/>
              </w:rPr>
              <w:t>分，</w:t>
            </w:r>
            <w:r>
              <w:rPr>
                <w:rFonts w:hint="eastAsia" w:ascii="宋体" w:hAnsi="宋体" w:eastAsia="宋体" w:cs="宋体"/>
                <w:color w:val="auto"/>
                <w:kern w:val="2"/>
                <w:sz w:val="21"/>
                <w:szCs w:val="21"/>
                <w:highlight w:val="none"/>
                <w:lang w:val="zh-CN"/>
              </w:rPr>
              <w:t>本项最高得</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分。</w:t>
            </w:r>
          </w:p>
          <w:p>
            <w:pPr>
              <w:pStyle w:val="3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eastAsia="宋体" w:cs="宋体"/>
                <w:bCs/>
                <w:color w:val="auto"/>
                <w:sz w:val="21"/>
                <w:szCs w:val="21"/>
                <w:highlight w:val="none"/>
              </w:rPr>
              <w:t>注：提供</w:t>
            </w:r>
            <w:r>
              <w:rPr>
                <w:rFonts w:hint="eastAsia" w:ascii="宋体" w:eastAsia="宋体" w:cs="宋体"/>
                <w:bCs/>
                <w:color w:val="auto"/>
                <w:sz w:val="21"/>
                <w:szCs w:val="21"/>
                <w:highlight w:val="none"/>
                <w:lang w:val="en-US" w:eastAsia="zh-CN"/>
              </w:rPr>
              <w:t>有效证书复印件</w:t>
            </w:r>
            <w:r>
              <w:rPr>
                <w:rFonts w:hint="eastAsia" w:ascii="宋体" w:eastAsia="宋体" w:cs="宋体"/>
                <w:bCs/>
                <w:color w:val="auto"/>
                <w:sz w:val="21"/>
                <w:szCs w:val="21"/>
                <w:highlight w:val="none"/>
              </w:rPr>
              <w:t>（或官方网站截图）并加盖投标人公章，否则不得分。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90" w:type="dxa"/>
            <w:tcBorders>
              <w:top w:val="single" w:color="auto" w:sz="4" w:space="0"/>
              <w:left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企业实力</w:t>
            </w:r>
          </w:p>
        </w:tc>
        <w:tc>
          <w:tcPr>
            <w:tcW w:w="762"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lang w:val="zh-CN"/>
              </w:rPr>
              <w:t>所投教师桌椅</w:t>
            </w:r>
            <w:r>
              <w:rPr>
                <w:rFonts w:hint="eastAsia" w:ascii="宋体" w:hAnsi="宋体" w:cs="宋体"/>
                <w:bCs/>
                <w:color w:val="auto"/>
                <w:sz w:val="21"/>
                <w:szCs w:val="21"/>
                <w:highlight w:val="none"/>
                <w:lang w:val="en-US" w:eastAsia="zh-CN"/>
              </w:rPr>
              <w:t>或</w:t>
            </w:r>
            <w:r>
              <w:rPr>
                <w:rFonts w:hint="eastAsia" w:ascii="宋体" w:hAnsi="宋体" w:eastAsia="宋体" w:cs="宋体"/>
                <w:bCs/>
                <w:color w:val="auto"/>
                <w:sz w:val="21"/>
                <w:szCs w:val="21"/>
                <w:highlight w:val="none"/>
                <w:lang w:val="zh-CN"/>
              </w:rPr>
              <w:t>学生桌椅获得绿色环保证书</w:t>
            </w:r>
            <w:r>
              <w:rPr>
                <w:rFonts w:hint="eastAsia" w:ascii="宋体" w:hAnsi="宋体" w:cs="宋体"/>
                <w:bCs/>
                <w:color w:val="auto"/>
                <w:sz w:val="21"/>
                <w:szCs w:val="21"/>
                <w:highlight w:val="none"/>
                <w:lang w:val="zh-CN"/>
              </w:rPr>
              <w:t>、</w:t>
            </w:r>
            <w:r>
              <w:rPr>
                <w:rFonts w:hint="eastAsia" w:ascii="宋体" w:hAnsi="宋体" w:eastAsia="宋体" w:cs="宋体"/>
                <w:bCs/>
                <w:color w:val="auto"/>
                <w:sz w:val="21"/>
                <w:szCs w:val="21"/>
                <w:highlight w:val="none"/>
                <w:lang w:val="zh-CN"/>
              </w:rPr>
              <w:t>售后服务认证证书</w:t>
            </w:r>
            <w:r>
              <w:rPr>
                <w:rFonts w:hint="eastAsia" w:ascii="宋体" w:hAnsi="宋体" w:cs="宋体"/>
                <w:bCs/>
                <w:color w:val="auto"/>
                <w:sz w:val="21"/>
                <w:szCs w:val="21"/>
                <w:highlight w:val="none"/>
                <w:lang w:val="en-US" w:eastAsia="zh-CN"/>
              </w:rPr>
              <w:t>的</w:t>
            </w:r>
            <w:r>
              <w:rPr>
                <w:rFonts w:hint="eastAsia" w:ascii="宋体" w:hAnsi="宋体" w:eastAsia="宋体" w:cs="宋体"/>
                <w:bCs/>
                <w:color w:val="auto"/>
                <w:sz w:val="21"/>
                <w:szCs w:val="21"/>
                <w:highlight w:val="none"/>
                <w:lang w:val="zh-CN"/>
              </w:rPr>
              <w:t>，提供一</w:t>
            </w:r>
            <w:r>
              <w:rPr>
                <w:rFonts w:hint="eastAsia" w:ascii="宋体" w:hAnsi="宋体" w:cs="宋体"/>
                <w:bCs/>
                <w:color w:val="auto"/>
                <w:sz w:val="21"/>
                <w:szCs w:val="21"/>
                <w:highlight w:val="none"/>
                <w:lang w:val="en-US" w:eastAsia="zh-CN"/>
              </w:rPr>
              <w:t>类</w:t>
            </w:r>
            <w:r>
              <w:rPr>
                <w:rFonts w:hint="eastAsia" w:ascii="宋体" w:hAnsi="宋体" w:eastAsia="宋体" w:cs="宋体"/>
                <w:bCs/>
                <w:color w:val="auto"/>
                <w:sz w:val="21"/>
                <w:szCs w:val="21"/>
                <w:highlight w:val="none"/>
                <w:lang w:val="zh-CN"/>
              </w:rPr>
              <w:t>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w:t>
            </w:r>
            <w:r>
              <w:rPr>
                <w:rFonts w:hint="eastAsia" w:ascii="宋体" w:eastAsia="宋体" w:cs="宋体"/>
                <w:bCs/>
                <w:color w:val="auto"/>
                <w:sz w:val="21"/>
                <w:szCs w:val="21"/>
                <w:highlight w:val="none"/>
                <w:lang w:val="zh-CN"/>
              </w:rPr>
              <w:t>本项最高得</w:t>
            </w:r>
            <w:r>
              <w:rPr>
                <w:rFonts w:hint="eastAsia" w:ascii="宋体" w:cs="宋体"/>
                <w:bCs/>
                <w:color w:val="auto"/>
                <w:sz w:val="21"/>
                <w:szCs w:val="21"/>
                <w:highlight w:val="none"/>
                <w:lang w:val="en-US" w:eastAsia="zh-CN"/>
              </w:rPr>
              <w:t>4</w:t>
            </w:r>
            <w:r>
              <w:rPr>
                <w:rFonts w:hint="eastAsia" w:ascii="宋体" w:eastAsia="宋体" w:cs="宋体"/>
                <w:bCs/>
                <w:color w:val="auto"/>
                <w:sz w:val="21"/>
                <w:szCs w:val="21"/>
                <w:highlight w:val="none"/>
                <w:lang w:val="zh-CN"/>
              </w:rPr>
              <w:t>分</w:t>
            </w:r>
            <w:r>
              <w:rPr>
                <w:rFonts w:hint="eastAsia" w:ascii="宋体" w:hAnsi="宋体" w:cs="宋体"/>
                <w:bCs/>
                <w:color w:val="auto"/>
                <w:sz w:val="21"/>
                <w:szCs w:val="21"/>
                <w:highlight w:val="none"/>
                <w:lang w:val="zh-CN"/>
              </w:rPr>
              <w:t>。</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bCs/>
                <w:color w:val="auto"/>
                <w:sz w:val="21"/>
                <w:szCs w:val="21"/>
                <w:highlight w:val="none"/>
                <w:lang w:val="en-US"/>
              </w:rPr>
            </w:pPr>
            <w:r>
              <w:rPr>
                <w:rFonts w:hint="eastAsia" w:ascii="宋体" w:hAnsi="宋体" w:cs="宋体"/>
                <w:bCs/>
                <w:color w:val="auto"/>
                <w:sz w:val="21"/>
                <w:szCs w:val="21"/>
                <w:highlight w:val="none"/>
                <w:lang w:val="en-US" w:eastAsia="zh-CN"/>
              </w:rPr>
              <w:t>注：须提供有效证书复印件加盖投标人公章，否则不得分。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90" w:type="dxa"/>
            <w:tcBorders>
              <w:top w:val="single" w:color="auto" w:sz="4" w:space="0"/>
              <w:left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项目经验</w:t>
            </w:r>
          </w:p>
        </w:tc>
        <w:tc>
          <w:tcPr>
            <w:tcW w:w="762"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hint="default" w:ascii="宋体" w:hAnsi="宋体" w:eastAsia="宋体" w:cs="宋体"/>
                <w:color w:val="auto"/>
                <w:sz w:val="21"/>
                <w:szCs w:val="21"/>
                <w:highlight w:val="none"/>
                <w:lang w:val="en-US"/>
              </w:rPr>
            </w:pPr>
            <w:r>
              <w:rPr>
                <w:rFonts w:hint="eastAsia" w:ascii="宋体" w:eastAsia="宋体" w:cs="宋体"/>
                <w:color w:val="auto"/>
                <w:sz w:val="21"/>
                <w:szCs w:val="21"/>
                <w:highlight w:val="none"/>
                <w:lang w:val="en-US" w:eastAsia="zh-CN"/>
              </w:rPr>
              <w:t>5</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en-US" w:eastAsia="zh-CN"/>
              </w:rPr>
              <w:t>根据</w:t>
            </w:r>
            <w:r>
              <w:rPr>
                <w:rFonts w:hint="eastAsia" w:ascii="宋体" w:eastAsia="宋体" w:cs="宋体"/>
                <w:bCs/>
                <w:color w:val="auto"/>
                <w:sz w:val="21"/>
                <w:szCs w:val="21"/>
                <w:highlight w:val="none"/>
                <w:lang w:val="zh-CN"/>
              </w:rPr>
              <w:t>投标人具有系统集成类项目业绩</w:t>
            </w:r>
            <w:r>
              <w:rPr>
                <w:rFonts w:hint="eastAsia" w:ascii="宋体" w:eastAsia="宋体" w:cs="宋体"/>
                <w:bCs/>
                <w:color w:val="auto"/>
                <w:sz w:val="21"/>
                <w:szCs w:val="21"/>
                <w:highlight w:val="none"/>
                <w:lang w:val="en-US" w:eastAsia="zh-CN"/>
              </w:rPr>
              <w:t>进行评审</w:t>
            </w:r>
            <w:r>
              <w:rPr>
                <w:rFonts w:hint="eastAsia" w:ascii="宋体" w:eastAsia="宋体" w:cs="宋体"/>
                <w:bCs/>
                <w:color w:val="auto"/>
                <w:sz w:val="21"/>
                <w:szCs w:val="21"/>
                <w:highlight w:val="none"/>
                <w:lang w:val="zh-CN"/>
              </w:rPr>
              <w:t>，每提供一个合同业绩得</w:t>
            </w:r>
            <w:r>
              <w:rPr>
                <w:rFonts w:hint="eastAsia" w:ascii="宋体" w:eastAsia="宋体" w:cs="宋体"/>
                <w:bCs/>
                <w:color w:val="auto"/>
                <w:sz w:val="21"/>
                <w:szCs w:val="21"/>
                <w:highlight w:val="none"/>
                <w:lang w:val="en-US" w:eastAsia="zh-CN"/>
              </w:rPr>
              <w:t>1</w:t>
            </w:r>
            <w:r>
              <w:rPr>
                <w:rFonts w:hint="eastAsia" w:ascii="宋体" w:eastAsia="宋体" w:cs="宋体"/>
                <w:bCs/>
                <w:color w:val="auto"/>
                <w:sz w:val="21"/>
                <w:szCs w:val="21"/>
                <w:highlight w:val="none"/>
                <w:lang w:val="zh-CN"/>
              </w:rPr>
              <w:t>分，本项最高得</w:t>
            </w:r>
            <w:r>
              <w:rPr>
                <w:rFonts w:hint="eastAsia" w:ascii="宋体" w:eastAsia="宋体" w:cs="宋体"/>
                <w:bCs/>
                <w:color w:val="auto"/>
                <w:sz w:val="21"/>
                <w:szCs w:val="21"/>
                <w:highlight w:val="none"/>
                <w:lang w:val="en-US" w:eastAsia="zh-CN"/>
              </w:rPr>
              <w:t>5</w:t>
            </w:r>
            <w:r>
              <w:rPr>
                <w:rFonts w:hint="eastAsia" w:asci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注：须提供合同关键页复印件加盖投标人公章，</w:t>
            </w:r>
            <w:r>
              <w:rPr>
                <w:rFonts w:hint="eastAsia" w:ascii="宋体" w:eastAsia="宋体" w:cs="宋体"/>
                <w:bCs/>
                <w:color w:val="auto"/>
                <w:sz w:val="21"/>
                <w:szCs w:val="21"/>
                <w:highlight w:val="none"/>
                <w:lang w:val="en-US" w:eastAsia="zh-CN"/>
              </w:rPr>
              <w:t>否则不得分</w:t>
            </w:r>
            <w:r>
              <w:rPr>
                <w:rFonts w:hint="eastAsia" w:ascii="宋体" w:eastAsia="宋体" w:cs="宋体"/>
                <w:bCs/>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4"/>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技术评审（</w:t>
            </w:r>
            <w:r>
              <w:rPr>
                <w:rFonts w:hint="eastAsia" w:ascii="宋体" w:eastAsia="宋体" w:cs="宋体"/>
                <w:color w:val="auto"/>
                <w:sz w:val="21"/>
                <w:szCs w:val="21"/>
                <w:highlight w:val="none"/>
                <w:lang w:val="en-US" w:eastAsia="zh-CN"/>
              </w:rPr>
              <w:t>55</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技术响应情况</w:t>
            </w:r>
          </w:p>
        </w:tc>
        <w:tc>
          <w:tcPr>
            <w:tcW w:w="762"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对用户需求书中带“▲”技术要求条款的技术指标进行响应，若全部响应为满足或优于的得</w:t>
            </w:r>
            <w:r>
              <w:rPr>
                <w:rFonts w:hint="eastAsia" w:ascii="宋体" w:hAnsi="宋体" w:eastAsia="宋体" w:cs="宋体"/>
                <w:bCs/>
                <w:color w:val="auto"/>
                <w:sz w:val="21"/>
                <w:szCs w:val="21"/>
                <w:highlight w:val="none"/>
                <w:lang w:val="en-US" w:eastAsia="zh-CN"/>
              </w:rPr>
              <w:t>22</w:t>
            </w:r>
            <w:r>
              <w:rPr>
                <w:rFonts w:hint="eastAsia" w:ascii="宋体" w:hAnsi="宋体" w:eastAsia="宋体" w:cs="宋体"/>
                <w:bCs/>
                <w:color w:val="auto"/>
                <w:sz w:val="21"/>
                <w:szCs w:val="21"/>
                <w:highlight w:val="none"/>
                <w:lang w:val="zh-CN"/>
              </w:rPr>
              <w:t>分，不满足或者不响应的每一个扣</w:t>
            </w:r>
            <w:r>
              <w:rPr>
                <w:rFonts w:hint="eastAsia" w:ascii="宋体" w:hAnsi="宋体" w:eastAsia="宋体" w:cs="宋体"/>
                <w:bCs/>
                <w:color w:val="auto"/>
                <w:sz w:val="21"/>
                <w:szCs w:val="21"/>
                <w:highlight w:val="none"/>
                <w:lang w:val="en-US" w:eastAsia="zh-CN"/>
              </w:rPr>
              <w:t>0.5</w:t>
            </w:r>
            <w:r>
              <w:rPr>
                <w:rFonts w:hint="eastAsia" w:ascii="宋体" w:hAnsi="宋体" w:eastAsia="宋体" w:cs="宋体"/>
                <w:bCs/>
                <w:color w:val="auto"/>
                <w:sz w:val="21"/>
                <w:szCs w:val="21"/>
                <w:highlight w:val="none"/>
                <w:lang w:val="zh-CN"/>
              </w:rPr>
              <w:t>分，扣完为止，本项最低得0分。</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①对用户需求中的带“▲”技术指标条款，用户需求书要求提供证明资料的，则投标文件中须提供对应产品参数的证明资料并加盖投标人公章；</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②对用户需求书中带“▲”技术指标条款，用户需求书未要求提供证明资料的，则投标文件中须提供所投产品彩页原件或原厂商的官方技术白皮书或原厂商所作的技术参数说明等详细技术资料并加盖投标人公章。</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（投标人必须按所投产品实际参数进行响应，否则视为提供虚假材料谋取中标资格。）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项目的理解</w:t>
            </w:r>
          </w:p>
        </w:tc>
        <w:tc>
          <w:tcPr>
            <w:tcW w:w="762"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对本项目的熟悉程度、理解及项目重点和难点的分析，以及根据项目重点和难点所采取的措施等进行</w:t>
            </w:r>
            <w:r>
              <w:rPr>
                <w:rFonts w:hint="eastAsia" w:ascii="宋体" w:hAnsi="宋体" w:eastAsia="宋体" w:cs="宋体"/>
                <w:bCs/>
                <w:color w:val="auto"/>
                <w:sz w:val="21"/>
                <w:szCs w:val="21"/>
                <w:highlight w:val="none"/>
                <w:lang w:val="en-US" w:eastAsia="zh-CN"/>
              </w:rPr>
              <w:t>综合评审：</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对本项目的熟悉程度深入，重点和难点分析清晰具体且对应措施完善详细具体、有针对性、操作性强，得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对本项目的熟悉程度一般，重点和难点分析完整、对应措施可行性较高，得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对本项目的熟悉程度肤浅，重点和难点分析基本合理、对应措施可行性不高，得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对本项目的熟悉程度、重点和难点分析不清晰不具体，得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项目供货方案</w:t>
            </w:r>
          </w:p>
        </w:tc>
        <w:tc>
          <w:tcPr>
            <w:tcW w:w="762"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val="en-US" w:eastAsia="zh-CN"/>
              </w:rPr>
              <w:t>8</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根据项目方案进行综合评分，包括但不限于供货方案、技术工艺、质量标准、进度安排等情况</w:t>
            </w:r>
            <w:r>
              <w:rPr>
                <w:rFonts w:hint="eastAsia" w:ascii="宋体" w:hAnsi="宋体" w:eastAsia="宋体" w:cs="宋体"/>
                <w:color w:val="auto"/>
                <w:kern w:val="0"/>
                <w:sz w:val="21"/>
                <w:szCs w:val="21"/>
                <w:highlight w:val="none"/>
                <w:lang w:val="en-US" w:eastAsia="zh-CN"/>
              </w:rPr>
              <w:t>进行综合评审：</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供货方案科学完整，有合理的进度安排，可行性强，得</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供货方案完整，有基本的进度安排，可行性较好，得</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供货方案基本完整，进度安排不太合理，可行性一般，得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供货方案简单，可行性差，得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设备配置情况</w:t>
            </w:r>
          </w:p>
        </w:tc>
        <w:tc>
          <w:tcPr>
            <w:tcW w:w="762"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eastAsia="zh-CN"/>
              </w:rPr>
              <w:t>根据</w:t>
            </w:r>
            <w:r>
              <w:rPr>
                <w:rFonts w:hint="eastAsia" w:ascii="宋体" w:hAnsi="宋体" w:eastAsia="宋体" w:cs="宋体"/>
                <w:bCs/>
                <w:color w:val="auto"/>
                <w:sz w:val="21"/>
                <w:szCs w:val="21"/>
                <w:highlight w:val="none"/>
                <w:lang w:val="zh-CN"/>
              </w:rPr>
              <w:t>投标人拟投</w:t>
            </w:r>
            <w:r>
              <w:rPr>
                <w:rFonts w:hint="eastAsia" w:ascii="宋体" w:hAnsi="宋体" w:eastAsia="宋体" w:cs="宋体"/>
                <w:bCs/>
                <w:color w:val="auto"/>
                <w:sz w:val="21"/>
                <w:szCs w:val="21"/>
                <w:highlight w:val="none"/>
                <w:lang w:val="en-US" w:eastAsia="zh-CN"/>
              </w:rPr>
              <w:t>入</w:t>
            </w:r>
            <w:r>
              <w:rPr>
                <w:rFonts w:hint="eastAsia" w:ascii="宋体" w:hAnsi="宋体" w:eastAsia="宋体" w:cs="宋体"/>
                <w:bCs/>
                <w:color w:val="auto"/>
                <w:sz w:val="21"/>
                <w:szCs w:val="21"/>
                <w:highlight w:val="none"/>
                <w:lang w:val="zh-CN"/>
              </w:rPr>
              <w:t>设备</w:t>
            </w:r>
            <w:r>
              <w:rPr>
                <w:rFonts w:hint="eastAsia" w:ascii="宋体" w:hAnsi="宋体" w:eastAsia="宋体" w:cs="宋体"/>
                <w:bCs/>
                <w:color w:val="auto"/>
                <w:sz w:val="21"/>
                <w:szCs w:val="21"/>
                <w:highlight w:val="none"/>
                <w:lang w:val="en-US" w:eastAsia="zh-CN"/>
              </w:rPr>
              <w:t>配置的</w:t>
            </w:r>
            <w:r>
              <w:rPr>
                <w:rFonts w:hint="eastAsia" w:ascii="宋体" w:hAnsi="宋体" w:eastAsia="宋体" w:cs="宋体"/>
                <w:bCs/>
                <w:color w:val="auto"/>
                <w:sz w:val="21"/>
                <w:szCs w:val="21"/>
                <w:highlight w:val="none"/>
                <w:lang w:val="zh-CN"/>
              </w:rPr>
              <w:t>先进性、安全性、稳定性</w:t>
            </w:r>
            <w:r>
              <w:rPr>
                <w:rFonts w:hint="eastAsia" w:ascii="宋体" w:hAnsi="宋体" w:eastAsia="宋体" w:cs="宋体"/>
                <w:bCs/>
                <w:color w:val="auto"/>
                <w:sz w:val="21"/>
                <w:szCs w:val="21"/>
                <w:highlight w:val="none"/>
                <w:lang w:val="en-US" w:eastAsia="zh-CN"/>
              </w:rPr>
              <w:t>进行综合评审：</w:t>
            </w:r>
            <w:r>
              <w:rPr>
                <w:rFonts w:hint="eastAsia" w:ascii="宋体" w:hAnsi="宋体" w:eastAsia="宋体" w:cs="宋体"/>
                <w:bCs/>
                <w:color w:val="auto"/>
                <w:sz w:val="21"/>
                <w:szCs w:val="21"/>
                <w:highlight w:val="none"/>
                <w:lang w:val="zh-CN"/>
              </w:rPr>
              <w:br w:type="textWrapping"/>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zh-CN"/>
              </w:rPr>
              <w:t>拟投</w:t>
            </w:r>
            <w:r>
              <w:rPr>
                <w:rFonts w:hint="eastAsia" w:ascii="宋体" w:hAnsi="宋体" w:eastAsia="宋体" w:cs="宋体"/>
                <w:bCs/>
                <w:color w:val="auto"/>
                <w:sz w:val="21"/>
                <w:szCs w:val="21"/>
                <w:highlight w:val="none"/>
                <w:lang w:val="en-US" w:eastAsia="zh-CN"/>
              </w:rPr>
              <w:t>入</w:t>
            </w:r>
            <w:r>
              <w:rPr>
                <w:rFonts w:hint="eastAsia" w:ascii="宋体" w:hAnsi="宋体" w:eastAsia="宋体" w:cs="宋体"/>
                <w:bCs/>
                <w:color w:val="auto"/>
                <w:sz w:val="21"/>
                <w:szCs w:val="21"/>
                <w:highlight w:val="none"/>
                <w:lang w:val="zh-CN"/>
              </w:rPr>
              <w:t>设备</w:t>
            </w:r>
            <w:r>
              <w:rPr>
                <w:rFonts w:hint="eastAsia" w:ascii="宋体" w:hAnsi="宋体" w:eastAsia="宋体" w:cs="宋体"/>
                <w:bCs/>
                <w:color w:val="auto"/>
                <w:sz w:val="21"/>
                <w:szCs w:val="21"/>
                <w:highlight w:val="none"/>
                <w:lang w:val="en-US" w:eastAsia="zh-CN"/>
              </w:rPr>
              <w:t>配置非常</w:t>
            </w:r>
            <w:r>
              <w:rPr>
                <w:rFonts w:hint="eastAsia" w:ascii="宋体" w:hAnsi="宋体" w:eastAsia="宋体" w:cs="宋体"/>
                <w:bCs/>
                <w:color w:val="auto"/>
                <w:sz w:val="21"/>
                <w:szCs w:val="21"/>
                <w:highlight w:val="none"/>
                <w:lang w:val="zh-CN"/>
              </w:rPr>
              <w:t>先进、</w:t>
            </w:r>
            <w:r>
              <w:rPr>
                <w:rFonts w:hint="eastAsia" w:ascii="宋体" w:hAnsi="宋体" w:eastAsia="宋体" w:cs="宋体"/>
                <w:bCs/>
                <w:color w:val="auto"/>
                <w:sz w:val="21"/>
                <w:szCs w:val="21"/>
                <w:highlight w:val="none"/>
                <w:lang w:val="en-US" w:eastAsia="zh-CN"/>
              </w:rPr>
              <w:t>非常</w:t>
            </w:r>
            <w:r>
              <w:rPr>
                <w:rFonts w:hint="eastAsia" w:ascii="宋体" w:hAnsi="宋体" w:eastAsia="宋体" w:cs="宋体"/>
                <w:bCs/>
                <w:color w:val="auto"/>
                <w:sz w:val="21"/>
                <w:szCs w:val="21"/>
                <w:highlight w:val="none"/>
                <w:lang w:val="zh-CN"/>
              </w:rPr>
              <w:t>安全</w:t>
            </w:r>
            <w:r>
              <w:rPr>
                <w:rFonts w:hint="eastAsia" w:ascii="宋体" w:hAnsi="宋体" w:eastAsia="宋体" w:cs="宋体"/>
                <w:bCs/>
                <w:color w:val="auto"/>
                <w:sz w:val="21"/>
                <w:szCs w:val="21"/>
                <w:highlight w:val="none"/>
                <w:lang w:val="en-US" w:eastAsia="zh-CN"/>
              </w:rPr>
              <w:t>、非常</w:t>
            </w:r>
            <w:r>
              <w:rPr>
                <w:rFonts w:hint="eastAsia" w:ascii="宋体" w:hAnsi="宋体" w:eastAsia="宋体" w:cs="宋体"/>
                <w:bCs/>
                <w:color w:val="auto"/>
                <w:sz w:val="21"/>
                <w:szCs w:val="21"/>
                <w:highlight w:val="none"/>
                <w:lang w:val="zh-CN"/>
              </w:rPr>
              <w:t>稳定</w:t>
            </w:r>
            <w:r>
              <w:rPr>
                <w:rFonts w:hint="eastAsia" w:ascii="宋体" w:hAnsi="宋体" w:eastAsia="宋体" w:cs="宋体"/>
                <w:bCs/>
                <w:color w:val="auto"/>
                <w:sz w:val="21"/>
                <w:szCs w:val="21"/>
                <w:highlight w:val="none"/>
                <w:lang w:val="en-US" w:eastAsia="zh-CN"/>
              </w:rPr>
              <w:t>的，得6分；</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拟投</w:t>
            </w:r>
            <w:r>
              <w:rPr>
                <w:rFonts w:hint="eastAsia" w:ascii="宋体" w:hAnsi="宋体" w:eastAsia="宋体" w:cs="宋体"/>
                <w:bCs/>
                <w:color w:val="auto"/>
                <w:sz w:val="21"/>
                <w:szCs w:val="21"/>
                <w:highlight w:val="none"/>
                <w:lang w:val="en-US" w:eastAsia="zh-CN"/>
              </w:rPr>
              <w:t>入</w:t>
            </w:r>
            <w:r>
              <w:rPr>
                <w:rFonts w:hint="eastAsia" w:ascii="宋体" w:hAnsi="宋体" w:eastAsia="宋体" w:cs="宋体"/>
                <w:bCs/>
                <w:color w:val="auto"/>
                <w:sz w:val="21"/>
                <w:szCs w:val="21"/>
                <w:highlight w:val="none"/>
                <w:lang w:val="zh-CN"/>
              </w:rPr>
              <w:t>设备</w:t>
            </w:r>
            <w:r>
              <w:rPr>
                <w:rFonts w:hint="eastAsia" w:ascii="宋体" w:hAnsi="宋体" w:eastAsia="宋体" w:cs="宋体"/>
                <w:bCs/>
                <w:color w:val="auto"/>
                <w:sz w:val="21"/>
                <w:szCs w:val="21"/>
                <w:highlight w:val="none"/>
                <w:lang w:val="en-US" w:eastAsia="zh-CN"/>
              </w:rPr>
              <w:t>配置较</w:t>
            </w:r>
            <w:r>
              <w:rPr>
                <w:rFonts w:hint="eastAsia" w:ascii="宋体" w:hAnsi="宋体" w:eastAsia="宋体" w:cs="宋体"/>
                <w:bCs/>
                <w:color w:val="auto"/>
                <w:sz w:val="21"/>
                <w:szCs w:val="21"/>
                <w:highlight w:val="none"/>
                <w:lang w:val="zh-CN"/>
              </w:rPr>
              <w:t>先进、</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安全、</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稳定</w:t>
            </w:r>
            <w:r>
              <w:rPr>
                <w:rFonts w:hint="eastAsia" w:ascii="宋体" w:hAnsi="宋体" w:eastAsia="宋体" w:cs="宋体"/>
                <w:bCs/>
                <w:color w:val="auto"/>
                <w:sz w:val="21"/>
                <w:szCs w:val="21"/>
                <w:highlight w:val="none"/>
                <w:lang w:val="en-US" w:eastAsia="zh-CN"/>
              </w:rPr>
              <w:t>的，得4分；</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拟投</w:t>
            </w:r>
            <w:r>
              <w:rPr>
                <w:rFonts w:hint="eastAsia" w:ascii="宋体" w:hAnsi="宋体" w:eastAsia="宋体" w:cs="宋体"/>
                <w:bCs/>
                <w:color w:val="auto"/>
                <w:sz w:val="21"/>
                <w:szCs w:val="21"/>
                <w:highlight w:val="none"/>
                <w:lang w:val="en-US" w:eastAsia="zh-CN"/>
              </w:rPr>
              <w:t>入</w:t>
            </w:r>
            <w:r>
              <w:rPr>
                <w:rFonts w:hint="eastAsia" w:ascii="宋体" w:hAnsi="宋体" w:eastAsia="宋体" w:cs="宋体"/>
                <w:bCs/>
                <w:color w:val="auto"/>
                <w:sz w:val="21"/>
                <w:szCs w:val="21"/>
                <w:highlight w:val="none"/>
                <w:lang w:val="zh-CN"/>
              </w:rPr>
              <w:t>设备</w:t>
            </w:r>
            <w:r>
              <w:rPr>
                <w:rFonts w:hint="eastAsia" w:ascii="宋体" w:hAnsi="宋体" w:eastAsia="宋体" w:cs="宋体"/>
                <w:bCs/>
                <w:color w:val="auto"/>
                <w:sz w:val="21"/>
                <w:szCs w:val="21"/>
                <w:highlight w:val="none"/>
                <w:lang w:val="en-US" w:eastAsia="zh-CN"/>
              </w:rPr>
              <w:t>配置</w:t>
            </w:r>
            <w:r>
              <w:rPr>
                <w:rFonts w:hint="eastAsia" w:ascii="宋体" w:hAnsi="宋体" w:eastAsia="宋体" w:cs="宋体"/>
                <w:bCs/>
                <w:color w:val="auto"/>
                <w:sz w:val="21"/>
                <w:szCs w:val="21"/>
                <w:highlight w:val="none"/>
                <w:lang w:val="zh-CN"/>
              </w:rPr>
              <w:t>先进</w:t>
            </w:r>
            <w:r>
              <w:rPr>
                <w:rFonts w:hint="eastAsia" w:ascii="宋体" w:hAnsi="宋体" w:eastAsia="宋体" w:cs="宋体"/>
                <w:bCs/>
                <w:color w:val="auto"/>
                <w:sz w:val="21"/>
                <w:szCs w:val="21"/>
                <w:highlight w:val="none"/>
                <w:lang w:val="en-US" w:eastAsia="zh-CN"/>
              </w:rPr>
              <w:t>性一般</w:t>
            </w:r>
            <w:r>
              <w:rPr>
                <w:rFonts w:hint="eastAsia" w:ascii="宋体" w:hAnsi="宋体" w:eastAsia="宋体" w:cs="宋体"/>
                <w:bCs/>
                <w:color w:val="auto"/>
                <w:sz w:val="21"/>
                <w:szCs w:val="21"/>
                <w:highlight w:val="none"/>
                <w:lang w:val="zh-CN"/>
              </w:rPr>
              <w:t>、安全</w:t>
            </w:r>
            <w:r>
              <w:rPr>
                <w:rFonts w:hint="eastAsia" w:ascii="宋体" w:hAnsi="宋体" w:eastAsia="宋体" w:cs="宋体"/>
                <w:bCs/>
                <w:color w:val="auto"/>
                <w:sz w:val="21"/>
                <w:szCs w:val="21"/>
                <w:highlight w:val="none"/>
                <w:lang w:val="en-US" w:eastAsia="zh-CN"/>
              </w:rPr>
              <w:t>性一般</w:t>
            </w:r>
            <w:r>
              <w:rPr>
                <w:rFonts w:hint="eastAsia" w:ascii="宋体" w:hAnsi="宋体" w:eastAsia="宋体" w:cs="宋体"/>
                <w:bCs/>
                <w:color w:val="auto"/>
                <w:sz w:val="21"/>
                <w:szCs w:val="21"/>
                <w:highlight w:val="none"/>
                <w:lang w:val="zh-CN"/>
              </w:rPr>
              <w:t>、稳定</w:t>
            </w:r>
            <w:r>
              <w:rPr>
                <w:rFonts w:hint="eastAsia" w:ascii="宋体" w:hAnsi="宋体" w:eastAsia="宋体" w:cs="宋体"/>
                <w:bCs/>
                <w:color w:val="auto"/>
                <w:sz w:val="21"/>
                <w:szCs w:val="21"/>
                <w:highlight w:val="none"/>
                <w:lang w:val="en-US" w:eastAsia="zh-CN"/>
              </w:rPr>
              <w:t>性一般的，得2分；</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拟投</w:t>
            </w:r>
            <w:r>
              <w:rPr>
                <w:rFonts w:hint="eastAsia" w:ascii="宋体" w:hAnsi="宋体" w:eastAsia="宋体" w:cs="宋体"/>
                <w:bCs/>
                <w:color w:val="auto"/>
                <w:sz w:val="21"/>
                <w:szCs w:val="21"/>
                <w:highlight w:val="none"/>
                <w:lang w:val="en-US" w:eastAsia="zh-CN"/>
              </w:rPr>
              <w:t>入</w:t>
            </w:r>
            <w:r>
              <w:rPr>
                <w:rFonts w:hint="eastAsia" w:ascii="宋体" w:hAnsi="宋体" w:eastAsia="宋体" w:cs="宋体"/>
                <w:bCs/>
                <w:color w:val="auto"/>
                <w:sz w:val="21"/>
                <w:szCs w:val="21"/>
                <w:highlight w:val="none"/>
                <w:lang w:val="zh-CN"/>
              </w:rPr>
              <w:t>设备</w:t>
            </w:r>
            <w:r>
              <w:rPr>
                <w:rFonts w:hint="eastAsia" w:ascii="宋体" w:hAnsi="宋体" w:eastAsia="宋体" w:cs="宋体"/>
                <w:bCs/>
                <w:color w:val="auto"/>
                <w:sz w:val="21"/>
                <w:szCs w:val="21"/>
                <w:highlight w:val="none"/>
                <w:lang w:val="en-US" w:eastAsia="zh-CN"/>
              </w:rPr>
              <w:t>配置</w:t>
            </w:r>
            <w:r>
              <w:rPr>
                <w:rFonts w:hint="eastAsia" w:ascii="宋体" w:hAnsi="宋体" w:eastAsia="宋体" w:cs="宋体"/>
                <w:bCs/>
                <w:color w:val="auto"/>
                <w:sz w:val="21"/>
                <w:szCs w:val="21"/>
                <w:highlight w:val="none"/>
                <w:lang w:val="zh-CN"/>
              </w:rPr>
              <w:t>先进</w:t>
            </w:r>
            <w:r>
              <w:rPr>
                <w:rFonts w:hint="eastAsia" w:ascii="宋体" w:hAnsi="宋体" w:eastAsia="宋体" w:cs="宋体"/>
                <w:bCs/>
                <w:color w:val="auto"/>
                <w:sz w:val="21"/>
                <w:szCs w:val="21"/>
                <w:highlight w:val="none"/>
                <w:lang w:val="en-US" w:eastAsia="zh-CN"/>
              </w:rPr>
              <w:t>性差</w:t>
            </w:r>
            <w:r>
              <w:rPr>
                <w:rFonts w:hint="eastAsia" w:ascii="宋体" w:hAnsi="宋体" w:eastAsia="宋体" w:cs="宋体"/>
                <w:bCs/>
                <w:color w:val="auto"/>
                <w:sz w:val="21"/>
                <w:szCs w:val="21"/>
                <w:highlight w:val="none"/>
                <w:lang w:val="zh-CN"/>
              </w:rPr>
              <w:t>、安全</w:t>
            </w:r>
            <w:r>
              <w:rPr>
                <w:rFonts w:hint="eastAsia" w:ascii="宋体" w:hAnsi="宋体" w:eastAsia="宋体" w:cs="宋体"/>
                <w:bCs/>
                <w:color w:val="auto"/>
                <w:sz w:val="21"/>
                <w:szCs w:val="21"/>
                <w:highlight w:val="none"/>
                <w:lang w:val="en-US" w:eastAsia="zh-CN"/>
              </w:rPr>
              <w:t>性差</w:t>
            </w:r>
            <w:r>
              <w:rPr>
                <w:rFonts w:hint="eastAsia" w:ascii="宋体" w:hAnsi="宋体" w:eastAsia="宋体" w:cs="宋体"/>
                <w:bCs/>
                <w:color w:val="auto"/>
                <w:sz w:val="21"/>
                <w:szCs w:val="21"/>
                <w:highlight w:val="none"/>
                <w:lang w:val="zh-CN"/>
              </w:rPr>
              <w:t>、稳定</w:t>
            </w:r>
            <w:r>
              <w:rPr>
                <w:rFonts w:hint="eastAsia" w:ascii="宋体" w:hAnsi="宋体" w:eastAsia="宋体" w:cs="宋体"/>
                <w:bCs/>
                <w:color w:val="auto"/>
                <w:sz w:val="21"/>
                <w:szCs w:val="21"/>
                <w:highlight w:val="none"/>
                <w:lang w:val="en-US" w:eastAsia="zh-CN"/>
              </w:rPr>
              <w:t>性差的，得1分；</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未提供</w:t>
            </w:r>
            <w:r>
              <w:rPr>
                <w:rFonts w:hint="eastAsia" w:ascii="宋体" w:hAnsi="宋体" w:eastAsia="宋体" w:cs="宋体"/>
                <w:color w:val="auto"/>
                <w:sz w:val="21"/>
                <w:szCs w:val="21"/>
                <w:highlight w:val="none"/>
              </w:rPr>
              <w:t>设备配置情况</w:t>
            </w:r>
            <w:r>
              <w:rPr>
                <w:rFonts w:hint="eastAsia" w:ascii="宋体" w:hAnsi="宋体" w:eastAsia="宋体" w:cs="宋体"/>
                <w:bCs/>
                <w:color w:val="auto"/>
                <w:sz w:val="21"/>
                <w:szCs w:val="21"/>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售后服务方案</w:t>
            </w:r>
          </w:p>
        </w:tc>
        <w:tc>
          <w:tcPr>
            <w:tcW w:w="762"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val="en-US" w:eastAsia="zh-CN"/>
              </w:rPr>
              <w:t>6</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lang w:val="zh-CN"/>
              </w:rPr>
              <w:t>响应项目安排的售后服务响应、应急服务响应、故障响应、质量保证体系及措施、服务承诺等进行</w:t>
            </w:r>
            <w:r>
              <w:rPr>
                <w:rFonts w:hint="eastAsia" w:ascii="宋体" w:hAnsi="宋体" w:eastAsia="宋体" w:cs="宋体"/>
                <w:color w:val="auto"/>
                <w:kern w:val="0"/>
                <w:sz w:val="21"/>
                <w:szCs w:val="21"/>
                <w:highlight w:val="none"/>
                <w:lang w:val="en-US" w:eastAsia="zh-CN"/>
              </w:rPr>
              <w:t>综合评审：</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售后服务方案完整科学、可行性非常强，优于或完全满足项目用户需求的，得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售后服务方案完整、可行性较强，满足项目用户需求的，得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售后服务方案基本完整、具有一定可行性，基本符合项目用户需求的，得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售后服务方案不太完整、可行性一般，不太符合项目用户需求的，得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质量保障措施及应急方案</w:t>
            </w:r>
          </w:p>
        </w:tc>
        <w:tc>
          <w:tcPr>
            <w:tcW w:w="762"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根据投标人提供质量保障措施方案及应急方案（包括但不限于质量目标、项目质量的控制和应急方案措施）</w:t>
            </w:r>
            <w:r>
              <w:rPr>
                <w:rFonts w:hint="eastAsia" w:ascii="宋体" w:hAnsi="宋体" w:eastAsia="宋体" w:cs="宋体"/>
                <w:color w:val="auto"/>
                <w:kern w:val="0"/>
                <w:sz w:val="21"/>
                <w:szCs w:val="21"/>
                <w:highlight w:val="none"/>
                <w:lang w:val="en-US" w:eastAsia="zh-CN"/>
              </w:rPr>
              <w:t>进行综合评审：</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质量目标非常明确、项目质量的控制非常详细、检验手段非常科学，应急方案非常具体可行，得</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质量目标比较明确、项目质量的控制较为详细、检验手段比较科学，应急方案比较具体可行，得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质量目标基本明确、项目质量的控制一般、检验手段一般，安全、应急方案一般，得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质量目标不明确、项目质量的控制不够可行、检验手段一般，应急方案不够具体、可行，得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852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907"/>
              </w:tabs>
              <w:kinsoku/>
              <w:wordWrap/>
              <w:overflowPunct/>
              <w:topLinePunct w:val="0"/>
              <w:autoSpaceDE/>
              <w:autoSpaceDN/>
              <w:bidi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p>
          <w:p>
            <w:pPr>
              <w:keepNext w:val="0"/>
              <w:keepLines w:val="0"/>
              <w:pageBreakBefore w:val="0"/>
              <w:tabs>
                <w:tab w:val="left" w:pos="907"/>
              </w:tabs>
              <w:kinsoku/>
              <w:wordWrap/>
              <w:overflowPunct/>
              <w:topLinePunct w:val="0"/>
              <w:autoSpaceDE/>
              <w:autoSpaceDN/>
              <w:bidi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（1）无特殊说明外，以上评审项，同一证明文件不重复计分。</w:t>
            </w:r>
          </w:p>
          <w:p>
            <w:pPr>
              <w:keepNext w:val="0"/>
              <w:keepLines w:val="0"/>
              <w:pageBreakBefore w:val="0"/>
              <w:tabs>
                <w:tab w:val="left" w:pos="907"/>
              </w:tabs>
              <w:kinsoku/>
              <w:wordWrap/>
              <w:overflowPunct/>
              <w:topLinePunct w:val="0"/>
              <w:autoSpaceDE/>
              <w:autoSpaceDN/>
              <w:bidi w:val="0"/>
              <w:spacing w:after="0"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eastAsia="zh-CN"/>
              </w:rPr>
              <w:t>投标人</w:t>
            </w:r>
            <w:r>
              <w:rPr>
                <w:rFonts w:hint="eastAsia" w:ascii="宋体" w:hAnsi="宋体" w:eastAsia="宋体" w:cs="宋体"/>
                <w:b/>
                <w:color w:val="auto"/>
                <w:sz w:val="21"/>
                <w:szCs w:val="21"/>
                <w:highlight w:val="none"/>
              </w:rPr>
              <w:t>根据以上评分要求提供的投标材料因模糊不清导致评标委员会无法清晰辨认进行评审的，视为无效材料。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4"/>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价格评审（</w:t>
            </w:r>
            <w:r>
              <w:rPr>
                <w:rFonts w:hint="eastAsia" w:asci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832"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tabs>
                <w:tab w:val="left" w:pos="907"/>
              </w:tabs>
              <w:adjustRightInd/>
              <w:snapToGrid/>
              <w:spacing w:after="0" w:line="360" w:lineRule="auto"/>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价格分计算方法：满足招标文件要求且投标价格最低的投标报价为评标基准价，其价格分为满分。其他投标人的价格分统一按照下列公式计算：</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投标报价得分=(评标基准价／投标报价)×价格权值</w:t>
            </w:r>
          </w:p>
        </w:tc>
      </w:tr>
    </w:tbl>
    <w:p>
      <w:pPr>
        <w:pStyle w:val="3"/>
        <w:spacing w:before="0" w:after="0" w:line="240" w:lineRule="auto"/>
        <w:rPr>
          <w:color w:val="auto"/>
          <w:sz w:val="36"/>
          <w:szCs w:val="36"/>
          <w:highlight w:val="none"/>
        </w:rPr>
      </w:pPr>
      <w:r>
        <w:rPr>
          <w:rFonts w:hint="eastAsia"/>
          <w:color w:val="auto"/>
          <w:sz w:val="28"/>
          <w:szCs w:val="28"/>
          <w:highlight w:val="none"/>
        </w:rPr>
        <w:br w:type="page"/>
      </w:r>
      <w:bookmarkStart w:id="4" w:name="_Toc31854"/>
      <w:r>
        <w:rPr>
          <w:rFonts w:hint="eastAsia"/>
          <w:color w:val="auto"/>
          <w:sz w:val="28"/>
          <w:szCs w:val="28"/>
          <w:highlight w:val="none"/>
        </w:rPr>
        <w:t>第三部分 用户需求书</w:t>
      </w:r>
      <w:bookmarkEnd w:id="4"/>
    </w:p>
    <w:p>
      <w:pPr>
        <w:pStyle w:val="4"/>
        <w:spacing w:before="0" w:after="0" w:line="240" w:lineRule="auto"/>
        <w:jc w:val="center"/>
        <w:rPr>
          <w:rFonts w:ascii="宋体" w:hAnsi="宋体" w:eastAsia="宋体" w:cs="宋体"/>
          <w:color w:val="auto"/>
          <w:sz w:val="24"/>
          <w:szCs w:val="24"/>
          <w:highlight w:val="none"/>
        </w:rPr>
      </w:pPr>
      <w:bookmarkStart w:id="5" w:name="_Toc3968"/>
      <w:r>
        <w:rPr>
          <w:rFonts w:hint="eastAsia" w:ascii="宋体" w:hAnsi="宋体" w:eastAsia="宋体" w:cs="宋体"/>
          <w:color w:val="auto"/>
          <w:sz w:val="24"/>
          <w:szCs w:val="24"/>
          <w:highlight w:val="none"/>
        </w:rPr>
        <w:t>用户需求明细</w:t>
      </w:r>
      <w:bookmarkEnd w:id="5"/>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color w:val="auto"/>
          <w:highlight w:val="none"/>
          <w:lang w:val="en-US" w:eastAsia="zh-CN"/>
        </w:rPr>
      </w:pPr>
      <w:bookmarkStart w:id="6" w:name="_Toc23598"/>
      <w:bookmarkStart w:id="7" w:name="_Toc24679"/>
      <w:bookmarkStart w:id="8" w:name="_Toc13112"/>
      <w:bookmarkStart w:id="9" w:name="_Toc31278"/>
      <w:bookmarkStart w:id="10" w:name="_Toc14462"/>
    </w:p>
    <w:bookmarkEnd w:id="6"/>
    <w:p>
      <w:pPr>
        <w:pStyle w:val="5"/>
        <w:bidi w:val="0"/>
        <w:rPr>
          <w:rFonts w:hint="eastAsia"/>
          <w:color w:val="auto"/>
          <w:highlight w:val="none"/>
          <w:lang w:val="en-US" w:eastAsia="zh-CN"/>
        </w:rPr>
      </w:pPr>
      <w:r>
        <w:rPr>
          <w:rFonts w:hint="eastAsia"/>
          <w:color w:val="auto"/>
          <w:highlight w:val="none"/>
          <w:lang w:val="en-US" w:eastAsia="zh-CN"/>
        </w:rPr>
        <w:t>一、项目概况</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东莞市横沥中学创建于1958年，目前已有62年历史。初建于横沥镇旧街，于1960年搬迁至横沥镇麒麟岭（即现在的横沥时代倾城花园），后于2012年搬迁至东莞市横沥镇树人路1号。学校校园占地总面积93329㎡，建筑总面积80361.8㎡，绿化用地面积32687.1㎡。学校共有主体建筑14幢楼，教学楼3幢，图书馆、体育馆、实验楼、综合楼、教工宿舍楼1幢，师生食堂2幢，学生宿舍楼4幢，400</w:t>
      </w:r>
      <w:r>
        <w:rPr>
          <w:rFonts w:hint="eastAsia" w:ascii="宋体" w:hAnsi="宋体" w:cs="宋体"/>
          <w:color w:val="auto"/>
          <w:kern w:val="2"/>
          <w:sz w:val="21"/>
          <w:szCs w:val="21"/>
          <w:highlight w:val="none"/>
          <w:lang w:val="en-US" w:eastAsia="zh-CN"/>
        </w:rPr>
        <w:t>m</w:t>
      </w:r>
      <w:r>
        <w:rPr>
          <w:rFonts w:hint="eastAsia" w:ascii="宋体" w:hAnsi="宋体" w:eastAsia="宋体" w:cs="宋体"/>
          <w:color w:val="auto"/>
          <w:kern w:val="2"/>
          <w:sz w:val="21"/>
          <w:szCs w:val="21"/>
          <w:highlight w:val="none"/>
          <w:lang w:val="en-US" w:eastAsia="zh-CN"/>
        </w:rPr>
        <w:t>标准跑道运动场1个，篮球场8个，食堂能满足2400人同时就餐，有学生床位2560个。学校现有初中教学班52个，慕课教学班46个，学生2426人，在岗教职工217人，其中，全国“五一劳动”奖章获得者1名，特级教师1名，东莞市名师工作室主持人1名，东莞市学科带头人5名，东莞市教学能手21名，高级教师24名。</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我校以培养具有中华传统美德和国际开放视野的高素质现代公民为办学理念，以高尚、高雅、高贵为育人标准，民主治校，依法治校、制度治校，打造以“文道”为核心的校园文化，走校本特色教育改革道路。</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文化德育，硕果累累。德育处坚持“德育为首、育人为本、动之以情、晓之以理、导之以行”的德育工作原则，明确了“高尚、高雅、高贵”的育人目标，形成了以“安全教育为前提，以礼文化为核心，以养成教育为主线”的横中德育特色，在校园中形成“兴文达礼、明道立人”的校训，“崇仁守礼、善学慎思”的校风，“身正行范、学教相长”的教风，“容正仪端、知行相成”的学风，营造出文明、温馨、和谐的校园氛围。学校先后被评为东莞市科普特色学校、东莞市无毒学校、东莞市园林式单位、广东省校务公开民主管理工作先进单位、广东省绿色学校、东莞市依法治校示范校、东莞市文明标兵学校、东莞市慕课试点学校、东莞市科普标兵学校、东莞市语言文字规范化模范校、东莞市中小学心理健康教育特色学校、东莞市首批创客学校、2017—2019年东莞市中小学科技教育活动先进学校、广东省健康促进示范学校。</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jc w:val="left"/>
        <w:textAlignment w:val="auto"/>
        <w:outlineLvl w:val="9"/>
        <w:rPr>
          <w:rFonts w:hint="eastAsia" w:ascii="宋体" w:hAnsi="宋体" w:eastAsia="宋体" w:cs="宋体"/>
          <w:color w:val="auto"/>
          <w:kern w:val="2"/>
          <w:sz w:val="21"/>
          <w:szCs w:val="21"/>
          <w:highlight w:val="none"/>
          <w:lang w:val="en-US" w:eastAsia="zh-CN"/>
        </w:rPr>
      </w:pPr>
    </w:p>
    <w:p>
      <w:pPr>
        <w:pStyle w:val="5"/>
        <w:bidi w:val="0"/>
        <w:rPr>
          <w:rFonts w:hint="eastAsia"/>
          <w:color w:val="auto"/>
          <w:highlight w:val="none"/>
          <w:lang w:val="en-US" w:eastAsia="zh-CN"/>
        </w:rPr>
      </w:pPr>
      <w:r>
        <w:rPr>
          <w:rFonts w:hint="eastAsia"/>
          <w:color w:val="auto"/>
          <w:highlight w:val="none"/>
          <w:lang w:val="en-US" w:eastAsia="zh-CN"/>
        </w:rPr>
        <w:t>二、项目背景</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百年大计，教育为本。《国家中长期教育改革和发展规划纲要（ 2010-2020 年）》特别指出，“把改革创新作为教育发展的强大动力，创新办学体制和教育管理体制，建设中国特色现代学校制度,鼓励地方和学校大胆探索和试验。”  </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教育部关于发布&lt;中小学数字校园建设规范(试行)&gt;》的文件里对智慧校园建设提出了明确的方案。而校园信息化正是信息技术与教育相结合的产物，数字化校园信息平台的建设已成为教育部门和学校推进教育信息化的重要任务。</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2018年4月初，《教育信息化2.0行动计划》发布，着重强调了“三全两高一大”：</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“三全”：1、教学应用覆盖全体教师；2、学习应用覆盖全体适龄学生；3、数字校园建设覆盖全体学校。</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“两高”：信息化应用水平和师生信息素养普遍提高。</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“一大”：指建成“互联网+教育”大平台。</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学校信息化是以校园信息化是为背景而构建的集教学、管理、娱乐为一体的一种新型信息化系统。在信息化时代，发展信息技术已成为国家、社会和经济发展的重大战略目标之一。中共中央在《关于深化教育改革全面推进素质教育的决定》中明确提出，要“大力提高教育技术手段的现代化水平和教育信息化程度，加强经济实用型终端平台系统和校园网或城域网络的建设。</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信息化项目是个庞大、系统的建设工程，建成后的信息化系统能使整个校园充分利用信息化手段加强有效管理，提高使用效率和管理水平。本项目以信息化应用的技术手段，进行信息化设计。本次项目包含学校桌面云机房、智慧教室和校园电子班牌系统。</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ab/>
      </w:r>
    </w:p>
    <w:p>
      <w:pPr>
        <w:pStyle w:val="5"/>
        <w:bidi w:val="0"/>
        <w:rPr>
          <w:rFonts w:hint="eastAsia"/>
          <w:color w:val="auto"/>
          <w:highlight w:val="none"/>
          <w:lang w:val="en-US" w:eastAsia="zh-CN"/>
        </w:rPr>
      </w:pPr>
      <w:r>
        <w:rPr>
          <w:rFonts w:hint="eastAsia"/>
          <w:color w:val="auto"/>
          <w:highlight w:val="none"/>
          <w:lang w:val="en-US" w:eastAsia="zh-CN"/>
        </w:rPr>
        <w:t>三、项目需求</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随着计算机在学校范围内越来越广泛的应用，如何提高学校计算机综合应用管理水平，如何让计算机为使用者提供更多、更贴心的功能，已经越来越被学校的各级管理人员所重视。近年来各种软件、硬件产品层出不穷，但都只能局部解决一些小问题。</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ab/>
      </w:r>
      <w:r>
        <w:rPr>
          <w:rFonts w:hint="eastAsia" w:ascii="宋体" w:hAnsi="宋体" w:eastAsia="宋体" w:cs="宋体"/>
          <w:color w:val="auto"/>
          <w:kern w:val="2"/>
          <w:sz w:val="21"/>
          <w:szCs w:val="21"/>
          <w:highlight w:val="none"/>
          <w:lang w:val="en-US" w:eastAsia="zh-CN"/>
        </w:rPr>
        <w:t>从2005年开始，云计算、云服务、虚拟化的声音渐渐兴起，但由于技术的成熟性、可靠性都没得到长期的验证，因此虚拟化技术没有得到大面积的推广，5年来随着世界几大虚拟化厂家铺天盖地的宣传和推广，虚拟化技术已经步入到成熟期。</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服务器虚拟化、存储虚拟化、桌面虚拟化是虚拟化的几个组成部分，在学校中服务器虚拟化、存储虚拟化已经得到了一定的应用，帮助学校解决了很多问题，但学校动辄上万台PC的管理、应用问题却并没有从中受益，而桌面虚拟化技术的成熟为解决这一难题提供了良好的技术保证，借着高校计算机应用需求、管理需求的不断上升的热潮，桌面虚拟化迎来了发展的契机。</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ab/>
      </w:r>
      <w:r>
        <w:rPr>
          <w:rFonts w:hint="eastAsia" w:ascii="宋体" w:hAnsi="宋体" w:eastAsia="宋体" w:cs="宋体"/>
          <w:color w:val="auto"/>
          <w:kern w:val="2"/>
          <w:sz w:val="21"/>
          <w:szCs w:val="21"/>
          <w:highlight w:val="none"/>
          <w:lang w:val="en-US" w:eastAsia="zh-CN"/>
        </w:rPr>
        <w:t>在桌面虚拟化项目实施后，希望能大大改善目前学校计算机的管理及应用问题，能够达到以下的目标：</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简化计算机实训室的管理，提高系统部署效率，实现操作系统与具体硬件无关性。</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为老师和学生提供个性化操作系统界面，放权让老师和学生管理自己的个性化操作系统，而且个性化操作系统界面与物理计算机无关，而是随使用者的不同而不同。</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对计算机实训室的计算机操作系统统一管理和维护，依托本地计算机资源，为教师和学生提供高性能的个性化桌面服务，既减少管理人员的工作量和管理难度，又能教师和学生安装需要的应用软件提供方便。</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切实利用好计算机本地硬盘，解决目前市面上一些虚拟化产品对网络、后台服务器依赖过高的问题，在特殊情况下，前台计算机可以独立运行。实现向前端PC推送多操作系统的能力。</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实现在不重新批量安装操作系统和应用软件的条件下，批量升级操作系统、应用软件以及新的应用软件的安装。</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智慧班牌是智慧平台的数据呈现端，也是智慧平台数据的采集工具之一。智慧班牌一方面呈现了丰富多彩的班级文化，另一方面也成为了学校和班级、教师和学生、家长和学生之间的互动媒介，班牌已成为智慧校园不可或缺的部分。</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与此同时，2014年12月16日，教育部发布了《关于普通高中学业水平考试的实施意见》，明确进行新高考改革。新高考带来了高中教学方式的改变。在新的教学模式下，如何让走班的师生能够便捷地进行签到以及便捷地查找相应课表和教室，成了班牌在新时期的职责。在今天，班牌正在向特色化、内涵化方向发展，班牌不再是简单的信息展示,其内容越来越丰富,功能越来越实用。</w:t>
      </w:r>
    </w:p>
    <w:p>
      <w:pPr>
        <w:bidi w:val="0"/>
        <w:rPr>
          <w:rFonts w:hint="eastAsia"/>
          <w:color w:val="auto"/>
          <w:highlight w:val="none"/>
          <w:lang w:val="en-US" w:eastAsia="zh-CN"/>
        </w:rPr>
      </w:pPr>
    </w:p>
    <w:p>
      <w:pPr>
        <w:pStyle w:val="5"/>
        <w:numPr>
          <w:ilvl w:val="0"/>
          <w:numId w:val="0"/>
        </w:numPr>
        <w:bidi w:val="0"/>
        <w:rPr>
          <w:rFonts w:hint="eastAsia"/>
          <w:color w:val="auto"/>
          <w:highlight w:val="none"/>
          <w:lang w:val="en-US" w:eastAsia="zh-CN"/>
        </w:rPr>
      </w:pPr>
      <w:r>
        <w:rPr>
          <w:rFonts w:hint="eastAsia"/>
          <w:color w:val="auto"/>
          <w:highlight w:val="none"/>
          <w:lang w:val="en-US" w:eastAsia="zh-CN"/>
        </w:rPr>
        <w:t>四、项目清单及技术参数要求</w:t>
      </w:r>
    </w:p>
    <w:tbl>
      <w:tblPr>
        <w:tblStyle w:val="21"/>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58"/>
        <w:gridCol w:w="860"/>
        <w:gridCol w:w="6428"/>
        <w:gridCol w:w="636"/>
        <w:gridCol w:w="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产品名称</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技术参数</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trPr>
        <w:tc>
          <w:tcPr>
            <w:tcW w:w="0" w:type="auto"/>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一、云桌面语音室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云平台</w:t>
            </w:r>
          </w:p>
        </w:tc>
        <w:tc>
          <w:tcPr>
            <w:tcW w:w="0" w:type="auto"/>
            <w:shd w:val="clear" w:color="auto" w:fill="auto"/>
          </w:tcPr>
          <w:p>
            <w:pPr>
              <w:pStyle w:val="31"/>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firstLineChars="0"/>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系统分为云运维平台和云桌面两大模块。云管理平台具有C/S、B/S两种管理模式，管理主界面应具有：镜像管理、桌面漫游、群组管理、客户端管理等功能模块，以便高效能管理。云桌面系统必须与电子教室管理软件配合，可以在云桌面服务器上统一设定学生机电子教室软件中的频道号参数。</w:t>
            </w:r>
          </w:p>
          <w:p>
            <w:pPr>
              <w:pStyle w:val="31"/>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EB管理：具备支持创建任意多个管理员帐号，并可自定义管理权限，实现机房多人分级安全管理功能；通过WEB管理页面可以实现所有的管理操作，支持IOS设备、Android手机对实验室的管理，实现使用环境的实时切换，系统开机及关机。</w:t>
            </w:r>
          </w:p>
          <w:p>
            <w:pPr>
              <w:pStyle w:val="31"/>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软件必须支持主板UEFI架构和硬盘GPT分区，支持win7，win10，LINUX(Ubuntu、CentOS)操作系统。</w:t>
            </w:r>
          </w:p>
          <w:p>
            <w:pPr>
              <w:pStyle w:val="31"/>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磁盘缓存空间，考虑到硬件成本问题，要求基于UEFI功能下，缓存空间仅仅占用镜像中操作系统的实际占用空间大小（非2倍镜像缓存空间），不同镜像不同快照可以随意切换，无需服务器端重新缓存。</w:t>
            </w:r>
          </w:p>
          <w:p>
            <w:pPr>
              <w:pStyle w:val="31"/>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终端（机房）不在同一网段，通过服务器统一控制终端机，在不修改交换机配置的情况下能采用PeBOOT协议无条件实现终端跨网关、路由、VLAN和VPN连接服务器并进行管理。</w:t>
            </w:r>
          </w:p>
          <w:p>
            <w:pPr>
              <w:numPr>
                <w:ilvl w:val="0"/>
                <w:numId w:val="0"/>
              </w:numPr>
              <w:rPr>
                <w:rFonts w:hint="eastAsia" w:ascii="宋体" w:hAnsi="宋体" w:eastAsia="宋体" w:cs="宋体"/>
                <w:b/>
                <w:bCs/>
                <w:color w:val="auto"/>
                <w:sz w:val="21"/>
                <w:szCs w:val="21"/>
                <w:highlight w:val="none"/>
                <w:u w:val="single"/>
              </w:rPr>
            </w:pPr>
            <w:r>
              <w:rPr>
                <w:rFonts w:hint="eastAsia" w:ascii="宋体" w:hAnsi="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必须支持在64GSSD硬盘上能缓存两个纯净的50G win7或者win10的虚拟操作系统。</w:t>
            </w:r>
          </w:p>
          <w:p>
            <w:pPr>
              <w:pStyle w:val="31"/>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多镜像多节点缓存，允许同时对多个操作系统镜像进行更新升级或者软件安装。</w:t>
            </w:r>
          </w:p>
          <w:p>
            <w:pPr>
              <w:pStyle w:val="31"/>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单一台服务器可以支持1000台客户机的同时启动。客户机系统启动后，不占用服务器资源，运行各类软件全部使用客户机本地CPU、内存、显卡资源，在不使用GPU卡的情况下必须多机流畅运行CATIA、UG、PRO-E等三维设计软件。</w:t>
            </w:r>
          </w:p>
          <w:p>
            <w:pPr>
              <w:pStyle w:val="31"/>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firstLineChars="0"/>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服务器端镜像提供映射模式，可以把镜像在服务器端直接映射成系统盘符操作。为方便教师操作，对于镜像快照的操作，提供快照向导的功能，可一步步提示用户操作。</w:t>
            </w:r>
          </w:p>
          <w:p>
            <w:pPr>
              <w:pStyle w:val="31"/>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云终端开机后可以提供多种桌面应用环境给用户选择，也可以由管理员在服务器端指定教学桌面环境给特定的云终端； 云终端内置与服务端管理平台配套的受控组件，管理平台可向任意云终端发送远程命令，包括自动时间校对、文件分发、远程开关机等，并能自定义远程控制命令,云终端支持网络唤醒功能。</w:t>
            </w:r>
          </w:p>
          <w:p>
            <w:pPr>
              <w:pStyle w:val="31"/>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为管理方便起见，系统管理员可以在软件中远程监看客户端电脑的屏幕并进行远程控制；系统管理员远程控制客户端电脑时，必须具备直接控制和授权控制两种方式。在授权控制时，远程控制必须得到客户端电脑使用者的许可。</w:t>
            </w:r>
          </w:p>
          <w:p>
            <w:pPr>
              <w:pStyle w:val="31"/>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从网络引导的操作系统能够自动地在客户端电脑上进行完全缓存，从而当网络或服务器故障时，客户端电脑仍然可以离线正常从缓存数据引导启动和工作（注意不是从部署在本地的操作系统启动），从而能够最大限度地保证教学秩序的正常进行。</w:t>
            </w:r>
          </w:p>
          <w:p>
            <w:pPr>
              <w:pStyle w:val="31"/>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firstLineChars="0"/>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13、</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系统可以自动更新操作系统补丁，并自动生成快照，指定给客户端，可以一次性批量生成指定客户端的私有快照，这样方便部署需要个性化设置或批量部署需要手工激活的软件。</w:t>
            </w:r>
          </w:p>
          <w:p>
            <w:pPr>
              <w:pStyle w:val="31"/>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提供高效客户端设置功能：系统具备客户端电脑群组管理功能，可以将不同的客户端电脑划分成不同的群组进行管理，以便和各个部门一一对应。系统管理员还可以统一设置客户端电脑的机器名、IP地址、所需要启动的镜像等参数。</w:t>
            </w:r>
          </w:p>
          <w:p>
            <w:pPr>
              <w:pStyle w:val="31"/>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云服务器要求支持设置定时任务，可按照每天或者每周设置周期性任务，具体时间点能够设置到时分秒，定时任务包括开启云终端、关闭云终端、定时执行应用程序。提供完善的方案排程功能，可以根据工作要求将设置的技术参数和需要推送的软件应用环境设置成应用方案，并设置时间排程，系统将根据排程设定的时间自动切换应用方案，这样可以灵活自动化地满足多种教学应用需求。</w:t>
            </w:r>
          </w:p>
          <w:p>
            <w:pPr>
              <w:pStyle w:val="31"/>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rPr>
              <w:t>管理端具有网络拓扑模块，减少交换机之间不必要的数据交换，从而提升离线速度，降低交换机的压力。</w:t>
            </w:r>
          </w:p>
          <w:p>
            <w:pPr>
              <w:pStyle w:val="31"/>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rPr>
              <w:t>管理端具有私有数据维护模块，针对用户的个性化数据使用，每一个节点均可允许存放终端的个性化数据存储，重启、还原、切换快照个性化数据存在。</w:t>
            </w:r>
          </w:p>
          <w:p>
            <w:pPr>
              <w:pStyle w:val="31"/>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firstLineChars="0"/>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18、</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云运维平台支持多个服务器管理，可以为所有服务器提供一个可视化视觉平台，用户可通过平台看到汇总的服务器的内存，CPU，磁盘，网络、位置等情况，以及管理云桌面数量，管理员可通过管理界面提供的远程操作直接操作服务器所在机器。</w:t>
            </w:r>
          </w:p>
          <w:p>
            <w:pPr>
              <w:pStyle w:val="31"/>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rPr>
              <w:t>云运维平台支持桌面地图，云服务器在地图中有准确的定位，管理员可查看各个服务器所在的位置，以及管理云终端的情况，提供给用户三种远程到服务器的功能，Web远程管理、VNC远程控制和远程桌面连接。</w:t>
            </w:r>
          </w:p>
          <w:p>
            <w:pPr>
              <w:pStyle w:val="31"/>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firstLineChars="0"/>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20、</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云运维平台支持数据总览功能，根据云服务器的性能，可以获得该区域下前Top5的服务器核心CPU数据，内存资源，硬盘资源和网络资源的瞬时数据，并通过折线图呈现出来。Top1会单独用水柱图来实现。可以显示总服务器数量和在线服务器数量。</w:t>
            </w:r>
          </w:p>
          <w:p>
            <w:pPr>
              <w:pStyle w:val="31"/>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云运维平台可自行选择相应的服务器查看其单独的各项指标概况，并可通过折现图直观显示。各项资源通过百分比呈现。</w:t>
            </w:r>
          </w:p>
          <w:p>
            <w:pPr>
              <w:pStyle w:val="31"/>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rPr>
              <w:t>云运维平台支持日志管理，对使用者的登陆情况，操作步骤做记录，超管可看到各个用户的操作，普通用户只能看到自己的操作日志。</w:t>
            </w:r>
          </w:p>
          <w:p>
            <w:pPr>
              <w:pStyle w:val="31"/>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rPr>
              <w:t>云运维平台只需要添加虚拟桌面服务器的IP和端口即可实现虚拟桌面管理、添加，编辑，删除等操作。</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8"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桌面虚拟化软件授权</w:t>
            </w:r>
          </w:p>
        </w:tc>
        <w:tc>
          <w:tcPr>
            <w:tcW w:w="0" w:type="auto"/>
            <w:shd w:val="clear" w:color="auto" w:fill="auto"/>
          </w:tcPr>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1、教师授课：支持多媒体课件、3D、Direct3D等，支持常见的媒体音视频格式及高清视频，共享白板可与选定的学生共同完成相同的学习任务。</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2、课堂互动：支持任意学生端在所有客户端投屏显示；教师任意分组，分组分资源教学；教师任意分组，文字、图形讨论。</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3、教学评测：采用答对升级策略设计抢答环节、显示学生答案柱状图分析和答题时间；考卷共享给学生，学生可拍照答题。</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4、课堂管理：可实时监控、控制学生显示画面；支持教师对学生端随时进行黑屏肃静、实时监控、网页限制。</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5、快捷部署：支持在传统网络机房中直接安装教师端、学生端软件，通过已有的有线局域网络即可快速部署并教学使用。</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r>
              <w:rPr>
                <w:rFonts w:hint="eastAsia" w:ascii="宋体" w:hAnsi="宋体" w:eastAsia="宋体" w:cs="宋体"/>
                <w:color w:val="auto"/>
                <w:sz w:val="21"/>
                <w:szCs w:val="21"/>
                <w:highlight w:val="none"/>
              </w:rPr>
              <w:t>保障电子考试，在云服务器端可以设置客户机禁止共享，U盘可以设置禁用和只读两种模式,禁止共享，禁止连接互联网，禁止设置IP，禁用网关、DNS、软驱、光驱，在服务器端能够自动修改客户机操作系统登录用户名，使得每台客户机不是统一的登录名，登录名为每台客户机的机器名，以满足各类考试需要。</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w:t>
            </w:r>
            <w:r>
              <w:rPr>
                <w:rFonts w:hint="eastAsia" w:ascii="宋体" w:hAnsi="宋体" w:eastAsia="宋体" w:cs="宋体"/>
                <w:color w:val="auto"/>
                <w:sz w:val="21"/>
                <w:szCs w:val="21"/>
                <w:highlight w:val="none"/>
              </w:rPr>
              <w:t>云终端登陆到桌面后，可以在桌面显示该云终端名称，在托盘程序显示其连接的服务器及离线的百分比。可在服务器端设置每台客户机的显示分辨率和色彩。为保证网络带宽可以设定每台云终端上传、下载所使用的网络带宽。当主控机宕机或网络中断时，支持云终端关机重启并继续使用，离线使用的次数可设定为63次，当每次离线启动时，云终端开机画面提示用户剩余启动次数。系统部署完毕后，可以设定云终端锁定，禁止非管控的云终端加入系统。</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224</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8"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olor w:val="auto"/>
                <w:sz w:val="21"/>
                <w:szCs w:val="21"/>
                <w:highlight w:val="none"/>
              </w:rPr>
              <w:t>●</w:t>
            </w:r>
            <w:r>
              <w:rPr>
                <w:rFonts w:hint="eastAsia" w:ascii="宋体" w:hAnsi="宋体" w:eastAsia="宋体" w:cs="宋体"/>
                <w:color w:val="auto"/>
                <w:kern w:val="0"/>
                <w:sz w:val="21"/>
                <w:szCs w:val="21"/>
                <w:highlight w:val="none"/>
              </w:rPr>
              <w:t>云终端1</w:t>
            </w:r>
          </w:p>
        </w:tc>
        <w:tc>
          <w:tcPr>
            <w:tcW w:w="0" w:type="auto"/>
            <w:shd w:val="clear" w:color="auto" w:fill="auto"/>
          </w:tcPr>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1、CPU：≥i5-10400处理器(主频2.9GHz,三级缓存12MB,6核12线程)。</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2、主板：≥B460及以上芯片组，主板和主机同品牌。</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3、内存：≥16G DDR4 2666MHz 内存。</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4、硬盘：≥256G NVMe M.2 固态硬盘。</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5、集成显卡，集成声卡，主板集成自适应千兆网卡，集成网络同传功能。</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6、含有1个PCI，2个PCI-E×1，1个PCI-E×16扩展槽。10个外置USB端口，USB3.2接口不少于8个：前置6个 USB 3.2端口 和后置4个USB 端口（2个USB 3.2/ 2个USB 2.0），1 个 RJ-45 端口，1 个DP端口，1 个 HDMI端口、1 个VGA端口， 1 个串口，2个PS/2接口、5个音频接口（前置2个后置3个）。</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7、电源：≥180W 80Plus能效电源。配置同品牌键盘鼠标。</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8、操作系统：预装正版Windows10 64位操作系统。</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9、显示器：≥21.5英寸显示器：搭载21.5英寸IPS显示器，左右边框宽度不大于6.9mm，搭载VGA+HDMI接口，并随机附送HDMI连接线，1920x1080分辨率，最高亮度不低于250 cd/m²，支持低蓝光功能并通过低蓝光认证；</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10、通过3C、CEL、CECP认证。</w:t>
            </w:r>
            <w:r>
              <w:rPr>
                <w:rFonts w:hint="eastAsia" w:ascii="宋体" w:hAnsi="宋体" w:eastAsia="宋体" w:cs="宋体"/>
                <w:color w:val="auto"/>
                <w:sz w:val="21"/>
                <w:szCs w:val="21"/>
                <w:highlight w:val="none"/>
              </w:rPr>
              <w:br w:type="textWrapping"/>
            </w:r>
            <w:bookmarkStart w:id="11" w:name="OLE_LINK1"/>
            <w:r>
              <w:rPr>
                <w:rFonts w:hint="eastAsia" w:ascii="宋体" w:hAnsi="宋体" w:eastAsia="宋体" w:cs="宋体"/>
                <w:color w:val="auto"/>
                <w:sz w:val="21"/>
                <w:szCs w:val="21"/>
                <w:highlight w:val="none"/>
              </w:rPr>
              <w:t>11、</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通过十环（中国环境标志产品）认证，并提供认证证书。</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须</w:t>
            </w:r>
            <w:r>
              <w:rPr>
                <w:rFonts w:hint="eastAsia" w:ascii="宋体" w:hAnsi="宋体" w:eastAsia="宋体" w:cs="宋体"/>
                <w:color w:val="auto"/>
                <w:kern w:val="0"/>
                <w:sz w:val="21"/>
                <w:szCs w:val="21"/>
                <w:highlight w:val="none"/>
              </w:rPr>
              <w:t>提供</w:t>
            </w:r>
            <w:r>
              <w:rPr>
                <w:rFonts w:hint="eastAsia" w:ascii="宋体" w:hAnsi="宋体" w:cs="宋体"/>
                <w:color w:val="auto"/>
                <w:kern w:val="0"/>
                <w:sz w:val="21"/>
                <w:szCs w:val="21"/>
                <w:highlight w:val="none"/>
                <w:lang w:val="en-US" w:eastAsia="zh-CN"/>
              </w:rPr>
              <w:t>有效期内</w:t>
            </w:r>
            <w:r>
              <w:rPr>
                <w:rFonts w:hint="eastAsia" w:ascii="宋体" w:hAnsi="宋体" w:eastAsia="宋体" w:cs="宋体"/>
                <w:color w:val="auto"/>
                <w:kern w:val="0"/>
                <w:sz w:val="21"/>
                <w:szCs w:val="21"/>
                <w:highlight w:val="none"/>
              </w:rPr>
              <w:t>证书复印件并加盖</w:t>
            </w:r>
            <w:r>
              <w:rPr>
                <w:rFonts w:hint="eastAsia" w:ascii="宋体" w:hAnsi="宋体" w:cs="宋体"/>
                <w:color w:val="auto"/>
                <w:kern w:val="0"/>
                <w:sz w:val="21"/>
                <w:szCs w:val="21"/>
                <w:highlight w:val="none"/>
                <w:lang w:val="en-US" w:eastAsia="zh-CN"/>
              </w:rPr>
              <w:t>投标人</w:t>
            </w:r>
            <w:r>
              <w:rPr>
                <w:rFonts w:hint="eastAsia" w:ascii="宋体" w:hAnsi="宋体" w:eastAsia="宋体" w:cs="宋体"/>
                <w:color w:val="auto"/>
                <w:kern w:val="0"/>
                <w:sz w:val="21"/>
                <w:szCs w:val="21"/>
                <w:highlight w:val="none"/>
              </w:rPr>
              <w:t>公章）</w:t>
            </w:r>
            <w:r>
              <w:rPr>
                <w:rFonts w:hint="eastAsia" w:ascii="宋体" w:hAnsi="宋体" w:eastAsia="宋体" w:cs="宋体"/>
                <w:color w:val="auto"/>
                <w:sz w:val="21"/>
                <w:szCs w:val="21"/>
                <w:highlight w:val="none"/>
              </w:rPr>
              <w:br w:type="textWrapping"/>
            </w:r>
            <w:bookmarkEnd w:id="11"/>
            <w:r>
              <w:rPr>
                <w:rFonts w:hint="eastAsia" w:ascii="宋体" w:hAnsi="宋体" w:eastAsia="宋体" w:cs="宋体"/>
                <w:color w:val="auto"/>
                <w:sz w:val="21"/>
                <w:szCs w:val="21"/>
                <w:highlight w:val="none"/>
              </w:rPr>
              <w:t>12、通过SRRC认证；通过低噪音认证，声功率级不大于3.6Bel。通过电磁兼容认证；通过浪涌（防雷）认证。</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13、通过高低温、湿热认证；通过防火认证。</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8"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olor w:val="auto"/>
                <w:sz w:val="21"/>
                <w:szCs w:val="21"/>
                <w:highlight w:val="none"/>
              </w:rPr>
              <w:t>●</w:t>
            </w:r>
            <w:r>
              <w:rPr>
                <w:rFonts w:hint="eastAsia" w:ascii="宋体" w:hAnsi="宋体" w:eastAsia="宋体" w:cs="宋体"/>
                <w:color w:val="auto"/>
                <w:kern w:val="0"/>
                <w:sz w:val="21"/>
                <w:szCs w:val="21"/>
                <w:highlight w:val="none"/>
              </w:rPr>
              <w:t>云终端2</w:t>
            </w:r>
          </w:p>
        </w:tc>
        <w:tc>
          <w:tcPr>
            <w:tcW w:w="0" w:type="auto"/>
            <w:shd w:val="clear" w:color="auto" w:fill="auto"/>
          </w:tcPr>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1、CPU：≥i5-10400处理器(主频2.9GHz,三级缓存12MB,6核12线程)。</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2、主板：≥B460及以上芯片组，主板和主机同品牌。</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3、内存：≥16G DDR4 2666MHz 内存。</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4、硬盘：≥256G NVMe M.2 固态硬盘。</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5、集成显卡，集成声卡，主板集成自适应千兆网卡，集成网络同传功能。</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6、含有1个PCI，2个PCI-E×1，1个PCI-E×16扩展槽。10个外置USB端口，USB3.2接口不少于8个：前置6个 USB 3.2端口 和后置4个USB 端口（2个USB 3.2/ 2个USB 2.0），1 个 RJ-45 端口，1 个DP端口，1 个 HDMI端口、1 个VGA端口， 1 个串口，2个PS/2接口、5个音频接口（前置2个后置3个）。</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7、电源：≥180W 80Plus能效电源。</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8、配置同品牌键盘鼠标。</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9、操作系统：预装正版Windows10 64位操作系统。</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10、通过3C、CEL、CECP认证</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11、通过十环（中国环境标志产品）认证</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12、通过SRRC认证；通过低噪音认证，声功率级不大于3.6Bel。通过电磁兼容认证；通过浪涌（防雷）认证。</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13、</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通过高低温、湿热认证；通过防火认证。</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须</w:t>
            </w:r>
            <w:r>
              <w:rPr>
                <w:rFonts w:hint="eastAsia" w:ascii="宋体" w:hAnsi="宋体" w:eastAsia="宋体" w:cs="宋体"/>
                <w:color w:val="auto"/>
                <w:kern w:val="0"/>
                <w:sz w:val="21"/>
                <w:szCs w:val="21"/>
                <w:highlight w:val="none"/>
              </w:rPr>
              <w:t>提供</w:t>
            </w:r>
            <w:r>
              <w:rPr>
                <w:rFonts w:hint="eastAsia" w:ascii="宋体" w:hAnsi="宋体" w:cs="宋体"/>
                <w:color w:val="auto"/>
                <w:kern w:val="0"/>
                <w:sz w:val="21"/>
                <w:szCs w:val="21"/>
                <w:highlight w:val="none"/>
                <w:lang w:val="en-US" w:eastAsia="zh-CN"/>
              </w:rPr>
              <w:t>有效期内</w:t>
            </w:r>
            <w:r>
              <w:rPr>
                <w:rFonts w:hint="eastAsia" w:ascii="宋体" w:hAnsi="宋体" w:eastAsia="宋体" w:cs="宋体"/>
                <w:color w:val="auto"/>
                <w:kern w:val="0"/>
                <w:sz w:val="21"/>
                <w:szCs w:val="21"/>
                <w:highlight w:val="none"/>
              </w:rPr>
              <w:t>证书复印件并加盖</w:t>
            </w:r>
            <w:r>
              <w:rPr>
                <w:rFonts w:hint="eastAsia" w:ascii="宋体" w:hAnsi="宋体" w:cs="宋体"/>
                <w:color w:val="auto"/>
                <w:kern w:val="0"/>
                <w:sz w:val="21"/>
                <w:szCs w:val="21"/>
                <w:highlight w:val="none"/>
                <w:lang w:val="en-US" w:eastAsia="zh-CN"/>
              </w:rPr>
              <w:t>投标人</w:t>
            </w:r>
            <w:r>
              <w:rPr>
                <w:rFonts w:hint="eastAsia" w:ascii="宋体" w:hAnsi="宋体" w:eastAsia="宋体" w:cs="宋体"/>
                <w:color w:val="auto"/>
                <w:kern w:val="0"/>
                <w:sz w:val="21"/>
                <w:szCs w:val="21"/>
                <w:highlight w:val="none"/>
              </w:rPr>
              <w:t>公章）</w:t>
            </w:r>
            <w:bookmarkStart w:id="225" w:name="_GoBack"/>
            <w:bookmarkEnd w:id="225"/>
          </w:p>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8"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云管理主机</w:t>
            </w:r>
          </w:p>
        </w:tc>
        <w:tc>
          <w:tcPr>
            <w:tcW w:w="0" w:type="auto"/>
            <w:shd w:val="clear" w:color="auto" w:fill="auto"/>
          </w:tcPr>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1、CPU：≥i5-10400处理器(主频2.9GHz,三级缓存12MB,6核12线程)。</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2、主板：≥B460及以上芯片组，主板和主机同品牌。</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3、内存：≥16G DDR4 2666MHz 内存。</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4、硬盘：≥256G NVMe M.2 固态硬盘+1TB 机械硬盘（支持双硬盘）。</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5、集成显卡，集成声卡，主板集成自适应千兆网卡，集成网络同传功能。</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6、含有1个PCI，2个PCI-E×1，1个PCI-E×16扩展槽。10个外置USB端口，USB3.2接口不少于8个：前置6个 USB 3.2端口 和后置4个USB 端口（2个USB 3.2/ 2个USB 2.0），1 个 RJ-45 端口，1 个DP端口，1 个 HDMI端口、1 个VGA端口， 1 个串口，2个PS/2接口、5个音频接口（前置2个后置3个）。</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7、电源：≥180W 80Plus能效电源。配置同品牌键盘鼠标。</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8、操作系统：预装正版Windows10 64位操作系统。</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9、显示器：≥21.5英寸显示器：搭载21.5英寸IPS显示器，左右边框宽度不大于6.9mm，搭载VGA+HDMI接口，并随机附送HDMI连接线，1920x1080分辨率，最高亮度不低于250 cd/m²，支持低蓝光功能并通过低蓝光认证；</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10、通过3C、CEL、CECP认证</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11、通过十环（中国环境标志产品）认证</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12、</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通过SRRC认证；通过低噪音认证，声功率级不大于3.6Bel。通过电磁兼容认证；通过浪涌（防雷）认证。</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13、通过高低温、湿热认证；通过防火认证。</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kern w:val="0"/>
                <w:sz w:val="21"/>
                <w:szCs w:val="21"/>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云服务器</w:t>
            </w:r>
          </w:p>
        </w:tc>
        <w:tc>
          <w:tcPr>
            <w:tcW w:w="0" w:type="auto"/>
            <w:shd w:val="clear" w:color="auto" w:fill="auto"/>
          </w:tcPr>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1、CPU：≥i5-10400处理器(主频2.9GHz,三级缓存12MB,6核12线程)。</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2、主板：≥B460及以上芯片组，主板和主机同品牌。</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3、内存：≥16G DDR4 2666MHz 内存。</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4、硬盘：≥256G NVMe M.2 固态硬盘+1TB 机械硬盘（支持双硬盘）。</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kern w:val="0"/>
                <w:sz w:val="21"/>
                <w:szCs w:val="21"/>
                <w:highlight w:val="none"/>
              </w:rPr>
              <w:t>独立显卡≥4GB显存</w:t>
            </w:r>
            <w:r>
              <w:rPr>
                <w:rFonts w:hint="eastAsia" w:ascii="宋体" w:hAnsi="宋体" w:eastAsia="宋体" w:cs="宋体"/>
                <w:color w:val="auto"/>
                <w:sz w:val="21"/>
                <w:szCs w:val="21"/>
                <w:highlight w:val="none"/>
              </w:rPr>
              <w:t>。集成声卡。主板集成自适应千兆网卡，集成网络同传功能。</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6、含有1个PCI，2个PCI-E×1，1个PCI-E×16扩展槽。10个外置USB端口，USB3.2接口不少于8个：前置6个 USB 3.2端口 和后置4个USB 端口（2个USB 3.2/ 2个USB 2.0），1 个 RJ-45 端口，1 个DP端口，1 个 HDMI端口、1 个VGA端口， 1 个串口，2个PS/2接口、5个音频接口（前置2个后置3个）。</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7、电源：≥300W 80Plus能效电源。配置同品牌键盘鼠标。</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8、操作系统：预装正版Windows10 64位操作系统。</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9、显示器：≥21.5英寸显示器：搭载21.5英寸IPS显示器，左右边框宽度不大于6.9mm，搭载VGA+HDMI接口，并随机附送HDMI连接线，1920x1080分辨率，最高亮度不低于250 cd/m²，支持低蓝光功能并通过低蓝光认证。</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10、通过3C、CEL、CECP认证</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11、通过十环（中国环境标志产品）认证</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12、通过SRRC认证；通过低噪音认证，声功率级不大于3.6Bel。通过电磁兼容认证；通过浪涌（防雷）认证。</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13、通过高低温、湿热认证；通过防火认证。</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kern w:val="0"/>
                <w:sz w:val="21"/>
                <w:szCs w:val="21"/>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6"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olor w:val="auto"/>
                <w:sz w:val="21"/>
                <w:szCs w:val="21"/>
                <w:highlight w:val="none"/>
              </w:rPr>
              <w:t>●</w:t>
            </w:r>
            <w:r>
              <w:rPr>
                <w:rFonts w:hint="eastAsia" w:ascii="宋体" w:hAnsi="宋体" w:eastAsia="宋体" w:cs="宋体"/>
                <w:color w:val="auto"/>
                <w:kern w:val="0"/>
                <w:sz w:val="21"/>
                <w:szCs w:val="21"/>
                <w:highlight w:val="none"/>
              </w:rPr>
              <w:t>智慧黑板</w:t>
            </w:r>
          </w:p>
        </w:tc>
        <w:tc>
          <w:tcPr>
            <w:tcW w:w="0" w:type="auto"/>
            <w:shd w:val="clear" w:color="auto" w:fill="auto"/>
          </w:tcPr>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1.智慧黑板采用无推拉式结构，由三块拼接而成的纯平面黑板，支持水性笔、普通粉笔、无尘粉笔等多种书写方式，可实现整块黑板统一书写。</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2.智慧黑板采用包边设计，屏幕表面钢化玻璃卡嵌在铝合金边框内，黑板四角为圆弧型设计，确保教学安全。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3.产品整体尺寸：长4200mm 、高1300mm 、厚95mm。液晶屏尺寸86英寸，分辨率3840X2160，UHD超高清。灰度分辨等级128灰阶或以上。</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4.支持双系统：Android、Windows双系统，当其中一个系统出现异常时，可切换至第二系统，保证教学不受影响。</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5.支持实时监看主机温度，便于了解设备的运行状态。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6.支持开机画面自定义，方便学校根据需要，设置特定的开机欢迎语。</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7.为便于老师操作，产品前置控制按键，数量7个，分别为开关控制、主菜单控制、信号通道控制、音量加减控制、一键节能控制等。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8.配备无线智能遥控器，可实现常用控制功能。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9.为更好的辅助教学，产品具备2路前置USB接口,且前置USB接口全部支持Windows及Android双系统读取。</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10.为便于连接外部设备，产品具备1路前置USB触控输出接口。</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11.为便于连接外部设备，产品具备1路前置3.5 mm音频输出接口、 1路前置HDMI高清输入接口。</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12.为便于产品升级维护，智慧黑板的主板模块、电脑模块均采用开放式拔插结构设计。</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13.接口： 1路3.5 mm耳机输出，1路AV输出和AV输入，1路RS232 IN。</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14.产品内置喇叭，喇叭采用音腔前出设计，确保音质清晰真实。功率2×10W, 立体声、双声道、高保真。</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15.采用液晶显示屏对比度4000:1，亮度450cd/㎡，可视角度178°，响应速度8ms。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16.触摸有效识别5毫米。(需提供第三方检测机构出具的检验报告复印件证明并加盖投标人公章）</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17.产品采用投射式电容触控技术，手指轻触式多点（10点触控）互动体验。</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18.产品具有五指智能手势识别开关黑板背光功能，操作者可在显示区域任意位置，任意信号下，通过五指按压屏幕实现对屏幕的开关，五指实现黑板背光的关闭与开启，触控功能与传统书写功能瞬间切换。(需提供第三方检测机构出具的检验报告复印件证明并加盖投标人公章）</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19.触控功能与传统书写功能瞬间切换，切换响应速度2s。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20.产品内置中控触摸菜单，中控触摸菜单可以将信号源通道切换、亮度对比度调节、声音图像调节等整合到同一菜单下，无需物理按键，且在任意显示通道下均可在屏幕上调取该触摸菜单，方便快捷。</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21.支持PC信号源模式下，实现窗口一键下移功能，便于不同身高的人员操作使用。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22.支持放大镜功能，便于教师对知识点放大展示，供学生清晰观看学习。</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23.支持锁屏功能，可对显示界面一键锁定，并且支持被授权人员凭密码解锁。</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24.产品内置无线扩音系统，便于老师用话筒无线连接智慧黑板内置的音箱进行扩音。</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25.智慧黑板支持HDMI、VGA、window、Android等多种信号源输入选择。</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26.为保障使用者的人身安全，屏幕采用防眩光钢化玻璃，符合抗冲击测试。检测性能指标达到：使用1.3Kg钢球，在2m处自由落体撞击整机液晶显示屏幕的钢化玻璃，产品无损坏，功能无异常。(需提供第三方检测机构出具的检验报告复印件证明并加盖投标人公章）</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27.为确保耐用性，产品的钢化玻璃具有防划伤设计，钢化玻璃硬度7H，耐磨防划伤，符合正常使用需求。</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28.为保护使用者的视力，产品具有防蓝光设计，光生物安全（防蓝光），无危害，符合肉眼观看。</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29.为确保使用者的安全，黑板具有防爆功能，破碎不能溅出伤人。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30.产品防尘防水，满足IP43防护等级。</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▲31. 为保证产品的耐腐抗老化性能， 智慧黑板的纳米触控模组应采用耐高低温技术处理，能承受低温-20℃～高温60℃的试验.且要求产品金属外壳采用耐腐蚀技术处理。(需提供第三方检测机构出具的检验报告复印件证明并加盖投标人公章）</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6"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智慧黑板管理系统</w:t>
            </w:r>
          </w:p>
        </w:tc>
        <w:tc>
          <w:tcPr>
            <w:tcW w:w="0" w:type="auto"/>
            <w:shd w:val="clear" w:color="auto" w:fill="auto"/>
          </w:tcPr>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1．主工具条简单实用，只显示老师最常用的画笔、板擦、漫游、撤销、翻页和新建页，支持单窗口下，全屏中英文、数字的混合智能同时识别（拒绝采用分页及切换不同输入法选择方式），默认识别字体为微软雅黑。支持擦除文字，如：中国China总面积约960万平方千米。识别的文字支持修改字体和字号。(需提供第三方检测机构出具的检验报告复印件证明并加盖投标人公章）</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2．支持扫描二维码直接下载和分享课件。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3．支持多人同时书写，互不影响。不论是笔迹、图片、图形都可以实现任意部分的擦除。</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4．支持边写边擦，擦除过程中擦除面积随手的接触面积大小改变而随时改变。</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5．桌面模式下可以使用白板的所有工具，桌面模式下支持工具条最小化成一个按钮。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6．支持将白板外的任意文件截图发送到白板，并对截图内容进行讲解和批注。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7．资源访问需支持多种渠道，支持从本地素材库一键拖拽资源到白板中；也可以从我的电脑中添加本地资源到白板中。</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8．支持智能录制微视频和课堂内容，保存到本机上并可一键上传教育云教师空间。</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9．支持一键切换学科模式，对应的背景主题、学科工具、资源素材、自动切换到对应学科。</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10．支持公式和图形的智能识别，公式识别：如ax²+bx+C=0等，图形识别：包括任何规则和不规则图形，如三角形、五角星等。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11．支持备授课两种模式，备课模式下老师可根据教学需求对页面中任意的对象进行交互动画设置，如渐变、擦除、百叶窗等特效，还能设置动画进入或退出的速度和方式.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12．书写笔包括硬笔（普通笔）、荧光笔、印章笔、纹理笔、毛笔、钢笔、排刷、激光笔、文本输入等多种笔型，同时印章笔和纹理笔不仅内置部分图案，老师还可以自己添加喜欢的图案；切换笔形后，图标显示为当前笔形及笔的颜色和粗细。(需提供第三方检测机构出具的检验报告复印件证明并加盖投标人公章）</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13．板擦包括任意擦除、区域擦除、对象擦除以及全屏擦除。</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14．多点书写：支持10人以上同时书写，并能达到流畅书写。软件支持分学科的模式设定，包含语文、数学、化学、英语、物理和生物等6类学科设定，每个学科的教学工具均归类在独立的学科模式中，适应教学的实际需要。</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15．软件支持分学科的模式设定，包含语文、数学、化学、英语、物理和生物等6类学科设定，每个学科的教学工具均归类在独立的学科模式中，适应教学的实际需要。</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16．图形输入支持多种方式，可以从菜单中快速选择二维和三维图形；可以通过量角器直接画角度、通过圆规画弧度和扇形，通过直尺画直线，并且能标注角度、半径和长度，也可以通过图形智能识别画各种不规则图形。(需提供第三方检测机构出具的检验报告复印件证明并加盖投标人公章）</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17．office文档：提供PPT、Word、Excel等文档的嵌入打开，演示、批注，及批注保存功能；在PPT播放模式下，既可以批注，也可以快速上下页切换；可将PPT文件导入到白板软件中，并保持PPT文件中对象的独立性和PPT原有的背景和版式，其中图片、文本、音频、视频、以对象形式导入可进行再次编辑和保存。(需提供第三方检测机构出具的检验报告复印件证明并加盖投标人公章）</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18．多页面切换模式：可实现不同页面文档的快速翻页，实现页面预览功能，并且可以快速实现复制页面、删除页面、移动页面位置。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19．提供相关学科的教学辅助工具，服务方便于教师的课堂教学。如：提供直尺、三角板、圆规、量角器，同时可以在这些几何工具的辅助下画直线、圆、角、弧线、扇形等图形，使用圆规绘制弧线和扇形时可显示绘制角度；学科及教学背景：提供丰富的学科背景和教学背景模板供老师使用，包括田字格、作文纸等。(需提供第三方检测机构出具的检验报告复印件证明并加盖投标人公章）</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学堂教育管理系统</w:t>
            </w:r>
          </w:p>
        </w:tc>
        <w:tc>
          <w:tcPr>
            <w:tcW w:w="0" w:type="auto"/>
            <w:shd w:val="clear" w:color="auto" w:fill="auto"/>
          </w:tcPr>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▲1.软件界面：要求软件能够实现资源中心、智慧课堂大数据中心、常用工具、收藏夹、应用市场功能。</w:t>
            </w:r>
            <w:r>
              <w:rPr>
                <w:rFonts w:hint="eastAsia" w:ascii="宋体" w:hAnsi="宋体" w:eastAsia="宋体" w:cs="宋体"/>
                <w:color w:val="auto"/>
                <w:kern w:val="0"/>
                <w:sz w:val="21"/>
                <w:szCs w:val="21"/>
                <w:highlight w:val="none"/>
              </w:rPr>
              <w:t>(需提供第三方检测机构出具的检验报告复印件证明并加盖投标人公章）</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2.资源中心：要求软件能够实现数字教材资源、云端资源，至少覆盖小学、初中、高中阶段各年级的多个学科课程资源。</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3.精准备课系统：</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（1）.要求软件能够实现云技术，备课资源能够云端存储，教师能够在线查看和编辑备课资源，备课不受时间空间限制功能。</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要求软件能够实现根据教材章节自动给教师匹配的完整备课包，备课包设计了一堂课程的完整教学活动和教学活动需要的资源素材，备课包内容覆盖了课前、课中、课后全场景教学环节，课前包含学生预习的学案以及自我检测的试题，课中包含了课上要用的课件、微课以及课堂练习，课后包括课后作业，对于课中资料，老师可以一键发布到课程表，上课时老师启动大屏端的白板软件就能自动获得此课中资料，老师可以对备课包进行二次编辑功能。</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要求软件能够实现备课时，老师可以从云端选取备课素材，云端资源包括个人资源，校本资源和公共资源，添加云端资源时按老师当前课程对应的章节和知识点智能推送相应的课件、学案、微课、试题和试卷；同时支持老师上传本地资源。老师在组卷的过程中，不仅支持从题库、错题集中选择试题，而且可以根据老师对试卷的个性化需求，系统自动智能组卷功能。</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▲（4）.要求软件能够实现历史备课支持按章节、知识和时间三个维度查找，支持查看每一节课的课前、课中、课后资料、试题、试卷功能。</w:t>
            </w:r>
            <w:r>
              <w:rPr>
                <w:rFonts w:hint="eastAsia" w:ascii="宋体" w:hAnsi="宋体" w:eastAsia="宋体" w:cs="宋体"/>
                <w:color w:val="auto"/>
                <w:kern w:val="0"/>
                <w:sz w:val="21"/>
                <w:szCs w:val="21"/>
                <w:highlight w:val="none"/>
              </w:rPr>
              <w:t>(需提供第三方检测机构出具的检验报告复印件证明并加盖投标人公章）</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▲（5）.要求软件能够实现支持集体备课，教师分享备课内容给其他教师，被分享教师有权选择接受或拒绝，接受后可以进行二次编辑功能。</w:t>
            </w:r>
            <w:r>
              <w:rPr>
                <w:rFonts w:hint="eastAsia" w:ascii="宋体" w:hAnsi="宋体" w:eastAsia="宋体" w:cs="宋体"/>
                <w:color w:val="auto"/>
                <w:kern w:val="0"/>
                <w:sz w:val="21"/>
                <w:szCs w:val="21"/>
                <w:highlight w:val="none"/>
              </w:rPr>
              <w:t>(需提供第三方检测机构出具的检验报告复印件证明并加盖投标人公章）</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4.教学资源课程包：</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要求软件能够实现提供基于整册书，同步到每课时的参考课程包，每课时的课程包内容涵盖课前预习、课中授课和课后作业，包括不限于参考教案、与教案配套的课前预习任务、课中授课课件、课堂例题和练习题、课后配套作业等，课程包自动匹配到教师备课空间，教师可以直接引用其中任意模块的内容进行教学，支持教师进行二次编辑，教案内容至少包含以下教学环节：教学目标、教学重点、教学难点、教学准备、教学步骤、板书设计和教学反思功能。</w:t>
            </w:r>
            <w:r>
              <w:rPr>
                <w:rFonts w:hint="eastAsia" w:ascii="宋体" w:hAnsi="宋体" w:eastAsia="宋体" w:cs="宋体"/>
                <w:color w:val="auto"/>
                <w:kern w:val="0"/>
                <w:sz w:val="21"/>
                <w:szCs w:val="21"/>
                <w:highlight w:val="none"/>
              </w:rPr>
              <w:t>(需提供第三方检测机构出具的检验报告复印件证明并加盖投标人公章）</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（2）.要求软件能够实现课程包中的内容可以发布到老师课程表的某节课或多节课功能。</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要求软件能够实现课程包内容支持老师二次编辑，其中可以对课程内容删减或新增，可以通过云端、我上传的、我收藏的和本地资源在课程包中新增课件、教案、微课、试题和试卷等，并且修改后的个性课程包最后会沉淀为优质校本资源功能。</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▲（4）.要求软件能够实现课程包支持老师分享给同年级的其他教师，被分享的教师有权接收或拒绝，接收的教师能进行二次编辑功能。</w:t>
            </w:r>
            <w:r>
              <w:rPr>
                <w:rFonts w:hint="eastAsia" w:ascii="宋体" w:hAnsi="宋体" w:eastAsia="宋体" w:cs="宋体"/>
                <w:color w:val="auto"/>
                <w:kern w:val="0"/>
                <w:sz w:val="21"/>
                <w:szCs w:val="21"/>
                <w:highlight w:val="none"/>
              </w:rPr>
              <w:t>(需提供第三方检测机构出具的检验报告复印件证明并加盖投标人公章）</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5.校本资源数字化结构化入库：</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要求软件能够实现支持老师上传和分享自己的资源，包括课件、教案、学案、试卷、素材、视频、微课等。并对资源进行了颗粒化处理,资源按照学段、科目、版本、分册的章节目录以及各学段、科目的知识点目录，进行快速检索，通过最新、最热，各种不同维度快速查找。用户可以对每个资源进行阅读、下载、收藏和点赞功能。</w:t>
            </w:r>
            <w:r>
              <w:rPr>
                <w:rFonts w:hint="eastAsia" w:ascii="宋体" w:hAnsi="宋体" w:eastAsia="宋体" w:cs="宋体"/>
                <w:color w:val="auto"/>
                <w:kern w:val="0"/>
                <w:sz w:val="21"/>
                <w:szCs w:val="21"/>
                <w:highlight w:val="none"/>
              </w:rPr>
              <w:t>(需提供第三方检测机构出具的检验报告复印件证明并加盖投标人公章）</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（2）.要求软件能够实现老师上课的讲解视频能通过大屏一键上传到校本课程库和老师备课中心，支持按章节、知识点和备课的课程系统等维度快速查找功能。</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要求软件能够实现导入的练习册自动呈现在老师和学生的个人空间，支持按章节查看对应试题。批量导入练习册中的试题需支持自动结构化入库到校本题库中，支持按章节、知识点、题型、难易度筛选试题，方便预习、课中、课后和考试等场景直接调用使用功能。</w:t>
            </w:r>
            <w:r>
              <w:rPr>
                <w:rFonts w:hint="eastAsia" w:ascii="宋体" w:hAnsi="宋体" w:eastAsia="宋体" w:cs="宋体"/>
                <w:color w:val="auto"/>
                <w:kern w:val="0"/>
                <w:sz w:val="21"/>
                <w:szCs w:val="21"/>
                <w:highlight w:val="none"/>
              </w:rPr>
              <w:t>(需提供第三方检测机构出具的检验报告复印件证明并加盖投标人公章）</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6.常用工具：要求软件能够实现支持添加常用工具，包括office、邮件、PS等第三方系统工具功能。</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7.收藏夹：要求软件能够实现支持用户添加收藏夹功能，包含网页链接、快捷方式链接功能。</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8.应用市场：要求软件能够实现支持应用市场功能，应用市场中可以添加不同厂家的官方网站功能。</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9.大数据中心：</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（1）.要求软件能够实现实时数据状态监测 ，内置全国地图 ，支持以区域真实电子地图形式展示本区域的运行数据。电子地图分多级管理 ，支持逐级点击各省地图板块观看对应数据功能。</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（2）.要求软件能够实现支持当用鼠标在数据电子地图点选某区域后即可呈现当前地域的信息数据。至少包含服务学校数、服务班级数、服务老师数、服务学生数等，并可将各个区域数据进行汇总功能。</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▲（3）.要求软件能够实现至少包含今日浏览量（PV）、今日访客数量（UV）、历史最高浏览量（HPV）、历史最高访客数（HUV）等数据信息。同时以曲线图直观呈现。也可显示注册用户数量功能。</w:t>
            </w:r>
            <w:r>
              <w:rPr>
                <w:rFonts w:hint="eastAsia" w:ascii="宋体" w:hAnsi="宋体" w:eastAsia="宋体" w:cs="宋体"/>
                <w:color w:val="auto"/>
                <w:kern w:val="0"/>
                <w:sz w:val="21"/>
                <w:szCs w:val="21"/>
                <w:highlight w:val="none"/>
              </w:rPr>
              <w:t>(需提供第三方检测机构出具的检验报告复印件证明并加盖投标人公章）</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要求软件能够实现显示老师备课次数、老师授课次数、学生完成作业数、老师讲解错题数、学生纠正错题数、学生巩固练习错题数、学生自主学习次数、考试次数等；并且以柱状图形式呈现学生完成作业数，至少包含课前作业、课后作业、智能个性化作业功能。</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（5）.要求软件能够实现对当前资源类型进行分布统计，并以饼状图进行呈现。资源类型至少包括微课、试题、课件、教案、试卷、视频、素材、学案、白板文件、资源压缩包功能。</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（6）.要求软件能够实现对资源使用情况进行分析，以曲线图方式呈现，根据不同日期，从曲线图中可清晰看到浏览次数、分享次数、收藏次数、上传次数、下载次数功能。</w:t>
            </w:r>
          </w:p>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（7）.要求软件能够实现显示用户最新动态，以滚动屏方式进行呈现，显示用户名称及其教学行为信息功能。</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6"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OPS电脑</w:t>
            </w:r>
          </w:p>
        </w:tc>
        <w:tc>
          <w:tcPr>
            <w:tcW w:w="0" w:type="auto"/>
            <w:shd w:val="clear" w:color="auto" w:fill="auto"/>
          </w:tcPr>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1.电脑采用OPS插拔式架构，可维护、插拔式结构设计。</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2.处理器：配置I5八代处理器；内存：8G；硬盘：128G-SSD 固态硬盘。</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3.电脑具有物理还原按键，支持一键还原功能。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4.具有独立非外扩展接口：HDMI out*1 、Mic in*1、 LINE-out*1个、USB口6个其中USB 3.0*3个，Rj45*1个。</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5.内置有线网卡和无线网卡。无线网卡采用双WiFi天线，确保无线信号的稳定性。</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多媒体音箱</w:t>
            </w:r>
          </w:p>
        </w:tc>
        <w:tc>
          <w:tcPr>
            <w:tcW w:w="0" w:type="auto"/>
            <w:shd w:val="clear" w:color="auto" w:fill="auto"/>
          </w:tcPr>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15W立体声音箱，配置教师话筒</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带麦头戴式耳机</w:t>
            </w:r>
          </w:p>
        </w:tc>
        <w:tc>
          <w:tcPr>
            <w:tcW w:w="0" w:type="auto"/>
            <w:shd w:val="clear" w:color="auto" w:fill="auto"/>
          </w:tcPr>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特殊绿色指示灯，耳机工作状态一目了然。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 高效屏蔽单指向麦克风，抗干扰，拾音清晰。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 旋转式鹅形管长咪杆，柔软性强，可自由弯曲，旋转调控。</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 绿色咪头录音标识，录音/通话畅通无阻。</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 高性能驱动单元，音质干净清澈。</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 智能调节弹压式横梁。</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 可拆换大面积耳罩，隔音降噪。</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 高可靠性设计，坚韧不易缠绕。</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 USB免驱动带声卡插头。</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 抗干扰磁环。</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232</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电源稳压器</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30KV稳压电源</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触控线</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5米</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HDMI</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5米</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8"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教师讲桌</w:t>
            </w:r>
          </w:p>
        </w:tc>
        <w:tc>
          <w:tcPr>
            <w:tcW w:w="0" w:type="auto"/>
            <w:shd w:val="clear" w:color="auto" w:fill="auto"/>
          </w:tcPr>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讲桌采用钢木结合构造，桌体上部分采用圆弧设计。讲台整体设计符合人体力学原理，提供左右木质扶手，供使用者扶用。重点部位须采用一次冲压成型技术；所有钣金部分均采用激光切割加工，所有尖解倒圆角不小于R3，保证使用者和维护者不划伤。</w:t>
            </w:r>
          </w:p>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2、讲桌尺寸：1100*670*950。</w:t>
            </w:r>
          </w:p>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上柜体只需由一把机械锁控制，采用环环相扣设计，显示器盖板、键盘、中控和展示台抽屉逐步打开,台面平整方便操作。翻转式显示器，可任意角度调整，翻转式键盘架，节约空间可放置任意大小中控；。操作更简易，使用更安全。</w:t>
            </w:r>
          </w:p>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4、讲桌桌面采用木质耐划台面，闭合时讲台桌面为完整水平木台面，可作为老师演讲桌使用。右侧抽屉可放置实物展示台，关闭后，所有设备都隐藏在讲台内。</w:t>
            </w:r>
          </w:p>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5、讲桌上下层采用分体式设计，桌面部分和桌体部分自成一体，方便进出设计比较窄的教室门。讲桌内置固定螺丝孔位，安装简单，安全防盗，独立包装，运输轻便。</w:t>
            </w:r>
          </w:p>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6、显示器盖板和键盘盖板均采用翻转式设计。显示器盖板可进行0-120度自由定位调节。键盘下面放置一体中控或者分体中控系统。</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教师座椅</w:t>
            </w:r>
          </w:p>
        </w:tc>
        <w:tc>
          <w:tcPr>
            <w:tcW w:w="0" w:type="auto"/>
            <w:shd w:val="clear" w:color="auto" w:fill="auto"/>
          </w:tcPr>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1、面材采用优质阻燃麻绒面料。</w:t>
            </w:r>
          </w:p>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2、座包、靠背采用高密度泡棉。</w:t>
            </w:r>
          </w:p>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3、ABS工程塑胶五星脚。</w:t>
            </w:r>
          </w:p>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4、配置万向轮气动升降。</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2"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学生电脑桌</w:t>
            </w:r>
          </w:p>
        </w:tc>
        <w:tc>
          <w:tcPr>
            <w:tcW w:w="0" w:type="auto"/>
            <w:shd w:val="clear" w:color="auto" w:fill="auto"/>
          </w:tcPr>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1、1400*600*750mm钢木结构。</w:t>
            </w:r>
          </w:p>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2、桌面材料：板面采用绿色环保高密度板防火板，抗硬度性能良好，具防火，防污染，防损等特点。</w:t>
            </w:r>
          </w:p>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3、框架材料：框架为优质方管和冷轧钢板组成，表面处理经过酸洗、磷化、静电喷塑。</w:t>
            </w:r>
          </w:p>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4、工艺：严格按照公司质量体系要求及完整的工艺流程，经过剪、冲、折、焊、磨、抛及酸洗、磷化、静电喷塑高温固化等工序制作，从装配到装箱和各配件均经过严格的检验，确保产品质量。</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56</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学生椅</w:t>
            </w:r>
          </w:p>
        </w:tc>
        <w:tc>
          <w:tcPr>
            <w:tcW w:w="0" w:type="auto"/>
            <w:shd w:val="clear" w:color="auto" w:fill="auto"/>
          </w:tcPr>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蓝色凳面，塑胶面牢固耐用</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116</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48口交换机</w:t>
            </w:r>
          </w:p>
        </w:tc>
        <w:tc>
          <w:tcPr>
            <w:tcW w:w="0" w:type="auto"/>
            <w:shd w:val="clear" w:color="auto" w:fill="auto"/>
          </w:tcPr>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48个10/100/1000BASE-T以太网端口，4个千兆SFP，交流供电）</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24口交换机</w:t>
            </w:r>
          </w:p>
        </w:tc>
        <w:tc>
          <w:tcPr>
            <w:tcW w:w="0" w:type="auto"/>
            <w:shd w:val="clear" w:color="auto" w:fill="auto"/>
          </w:tcPr>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24个10/100/1000BASE-T以太网端口，4个千兆SFP，交流供电）</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网络机柜</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1、尺寸:600mm宽*1000mm高*600mm深,容积24U。</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2、脱脂静电喷涂;外形美观,全框架结构,方便实用 前后门网孔设计。</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3、采用旋转式散热风口，外型更美观，散热更良好。</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4、标准配置:高速风扇2个,六位10APDU电源一套.固定层板2个 螺丝1包,脚轮四只,支撑脚四个。</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5、主要材料:SPCC优质冷扎钢板制作；厚度方孔条1.2mm，其它1.0mm ，上下有进线孔打开就可以进出线,。</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六类双绞线</w:t>
            </w:r>
          </w:p>
        </w:tc>
        <w:tc>
          <w:tcPr>
            <w:tcW w:w="0" w:type="auto"/>
            <w:shd w:val="clear" w:color="auto" w:fill="auto"/>
          </w:tcPr>
          <w:p>
            <w:pPr>
              <w:pStyle w:val="7"/>
              <w:keepNext w:val="0"/>
              <w:keepLines w:val="0"/>
              <w:pageBreakBefore w:val="0"/>
              <w:widowControl/>
              <w:kinsoku/>
              <w:wordWrap/>
              <w:overflowPunct/>
              <w:topLinePunct w:val="0"/>
              <w:autoSpaceDE/>
              <w:autoSpaceDN/>
              <w:bidi w:val="0"/>
              <w:adjustRightInd w:val="0"/>
              <w:snapToGrid w:val="0"/>
              <w:spacing w:before="0" w:line="360" w:lineRule="auto"/>
              <w:ind w:left="0" w:firstLine="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1、传输性能参数符合并达到ANSI/TIA/EIA-568-C.2 250MHz 。                                                                                       </w:t>
            </w:r>
          </w:p>
          <w:p>
            <w:pPr>
              <w:pStyle w:val="7"/>
              <w:keepNext w:val="0"/>
              <w:keepLines w:val="0"/>
              <w:pageBreakBefore w:val="0"/>
              <w:widowControl/>
              <w:kinsoku/>
              <w:wordWrap/>
              <w:overflowPunct/>
              <w:topLinePunct w:val="0"/>
              <w:autoSpaceDE/>
              <w:autoSpaceDN/>
              <w:bidi w:val="0"/>
              <w:adjustRightInd w:val="0"/>
              <w:snapToGrid w:val="0"/>
              <w:spacing w:before="0" w:line="360" w:lineRule="auto"/>
              <w:ind w:left="0" w:firstLine="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2、▲六类非屏蔽线缆需具有中心卍字芯骨架，减少重压和扭绞带来的破坏 （提供产品规格书复印件，并加盖</w:t>
            </w:r>
            <w:r>
              <w:rPr>
                <w:rFonts w:hint="eastAsia" w:ascii="宋体" w:hAnsi="宋体" w:cs="宋体"/>
                <w:color w:val="auto"/>
                <w:kern w:val="0"/>
                <w:sz w:val="21"/>
                <w:szCs w:val="21"/>
                <w:highlight w:val="none"/>
                <w:lang w:val="en-US" w:eastAsia="zh-CN"/>
              </w:rPr>
              <w:t>投标人</w:t>
            </w:r>
            <w:r>
              <w:rPr>
                <w:rFonts w:hint="eastAsia" w:ascii="宋体" w:hAnsi="宋体" w:eastAsia="宋体" w:cs="宋体"/>
                <w:color w:val="auto"/>
                <w:kern w:val="0"/>
                <w:sz w:val="21"/>
                <w:szCs w:val="21"/>
                <w:highlight w:val="none"/>
              </w:rPr>
              <w:t>公章）。</w:t>
            </w:r>
          </w:p>
          <w:p>
            <w:pPr>
              <w:pStyle w:val="7"/>
              <w:keepNext w:val="0"/>
              <w:keepLines w:val="0"/>
              <w:pageBreakBefore w:val="0"/>
              <w:widowControl/>
              <w:kinsoku/>
              <w:wordWrap/>
              <w:overflowPunct/>
              <w:topLinePunct w:val="0"/>
              <w:autoSpaceDE/>
              <w:autoSpaceDN/>
              <w:bidi w:val="0"/>
              <w:adjustRightInd w:val="0"/>
              <w:snapToGrid w:val="0"/>
              <w:spacing w:before="0" w:line="360" w:lineRule="auto"/>
              <w:ind w:left="0" w:firstLine="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3、▲六类非屏蔽线缆采用内齿装护套，增强线对的抗压性与信号传输时的稳定性（提供产品规格书复印件，并加盖</w:t>
            </w:r>
            <w:r>
              <w:rPr>
                <w:rFonts w:hint="eastAsia" w:ascii="宋体" w:hAnsi="宋体" w:cs="宋体"/>
                <w:color w:val="auto"/>
                <w:kern w:val="0"/>
                <w:sz w:val="21"/>
                <w:szCs w:val="21"/>
                <w:highlight w:val="none"/>
                <w:lang w:val="en-US" w:eastAsia="zh-CN"/>
              </w:rPr>
              <w:t>投标人</w:t>
            </w:r>
            <w:r>
              <w:rPr>
                <w:rFonts w:hint="eastAsia" w:ascii="宋体" w:hAnsi="宋体" w:eastAsia="宋体" w:cs="宋体"/>
                <w:color w:val="auto"/>
                <w:kern w:val="0"/>
                <w:sz w:val="21"/>
                <w:szCs w:val="21"/>
                <w:highlight w:val="none"/>
              </w:rPr>
              <w:t>公章）。</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4、电缆外护套采用PVC，绝缘层采用HDPE，导体采用优质无氧铜。</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5、无机械或电气损伤的温度范围: 安装时: 0~+50℃；运行时:-20~+60℃，导体直流电阻≤9.5Ω/100m。</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6、直流电阻不平衡≤2.5%，绝缘电阻≥5000MΩ·km，线对对地电容不平衡≤330pF/100m，特性阻抗：100±15Ω。</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7、电缆最大外径≤7.5mm，护套厚度≥0.55mm。</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理线架</w:t>
            </w:r>
          </w:p>
        </w:tc>
        <w:tc>
          <w:tcPr>
            <w:tcW w:w="0" w:type="auto"/>
            <w:shd w:val="clear" w:color="auto" w:fill="auto"/>
          </w:tcPr>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1、介电强度:在60Hz条件下1000V（有效值）1分钟。</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2、额定电流:最大1.5A ，绝缘电阻:最小200MΩ，接触电阻:每个触点1MΩ。</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3、温度范围:-40℃到+70℃。</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4、传输性能:达到或超过ISO/IEC/ 11801 E级AS/NZS 3080:2003。</w:t>
            </w:r>
          </w:p>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5、E级标准，模块式触点机械特性，RJ45 8针触点:IEC-60603-7标准。</w:t>
            </w:r>
          </w:p>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6、耐用性:可插拔750次以上，材料:磷青铜，有50 μm  镀金层和100μm 镀镍层，IDC触点机械特性。</w:t>
            </w:r>
          </w:p>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7、触点:可卡接22-24AWG(0.64mm到0.41mm）线规的导体</w:t>
            </w:r>
          </w:p>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导体绝缘层直径:0.70mm-1.40mm。</w:t>
            </w:r>
          </w:p>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8、连接头材料:带有镀镍层的磷青铜。</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电源线</w:t>
            </w:r>
          </w:p>
        </w:tc>
        <w:tc>
          <w:tcPr>
            <w:tcW w:w="0" w:type="auto"/>
            <w:shd w:val="clear" w:color="auto" w:fill="auto"/>
          </w:tcPr>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1、BVR2.5mm2平方多股电源线。</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2、产品特征：绝缘机械性能好，性能优异，颜色鲜明，性能佳，使用更安全。</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3、应用标准：JB/T10261-2001</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4、电缆结构导体：单支或多股绞合无氧铜丝绝缘：特殊混合PVC绝缘。</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5、颜色：红、黄、蓝、绿、黑、白、双等多种颜色。</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6、应用标准：GB/T 5023.5-2008、JB/T 8734-2012。</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电源线</w:t>
            </w:r>
          </w:p>
        </w:tc>
        <w:tc>
          <w:tcPr>
            <w:tcW w:w="0" w:type="auto"/>
            <w:shd w:val="clear" w:color="auto" w:fill="auto"/>
          </w:tcPr>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1、总电源线BVR6mm2铜芯线。</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2、产品特征：绝缘机械性能好，性能优异，颜色鲜明，性能佳，使用更安全。</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3、应用标准：JB/T10261-2001</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4、电缆结构导体：单支或多股绞合无氧铜丝绝缘：特殊混合PVC绝缘。</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5、颜色：红、黄、蓝、绿、黑、白、双等多种颜色。</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6、应用标准：GB/T 5023.5-2008、JB/T 8734-2012。</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4"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电源插座</w:t>
            </w:r>
          </w:p>
        </w:tc>
        <w:tc>
          <w:tcPr>
            <w:tcW w:w="0" w:type="auto"/>
            <w:shd w:val="clear" w:color="auto" w:fill="auto"/>
          </w:tcPr>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1、3+3+2多插电源插座。</w:t>
            </w:r>
          </w:p>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bCs/>
                <w:color w:val="auto"/>
                <w:kern w:val="44"/>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sz w:val="21"/>
                <w:szCs w:val="21"/>
                <w:highlight w:val="none"/>
              </w:rPr>
              <w:t>▲具有</w:t>
            </w:r>
            <w:r>
              <w:rPr>
                <w:rFonts w:hint="eastAsia" w:ascii="宋体" w:hAnsi="宋体" w:cs="宋体"/>
                <w:color w:val="auto"/>
                <w:sz w:val="21"/>
                <w:szCs w:val="21"/>
                <w:highlight w:val="none"/>
                <w:lang w:val="en-US" w:eastAsia="zh-CN"/>
              </w:rPr>
              <w:t>较</w:t>
            </w:r>
            <w:r>
              <w:rPr>
                <w:rFonts w:hint="eastAsia" w:ascii="宋体" w:hAnsi="宋体" w:eastAsia="宋体" w:cs="宋体"/>
                <w:color w:val="auto"/>
                <w:sz w:val="21"/>
                <w:szCs w:val="21"/>
                <w:highlight w:val="none"/>
              </w:rPr>
              <w:t>好的网络系统链路和信道性能的通过性和连通性。</w:t>
            </w:r>
            <w:r>
              <w:rPr>
                <w:rFonts w:hint="eastAsia" w:ascii="宋体" w:hAnsi="宋体" w:eastAsia="宋体" w:cs="宋体"/>
                <w:color w:val="auto"/>
                <w:kern w:val="0"/>
                <w:sz w:val="21"/>
                <w:szCs w:val="21"/>
                <w:highlight w:val="none"/>
              </w:rPr>
              <w:t>(需提供第三方检测机构出具的检验报告复印件证明并加盖投标人公章）</w:t>
            </w:r>
            <w:r>
              <w:rPr>
                <w:rFonts w:hint="eastAsia" w:ascii="宋体" w:hAnsi="宋体" w:eastAsia="宋体" w:cs="宋体"/>
                <w:color w:val="auto"/>
                <w:sz w:val="21"/>
                <w:szCs w:val="21"/>
                <w:highlight w:val="none"/>
              </w:rPr>
              <w:t>。</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236</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辅材配件及人工费</w:t>
            </w:r>
          </w:p>
        </w:tc>
        <w:tc>
          <w:tcPr>
            <w:tcW w:w="0" w:type="auto"/>
            <w:shd w:val="clear" w:color="auto" w:fill="auto"/>
          </w:tcPr>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4/6分线槽、螺丝、胶布等相关小五金及布线安装调试人工费</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竣工后卫生清洁</w:t>
            </w:r>
          </w:p>
        </w:tc>
        <w:tc>
          <w:tcPr>
            <w:tcW w:w="0" w:type="auto"/>
            <w:shd w:val="clear" w:color="auto" w:fill="auto"/>
          </w:tcPr>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按室内面积计算，由专业清洁公司清洁</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trPr>
        <w:tc>
          <w:tcPr>
            <w:tcW w:w="0" w:type="auto"/>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二、智慧信息发布系统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数据管理平台</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1、▲管理平台采用B/S混合云架构设计，无需本地额外部署服务器等设备，即可支持对教学信息化设备运行数据的监测。(需提供第三方检测机构出具的检验报告复印件证明并加盖投标人公章）</w:t>
            </w:r>
          </w:p>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支持在Windows、Linux、Android、IOS等多种操作系统通过网页浏览器登陆操作，提供多种智能身份识别方式：支持通过账号登录、手机扫码登录等方式。(需提供第三方检测机构出具的检验报告复印件证明并加盖投标人公章）</w:t>
            </w:r>
          </w:p>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5.管理平台为学校提供专属识别代码，可支持交互智能设备在广域网环境下，输入专属代码接入管理平台即可在通过管理平台可开启或关闭指定交互智能设备的任意磁盘分区数据还原（冰点）保护。</w:t>
            </w:r>
          </w:p>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管理平台实时监控已连接的交互智能设备状态，支持多台设备的略缩预览和单设备全屏查看；可远程监控交互智能设备开关机状态、CPU温度、CPU使用率、硬盘空间、硬盘已使用状况、内存容量、内存使用率、管理软件版本、设备ID。</w:t>
            </w:r>
          </w:p>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7.支持不少于 10 台设备的略缩预览。</w:t>
            </w:r>
          </w:p>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8.管理平台可对局域网内的交互智能终端进行远程实时控制，能够监控设备当前运行界面，并远程对设备操作界面进行控制。</w:t>
            </w:r>
          </w:p>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9.管理平台可控制连接广域网的交互智能设备整机关机、开机和重启；可批量设定智能设备开关机的执行时间，并支持自定义循环模式（循环操作、定时操作）。</w:t>
            </w:r>
          </w:p>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10.管理平台可远程对选定的交互智能设备推送动态文字滚动公告，可对公告文字的颜色、粗体以及播放次数、推送时间进行设置。</w:t>
            </w:r>
          </w:p>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管理平台支持对设备进行打铃，支持立即、定时和循环操作，用户可上传自定义铃声至铃声库，支持MP3格式，添加铃声时，可试听，可设置打铃时长（10s、20s、30s、60s和120s）。支持同时添加20个不同时间的循环铃声。</w:t>
            </w:r>
          </w:p>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12.打铃过程中，会在设备上提醒，支持响铃5s后老师主动关闭打铃。</w:t>
            </w:r>
          </w:p>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13.管理平台支持对设备进行锁屏，支持立即、循环操作。循环操作包含每日重复、工作日+周末（即5+2）模式、自定义循环三种。</w:t>
            </w:r>
          </w:p>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14.管理平台支持后台锁定教室设备，用户可通过密码 在后台或者设备上进行解锁，支持即时锁定和多时间段锁定。</w:t>
            </w:r>
          </w:p>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15.终端列表可查看终端信息，包括设备SN号、状态、使用学生、所在班级、当前配置、是否生效、剩余电量。管理员可增删终端并依据基础信息筛选搜索设备。</w:t>
            </w:r>
          </w:p>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16.▲管理平台可远程对运行状态 下的交互智能设备批量进行本地系统启动盘的冻结、解冻（冰点保护）。冻结的设备重启后会自动还原到冻结前 的状态，即本地系统启动盘 的数据及系统更改会自动恢复至冻结前状态。(需提供第三方检测机构出具的检验报告复印件证明并加盖投标人公章）</w:t>
            </w:r>
          </w:p>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17.管理平台可实时监控开启冰点保护设备数量、安装冰点保护设备数量、磁盘冰冻状态等，并提示冰点风险，方便用户管理一体机系统环境。</w:t>
            </w:r>
          </w:p>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18.管理平台可开启或关闭指定交互智能设备的任意磁盘分区数据还原（冰点）保护。</w:t>
            </w:r>
          </w:p>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19.管理平台显示设备使用情况数据报表，包括实时在线设备数、今日活跃人数、使用学科数、异常条数、设备使用时段、设备使用时长分布、软件使用次数排行、用户活跃数、不同学科使用频次占比。</w:t>
            </w:r>
          </w:p>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20.▲移动管理平台可对已连接的交互智能设备进行实时关机、开机和重启操作。(需提供第三方检测机构出具的检验报告复印件证明并加盖投标人公章）</w:t>
            </w:r>
          </w:p>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21.▲移动管理平台可实时监控已连接的交互智能设备，远程查看设备的开关机状态、CPU温度、CPU使用率、开机时间的设备详情。(需提供第三方检测机构出具的检验报告复印件证明并加盖投标人公章）</w:t>
            </w:r>
          </w:p>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22.▲支持在在设备端上显示意见反馈入口，使用微信扫描二维码提交意见反馈。(需提供第三方检测机构出具的检验报告复印件证明并加盖投标人公章）</w:t>
            </w:r>
          </w:p>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23.管理平台为学校提供专属识别代码，广域网环境下的交互智能设备输入专属代码接入管理平台即可在通过管理平台对设备进行远程管理。支持按照年级、班级自定义交互智能设备名称，方便管理员对应管理。</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24.▲支持对全部软件应用弹窗进行拦截。 (需提供第三方检测机构出具的检验报告复印件证明并加盖投标人公章）</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25、与智慧班牌一体机统一品牌。</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智慧班牌管理模块</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整套应用系统基于SaaS布局，应用界面采用B/S架构设计，支持学校管理者在Windows、Linux、Android、iOS等多种不同的操作系统上通过网页浏览器登陆进行所有管理指令操作。家长通过常用移动通讯应用工具即可实现家校互通，通知消息接收。</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系统可在后台发布班牌展示信息内容，支持照片、视频、新闻、公告、电子欢迎横幅等类型，内容支持图文混合排版；信息发布具备定向发布功能，可按照全校、班级等层级进行定向信息推送；系统预置不少于10个电子欢迎横幅主题模板。</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3、支持自定义班牌界面，可在后台自由搭配显示组件，满足个性化的展示需求，预置班级信息、课程表、考勤、新闻、公告、相册、倒数日、天气、视频、学生量化评价排名等不少于20种显示组件。</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4、支持无线网络动态获取和静态网址手动切换，为学校进行网络设置提供多种选择；支持网络模式更改时验证管理员身份，防止学生误操作。</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5、为保证数据安全，系统应采用云服务器部署，支持广域网操作和管理，即管理员可使用账号密码登录网站进行管理。</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系统支持班级管理员手机扫描二维码，更改终端绑定班级，方便老师调整和管理各间教室的班级信息；绑定设备或解除设备绑定时，班牌端二维码支持手动刷新；支持管理员通过刷卡或扫描二维码进行网络设置；即使班牌未联网，也可以生成二维码，供管理员扫码进行身份验证。</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7、班牌支持生成动态问题反馈二维码，用户扫码后可快速地问题反馈，以提升班牌厂商对用户需求的处理和响应速度。</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8、▲在校园相册发的图片，可同时传到全校班牌和一体机（安装校园信息视窗软件）上展示。</w:t>
            </w:r>
            <w:r>
              <w:rPr>
                <w:rFonts w:hint="eastAsia" w:ascii="宋体" w:hAnsi="宋体" w:eastAsia="宋体" w:cs="宋体"/>
                <w:color w:val="auto"/>
                <w:kern w:val="0"/>
                <w:sz w:val="21"/>
                <w:szCs w:val="21"/>
                <w:highlight w:val="none"/>
              </w:rPr>
              <w:t>(需提供第三方检测机构出具的检验报告复印件证明并加盖投标人公章）</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9、▲学生在班牌刷卡登录个人中心后，可以主动向家长发起语音留言，留言后家长微信可收到提醒。</w:t>
            </w:r>
            <w:r>
              <w:rPr>
                <w:rFonts w:hint="eastAsia" w:ascii="宋体" w:hAnsi="宋体" w:eastAsia="宋体" w:cs="宋体"/>
                <w:color w:val="auto"/>
                <w:kern w:val="0"/>
                <w:sz w:val="21"/>
                <w:szCs w:val="21"/>
                <w:highlight w:val="none"/>
              </w:rPr>
              <w:t>(需提供第三方检测机构出具的检验报告复印件证明并加盖投标人公章）</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10、在学生个人评价软件手机端对学生点评后，在班牌光荣榜上下滑动，分数可更新。</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11、班牌支持刷卡、人脸识别等多种考勤方式，学生考勤时班牌可抓拍学生近照，家长可在手机端查看学生的考勤照片. </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12、如该班牌启用了人脸识别考勤功能，考勤界面里会显示摄像头采集到的实时画面并识别画面中用户，为提高效率，需支持同一画面至少5人同时识别。</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13、人脸识别考勤功能支持离线识别，无网络环境下班牌仍可以进行人脸识别考勤。 </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14、移动端身份验证：班牌初始化时，管理员扫描界面中的二维码可以为该班牌绑定教室；已绑定的可扫码解绑。</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15、▲亲情留言小投票：家长在微信端给学生发留言时，可以设置选项，学生在班牌上可以从中做出选择并回复。</w:t>
            </w:r>
            <w:r>
              <w:rPr>
                <w:rFonts w:hint="eastAsia" w:ascii="宋体" w:hAnsi="宋体" w:eastAsia="宋体" w:cs="宋体"/>
                <w:color w:val="auto"/>
                <w:kern w:val="0"/>
                <w:sz w:val="21"/>
                <w:szCs w:val="21"/>
                <w:highlight w:val="none"/>
              </w:rPr>
              <w:t>(需提供第三方检测机构出具的检验报告复印件证明并加盖投标人公章）</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16、支持自定义德育督导班级评分标准，设定全校评价维度，督导教师可通过扫描班牌显示的班级专属二维码对班级进行评分，可按日、周、月查看班级总分，可以柱状图查看各评价维度的分数。</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17、班牌可展示过去一周、一月的本班评分名次，及全校前三名的光荣班级，激励学生自觉维护班级冗余，提升学生综合素质。</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可批量为班级颁发具备有效期限的流动红旗，获奖班级班牌界面使用荣誉班级专用主题风格，提升班级荣誉感，激励其他班级。</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18、班牌可连接对应场地内的多个网络摄像头或录播设备，在班牌即可查看教室内的上课画面，实现电子可视化巡课，避免进班巡课影响教学秩序；可在单个班牌查看全校所有部署可视化巡课系统的课堂画面。</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19、支持在班牌自定义嵌入多个第三方系统，以满足学校多样化的系统应用需求。</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20、可在班牌应用菜单嵌入第三方应用，使用第三方应用时，显示当前使用的第三方应用名称与开发者信息，方便用户识别。</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提供班牌NFC读卡功能的开放标准接口。第三方应用可通过标准接口自行采集班牌刷卡信息用于自身系统。便于学校后续拓展建设。</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21、与智慧班牌一体机统一品牌。</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智慧班牌一体机</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1、采用21.5英寸横屏式电容显示屏，支持10点触控，屏幕分辨率≥1920*1080，显示比例16:9；；屏幕可视角度≥178°。</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2、▲屏幕亮度≥500cd/㎡</w:t>
            </w:r>
            <w:r>
              <w:rPr>
                <w:rFonts w:hint="eastAsia" w:ascii="宋体" w:hAnsi="宋体" w:eastAsia="宋体" w:cs="宋体"/>
                <w:color w:val="auto"/>
                <w:kern w:val="0"/>
                <w:sz w:val="21"/>
                <w:szCs w:val="21"/>
                <w:highlight w:val="none"/>
              </w:rPr>
              <w:t>(需提供第三方检测机构出具的检验报告复印件证明并加盖投标人公章）</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3、整机正面覆盖防眩光钢化玻璃，可在阳光、白炽灯、日光灯等强光照射下正常使用。</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4、屏体采用A规及以上等级宽温液晶屏，屏体工作温度区间跨度不小于零下20°C-80°C。</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5、内置500W像素高清摄像头，支持不少于5人同时进行活体人脸识别，避免代打卡、代考勤情况。可支持学生无卡考勤签到、查看个人课程表、家长留言等个人信息。</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6、内置高灵敏度的全向麦克风，拾音半径不小于0.5m，支持学生语音留言，留言内容同步发送至家长微信。</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7、内置2.0立体声道功放，支持视频及家长留言的音频播放。</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刷卡器：具有内置IC卡刷卡器，支持14443协议。学生可佩带相应的终端设备完成刷卡签到、查看个人信息等操作。</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8、整机采用内置天线设计，无任何天线外露。</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9、整机具备RJ45接口，支持Ethernet；具备Wi-Fi模块，支持Wi-Fi 802.11a/b/g/n双频协议；整机1路USB 2.0接口和1路USB3.0接口，一路LAN接口（10/100M以太网）。</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10、▲系统运行内存≥2GB，存储容量≥8GB；操作系统采用Android 7.1或以上系统。</w:t>
            </w:r>
            <w:r>
              <w:rPr>
                <w:rFonts w:hint="eastAsia" w:ascii="宋体" w:hAnsi="宋体" w:eastAsia="宋体" w:cs="宋体"/>
                <w:color w:val="auto"/>
                <w:kern w:val="0"/>
                <w:sz w:val="21"/>
                <w:szCs w:val="21"/>
                <w:highlight w:val="none"/>
              </w:rPr>
              <w:t>(需提供第三方检测机构出具的检验报告复印件证明并加盖投标人公章）</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11、整机支持外接门禁（Wiegand26国际标准协议）及串口接口。</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12、整机背部与墙面微距全贴合，背面与平整墙面间隙最大处≤2.5mm，保障教学环境的安全性；贴合墙面后整机前面板距墙面的最大厚度≤30mm，美观整洁。</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13、整机电源采用插墙式电源适配器，适配器无需悬挂，线材上出，确保使用安全。</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14、高强度一体无缝折弯合金外框，防刮防掉色。</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15、▲整机采用防水防尘结构设计，适用于学校教室半户外环境，防护等级不低于IP65。</w:t>
            </w:r>
            <w:r>
              <w:rPr>
                <w:rFonts w:hint="eastAsia" w:ascii="宋体" w:hAnsi="宋体" w:eastAsia="宋体" w:cs="宋体"/>
                <w:color w:val="auto"/>
                <w:kern w:val="0"/>
                <w:sz w:val="21"/>
                <w:szCs w:val="21"/>
                <w:highlight w:val="none"/>
              </w:rPr>
              <w:t>(需提供第三方检测机构出具的检验报告复印件证明并加盖投标人公章）</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16、终端采用壁挂式，自带安装上墙盖板，整机与壁挂须使用专用工具锁定，防止硬件跌落。</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17、兼容多种多媒体格式，至少支持 MPEG1、MPEG2、MPEG4、 H.263、H.264等视频格式；至少支持 MP3等音频格式；至少支持 JPG、JPEG、BMP、PNG、GIF 等图片格式。</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18、整机支持远程开关机功能，远程唤醒待机功耗≤2W。</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16口交换机</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16个10/100/1000BASE-T以太网端口，4个千兆SFP，交流供电）</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24口交换机</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24个10/100/1000BASE-T以太网端口，4个千兆SFP，交流供电）</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漏电开关</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16A，带漏电保护功能</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班牌机壁挂架</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根据班级实际情况定制挂架</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电源保护盒</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150*150*80</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电源插座</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线管/槽</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5分线管，国标</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1800</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电源线</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RVV3*2.5，国标</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1800</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49"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网线</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1、5类千兆网络线，8芯双绞传输。</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2、电缆外护套采用PVC(聚氯乙烯)，绝缘层采用HD-PE(高密度聚乙烯)，导体采用优质无氧铜。</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3、电缆的阻燃性能符合YD/T1019规定。</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4、无机械或电气损伤的温度范围: 安装时: 0~+50℃；运行时:-20~+60℃。</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5、电缆最大外径≤6.3mm，护套厚度≥0.55mm。</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4500</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水晶头</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AMPCOM 6类</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配电箱</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400*300*200，国标，国内知名品牌。</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安装辅材</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螺丝钉、拐角、钢钉、电工胶布、扎带、标签等全部施工安装辅材。</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安装调试费</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所有设备的安装、调试等全部费用。</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r>
    </w:tbl>
    <w:p>
      <w:pPr>
        <w:pStyle w:val="5"/>
        <w:bidi w:val="0"/>
        <w:rPr>
          <w:rFonts w:hint="eastAsia"/>
          <w:color w:val="auto"/>
          <w:highlight w:val="none"/>
          <w:lang w:val="en-US" w:eastAsia="zh-CN"/>
        </w:rPr>
      </w:pPr>
      <w:r>
        <w:rPr>
          <w:rFonts w:hint="eastAsia"/>
          <w:color w:val="auto"/>
          <w:highlight w:val="none"/>
          <w:lang w:val="en-US" w:eastAsia="zh-CN"/>
        </w:rPr>
        <w:t>五、交货期</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签订合同后60天内完成项目整体的供货、安装、调试及验收。</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p>
    <w:p>
      <w:pPr>
        <w:pStyle w:val="5"/>
        <w:bidi w:val="0"/>
        <w:rPr>
          <w:rFonts w:hint="eastAsia"/>
          <w:color w:val="auto"/>
          <w:highlight w:val="none"/>
          <w:lang w:val="en-US" w:eastAsia="zh-CN"/>
        </w:rPr>
      </w:pPr>
      <w:r>
        <w:rPr>
          <w:rFonts w:hint="eastAsia"/>
          <w:color w:val="auto"/>
          <w:highlight w:val="none"/>
          <w:lang w:val="en-US" w:eastAsia="zh-CN"/>
        </w:rPr>
        <w:t>六、售后服务</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运维总则</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为键全运行维护管理机制，保障系统安全稳定运行，确保系统出现故障时24小时内及时修复，并在系统恢复前采取有效的应急防范措施。</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项目实施要求</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1、供应商所投货物必须是原装、全新、未经使用的产品，并且符合国家以及该产品的出厂标准。</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2、所有货物在开箱检验时必须完好，无破损，配置与装箱单相符。数量、质量及性能不低于本需求书中提出的要求。</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3、货物外观洁净，标记编号以及盘面显示等字体清晰，明确。</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4、对于影响货物正常工作的必要组成部分，无论在技术规范中指出与否，供应商都应提供并在投标文件中明确列出。</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运输与保管</w:t>
      </w:r>
    </w:p>
    <w:p>
      <w:pPr>
        <w:keepNext w:val="0"/>
        <w:keepLines w:val="0"/>
        <w:pageBreakBefore w:val="0"/>
        <w:widowControl/>
        <w:kinsoku/>
        <w:wordWrap/>
        <w:overflowPunct/>
        <w:topLinePunct w:val="0"/>
        <w:autoSpaceDE/>
        <w:autoSpaceDN/>
        <w:bidi w:val="0"/>
        <w:adjustRightInd w:val="0"/>
        <w:snapToGrid w:val="0"/>
        <w:spacing w:line="360" w:lineRule="auto"/>
        <w:ind w:left="0"/>
        <w:textAlignment w:val="auto"/>
        <w:rPr>
          <w:rFonts w:hint="default"/>
          <w:color w:val="auto"/>
          <w:highlight w:val="none"/>
          <w:lang w:val="en-US" w:eastAsia="zh-CN"/>
        </w:rPr>
      </w:pPr>
      <w:r>
        <w:rPr>
          <w:rFonts w:hint="eastAsia" w:ascii="宋体" w:hAnsi="宋体" w:eastAsia="宋体" w:cs="宋体"/>
          <w:color w:val="auto"/>
          <w:kern w:val="2"/>
          <w:sz w:val="21"/>
          <w:szCs w:val="21"/>
          <w:highlight w:val="none"/>
          <w:lang w:val="en-US" w:eastAsia="zh-CN"/>
        </w:rPr>
        <w:t>1、供应商所投货物必须是原装、全新、未经使用的产品，并且符合国家以及该产品的</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搬运。</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2、必须提供货物的装箱清单，按装箱清单验收货物。</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3、货物在安装调试验收合格前的保险由中标供应商负责，中标供应商负责其派出的现场服务人员人身意外保险。</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4、设备在验收合格前的保管由中标供应商负责。</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安装和调试</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1、中标供应商负责本项目的建设、安装、调试。</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2、中标供应商须于合同签订后60天内完成本项目产品的供货、安装、调试并交付使用。</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3、安装所需工具设施物料由中标供应商自备、自费运到现场，完工后自费搬走，并保证不对建设场地环境造成任何不良影响。安装过程中，需考虑仪器安装的位置。</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4、设备的装箱、安装、调试等项工作由中标供应商负责，但必须在采购人的指定人员的参与下进行。</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bookmarkStart w:id="12" w:name="_Toc530989618"/>
      <w:r>
        <w:rPr>
          <w:rFonts w:hint="eastAsia" w:ascii="宋体" w:hAnsi="宋体" w:eastAsia="宋体" w:cs="宋体"/>
          <w:color w:val="auto"/>
          <w:kern w:val="2"/>
          <w:sz w:val="21"/>
          <w:szCs w:val="21"/>
          <w:highlight w:val="none"/>
          <w:lang w:val="en-US" w:eastAsia="zh-CN"/>
        </w:rPr>
        <w:t>售后服务</w:t>
      </w:r>
      <w:bookmarkEnd w:id="12"/>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本项目售后服务期为3年，确保系统稳定性。</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项目承建单位必须提供7×24小时客户服务热线电话，提供全天候无间断的故障申报受理、硬件维修受理、培训需求受理以及服务政策咨询等服务内容。</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售后服务期内，维修人员接到通知后2小时内响应，4小时内到场处理，如果设备故障在检修24小时后仍无法排除，学校单位有权扣减故障点部分费用。</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培训措施</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负责制定本项目培训方案，编制相关培训教材，组织培训工作。在项目实施过程中，结合项目实施进度安排，合理地分期、分批对招标人的相关人员进行培训。 </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p>
    <w:p>
      <w:pPr>
        <w:pStyle w:val="5"/>
        <w:bidi w:val="0"/>
        <w:rPr>
          <w:rFonts w:hint="eastAsia"/>
          <w:color w:val="auto"/>
          <w:highlight w:val="none"/>
          <w:lang w:val="en-US" w:eastAsia="zh-CN"/>
        </w:rPr>
      </w:pPr>
      <w:r>
        <w:rPr>
          <w:rFonts w:hint="eastAsia"/>
          <w:color w:val="auto"/>
          <w:highlight w:val="none"/>
          <w:lang w:val="en-US" w:eastAsia="zh-CN"/>
        </w:rPr>
        <w:t>七、付款方式</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1、合同签订后，中标方</w:t>
      </w:r>
      <w:r>
        <w:rPr>
          <w:rFonts w:hint="eastAsia" w:ascii="宋体" w:hAnsi="宋体" w:cs="宋体"/>
          <w:color w:val="auto"/>
          <w:kern w:val="2"/>
          <w:sz w:val="21"/>
          <w:szCs w:val="21"/>
          <w:highlight w:val="none"/>
          <w:lang w:val="en-US" w:eastAsia="zh-CN"/>
        </w:rPr>
        <w:t>向采购方</w:t>
      </w:r>
      <w:r>
        <w:rPr>
          <w:rFonts w:hint="eastAsia" w:ascii="宋体" w:hAnsi="宋体" w:eastAsia="宋体" w:cs="宋体"/>
          <w:color w:val="auto"/>
          <w:kern w:val="2"/>
          <w:sz w:val="21"/>
          <w:szCs w:val="21"/>
          <w:highlight w:val="none"/>
          <w:lang w:val="en-US" w:eastAsia="zh-CN"/>
        </w:rPr>
        <w:t>提交请款报告后</w:t>
      </w:r>
      <w:r>
        <w:rPr>
          <w:rFonts w:hint="eastAsia" w:ascii="宋体" w:hAnsi="宋体" w:cs="宋体"/>
          <w:color w:val="auto"/>
          <w:kern w:val="2"/>
          <w:sz w:val="21"/>
          <w:szCs w:val="21"/>
          <w:highlight w:val="none"/>
          <w:lang w:val="en-US" w:eastAsia="zh-CN"/>
        </w:rPr>
        <w:t>，采购方在</w:t>
      </w:r>
      <w:r>
        <w:rPr>
          <w:rFonts w:hint="eastAsia" w:ascii="宋体" w:hAnsi="宋体" w:eastAsia="宋体" w:cs="宋体"/>
          <w:color w:val="auto"/>
          <w:kern w:val="2"/>
          <w:sz w:val="21"/>
          <w:szCs w:val="21"/>
          <w:highlight w:val="none"/>
          <w:lang w:val="en-US" w:eastAsia="zh-CN"/>
        </w:rPr>
        <w:t>10个工作日内支付合同总额的40%作为预付款；</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2、所有设备调试完成、项目竣工验收合格并通过验收后，中标方</w:t>
      </w:r>
      <w:r>
        <w:rPr>
          <w:rFonts w:hint="eastAsia" w:ascii="宋体" w:hAnsi="宋体" w:cs="宋体"/>
          <w:color w:val="auto"/>
          <w:kern w:val="2"/>
          <w:sz w:val="21"/>
          <w:szCs w:val="21"/>
          <w:highlight w:val="none"/>
          <w:lang w:val="en-US" w:eastAsia="zh-CN"/>
        </w:rPr>
        <w:t>向采购方</w:t>
      </w:r>
      <w:r>
        <w:rPr>
          <w:rFonts w:hint="eastAsia" w:ascii="宋体" w:hAnsi="宋体" w:eastAsia="宋体" w:cs="宋体"/>
          <w:color w:val="auto"/>
          <w:kern w:val="2"/>
          <w:sz w:val="21"/>
          <w:szCs w:val="21"/>
          <w:highlight w:val="none"/>
          <w:lang w:val="en-US" w:eastAsia="zh-CN"/>
        </w:rPr>
        <w:t>提交请款报告后</w:t>
      </w:r>
      <w:r>
        <w:rPr>
          <w:rFonts w:hint="eastAsia" w:ascii="宋体" w:hAnsi="宋体" w:cs="宋体"/>
          <w:color w:val="auto"/>
          <w:kern w:val="2"/>
          <w:sz w:val="21"/>
          <w:szCs w:val="21"/>
          <w:highlight w:val="none"/>
          <w:lang w:val="en-US" w:eastAsia="zh-CN"/>
        </w:rPr>
        <w:t>，采购方在</w:t>
      </w:r>
      <w:r>
        <w:rPr>
          <w:rFonts w:hint="eastAsia" w:ascii="宋体" w:hAnsi="宋体" w:eastAsia="宋体" w:cs="宋体"/>
          <w:color w:val="auto"/>
          <w:kern w:val="2"/>
          <w:sz w:val="21"/>
          <w:szCs w:val="21"/>
          <w:highlight w:val="none"/>
          <w:lang w:val="en-US" w:eastAsia="zh-CN"/>
        </w:rPr>
        <w:t>10个工作日内支付合同总额的57%。</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sz w:val="21"/>
          <w:szCs w:val="21"/>
          <w:highlight w:val="none"/>
        </w:rPr>
        <w:t>验收合格满计一年内无质量问题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rPr>
        <w:t>中标方</w:t>
      </w:r>
      <w:r>
        <w:rPr>
          <w:rFonts w:hint="eastAsia" w:ascii="宋体" w:hAnsi="宋体" w:cs="宋体"/>
          <w:color w:val="auto"/>
          <w:kern w:val="2"/>
          <w:sz w:val="21"/>
          <w:szCs w:val="21"/>
          <w:highlight w:val="none"/>
          <w:lang w:val="en-US" w:eastAsia="zh-CN"/>
        </w:rPr>
        <w:t>向采购方</w:t>
      </w:r>
      <w:r>
        <w:rPr>
          <w:rFonts w:hint="eastAsia" w:ascii="宋体" w:hAnsi="宋体" w:eastAsia="宋体" w:cs="宋体"/>
          <w:color w:val="auto"/>
          <w:kern w:val="2"/>
          <w:sz w:val="21"/>
          <w:szCs w:val="21"/>
          <w:highlight w:val="none"/>
          <w:lang w:val="en-US" w:eastAsia="zh-CN"/>
        </w:rPr>
        <w:t>提交请款报告后</w:t>
      </w:r>
      <w:r>
        <w:rPr>
          <w:rFonts w:hint="eastAsia" w:ascii="宋体" w:hAnsi="宋体" w:cs="宋体"/>
          <w:color w:val="auto"/>
          <w:kern w:val="2"/>
          <w:sz w:val="21"/>
          <w:szCs w:val="21"/>
          <w:highlight w:val="none"/>
          <w:lang w:val="en-US" w:eastAsia="zh-CN"/>
        </w:rPr>
        <w:t>，采购方在</w:t>
      </w:r>
      <w:r>
        <w:rPr>
          <w:rFonts w:hint="eastAsia" w:ascii="宋体" w:hAnsi="宋体" w:eastAsia="宋体" w:cs="宋体"/>
          <w:color w:val="auto"/>
          <w:kern w:val="2"/>
          <w:sz w:val="21"/>
          <w:szCs w:val="21"/>
          <w:highlight w:val="none"/>
          <w:lang w:val="en-US" w:eastAsia="zh-CN"/>
        </w:rPr>
        <w:t>10个工作日内无息支付</w:t>
      </w:r>
      <w:r>
        <w:rPr>
          <w:rFonts w:hint="eastAsia" w:ascii="宋体" w:hAnsi="宋体" w:cs="宋体"/>
          <w:color w:val="auto"/>
          <w:kern w:val="2"/>
          <w:sz w:val="21"/>
          <w:szCs w:val="21"/>
          <w:highlight w:val="none"/>
          <w:lang w:val="en-US" w:eastAsia="zh-CN"/>
        </w:rPr>
        <w:t>剩余合同总额的3%</w:t>
      </w:r>
      <w:r>
        <w:rPr>
          <w:rFonts w:hint="eastAsia" w:ascii="宋体" w:hAnsi="宋体" w:eastAsia="宋体" w:cs="宋体"/>
          <w:color w:val="auto"/>
          <w:kern w:val="2"/>
          <w:sz w:val="21"/>
          <w:szCs w:val="21"/>
          <w:highlight w:val="none"/>
          <w:lang w:val="en-US" w:eastAsia="zh-CN"/>
        </w:rPr>
        <w:t>。</w:t>
      </w:r>
    </w:p>
    <w:p>
      <w:pPr>
        <w:bidi w:val="0"/>
        <w:rPr>
          <w:rFonts w:hint="eastAsia"/>
          <w:color w:val="auto"/>
          <w:highlight w:val="none"/>
          <w:lang w:val="en-US" w:eastAsia="zh-CN"/>
        </w:rPr>
      </w:pPr>
    </w:p>
    <w:p>
      <w:pPr>
        <w:pStyle w:val="5"/>
        <w:bidi w:val="0"/>
        <w:rPr>
          <w:rFonts w:hint="eastAsia"/>
          <w:color w:val="auto"/>
          <w:highlight w:val="none"/>
          <w:lang w:val="en-US" w:eastAsia="zh-CN"/>
        </w:rPr>
      </w:pPr>
      <w:r>
        <w:rPr>
          <w:rFonts w:hint="eastAsia"/>
          <w:color w:val="auto"/>
          <w:highlight w:val="none"/>
          <w:lang w:val="en-US" w:eastAsia="zh-CN"/>
        </w:rPr>
        <w:t>八、其他</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color w:val="auto"/>
          <w:highlight w:val="none"/>
          <w:lang w:val="en-US" w:eastAsia="zh-CN"/>
        </w:rPr>
      </w:pPr>
      <w:r>
        <w:rPr>
          <w:rFonts w:hint="eastAsia" w:ascii="宋体" w:hAnsi="宋体" w:eastAsia="宋体" w:cs="宋体"/>
          <w:color w:val="auto"/>
          <w:kern w:val="2"/>
          <w:sz w:val="21"/>
          <w:szCs w:val="21"/>
          <w:highlight w:val="none"/>
          <w:lang w:val="en-US" w:eastAsia="zh-CN"/>
        </w:rPr>
        <w:t>1、项目未尽事宜将在采购合同中另行约定，中标单位需无条件同意采购人基于为顺利完成本项目所提出的各项合理要求。</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2、项目清单为本次采购最低要求，各供应商可以自行优化供货计划，为本项目设计最优投标方案，但必须满足项目采购需求。若存在弄虚作假，事后商量的现象，我单位将不予验收及付款，并将中标商列入黑名单并向招投标中心投诉。</w:t>
      </w:r>
    </w:p>
    <w:p>
      <w:pPr>
        <w:spacing w:after="0" w:line="360" w:lineRule="auto"/>
        <w:ind w:firstLine="420" w:firstLineChars="200"/>
        <w:rPr>
          <w:rFonts w:ascii="宋体" w:hAnsi="宋体" w:eastAsia="宋体" w:cs="Times New Roman"/>
          <w:b w:val="0"/>
          <w:bCs w:val="0"/>
          <w:color w:val="auto"/>
          <w:sz w:val="21"/>
          <w:szCs w:val="21"/>
          <w:highlight w:val="none"/>
        </w:rPr>
      </w:pPr>
    </w:p>
    <w:p>
      <w:pPr>
        <w:spacing w:after="0" w:line="360" w:lineRule="auto"/>
        <w:ind w:firstLine="422" w:firstLineChars="200"/>
        <w:rPr>
          <w:rFonts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注：不满足招标文件中 “★”条款的投标文件将作无效投标处理。</w:t>
      </w:r>
      <w:bookmarkEnd w:id="7"/>
      <w:bookmarkEnd w:id="8"/>
      <w:bookmarkEnd w:id="9"/>
      <w:bookmarkEnd w:id="10"/>
    </w:p>
    <w:p>
      <w:pPr>
        <w:pStyle w:val="3"/>
        <w:spacing w:before="0" w:after="0" w:line="240" w:lineRule="auto"/>
        <w:rPr>
          <w:color w:val="auto"/>
          <w:sz w:val="24"/>
          <w:szCs w:val="24"/>
          <w:highlight w:val="none"/>
        </w:rPr>
      </w:pPr>
      <w:r>
        <w:rPr>
          <w:rFonts w:hint="eastAsia"/>
          <w:color w:val="auto"/>
          <w:sz w:val="24"/>
          <w:szCs w:val="24"/>
          <w:highlight w:val="none"/>
        </w:rPr>
        <w:br w:type="page"/>
      </w:r>
      <w:bookmarkStart w:id="13" w:name="_Toc2479"/>
      <w:r>
        <w:rPr>
          <w:rFonts w:hint="eastAsia"/>
          <w:color w:val="auto"/>
          <w:sz w:val="28"/>
          <w:szCs w:val="28"/>
          <w:highlight w:val="none"/>
        </w:rPr>
        <w:t>第四部分 投标人须知</w:t>
      </w:r>
      <w:bookmarkEnd w:id="13"/>
    </w:p>
    <w:p>
      <w:pPr>
        <w:pStyle w:val="4"/>
        <w:numPr>
          <w:ilvl w:val="0"/>
          <w:numId w:val="3"/>
        </w:numPr>
        <w:spacing w:before="0" w:after="0" w:line="480" w:lineRule="auto"/>
        <w:jc w:val="center"/>
        <w:rPr>
          <w:rFonts w:ascii="宋体" w:hAnsi="宋体" w:eastAsia="宋体"/>
          <w:color w:val="auto"/>
          <w:highlight w:val="none"/>
        </w:rPr>
      </w:pPr>
      <w:bookmarkStart w:id="14" w:name="_Toc19746"/>
      <w:r>
        <w:rPr>
          <w:rFonts w:hint="eastAsia" w:ascii="宋体" w:hAnsi="宋体" w:eastAsia="宋体"/>
          <w:color w:val="auto"/>
          <w:highlight w:val="none"/>
        </w:rPr>
        <w:t>说明</w:t>
      </w:r>
      <w:bookmarkEnd w:id="14"/>
    </w:p>
    <w:p>
      <w:pPr>
        <w:pStyle w:val="5"/>
        <w:widowControl w:val="0"/>
        <w:overflowPunct w:val="0"/>
        <w:spacing w:before="0" w:after="0" w:line="240" w:lineRule="auto"/>
        <w:rPr>
          <w:rFonts w:ascii="宋体" w:hAnsi="宋体" w:eastAsia="宋体"/>
          <w:color w:val="auto"/>
          <w:sz w:val="21"/>
          <w:szCs w:val="21"/>
          <w:highlight w:val="none"/>
        </w:rPr>
      </w:pPr>
      <w:bookmarkStart w:id="15" w:name="_Toc18488"/>
      <w:r>
        <w:rPr>
          <w:rFonts w:hint="eastAsia" w:ascii="宋体" w:hAnsi="宋体" w:eastAsia="宋体"/>
          <w:color w:val="auto"/>
          <w:sz w:val="21"/>
          <w:szCs w:val="21"/>
          <w:highlight w:val="none"/>
        </w:rPr>
        <w:t>1.适用范围</w:t>
      </w:r>
      <w:bookmarkEnd w:id="15"/>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招标范围：见本文件《用户需求书》</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16" w:name="_Toc13400"/>
      <w:r>
        <w:rPr>
          <w:rFonts w:hint="eastAsia" w:ascii="宋体" w:hAnsi="宋体" w:eastAsia="宋体"/>
          <w:color w:val="auto"/>
          <w:sz w:val="21"/>
          <w:szCs w:val="21"/>
          <w:highlight w:val="none"/>
        </w:rPr>
        <w:t>2.</w:t>
      </w:r>
      <w:bookmarkStart w:id="17" w:name="_Toc303084246"/>
      <w:bookmarkStart w:id="18" w:name="_Toc298847174"/>
      <w:bookmarkStart w:id="19" w:name="_Toc1530"/>
      <w:bookmarkStart w:id="20" w:name="_Toc382049092"/>
      <w:r>
        <w:rPr>
          <w:rFonts w:hint="eastAsia" w:ascii="宋体" w:hAnsi="宋体" w:eastAsia="宋体"/>
          <w:color w:val="auto"/>
          <w:sz w:val="21"/>
          <w:szCs w:val="21"/>
          <w:highlight w:val="none"/>
        </w:rPr>
        <w:t>定义</w:t>
      </w:r>
      <w:bookmarkEnd w:id="16"/>
      <w:bookmarkEnd w:id="17"/>
      <w:bookmarkEnd w:id="18"/>
      <w:bookmarkEnd w:id="19"/>
      <w:bookmarkEnd w:id="20"/>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是指依法进行政府采购的国家机关、事业单位</w:t>
      </w:r>
      <w:r>
        <w:rPr>
          <w:rFonts w:hint="eastAsia" w:ascii="宋体" w:hAnsi="宋体" w:eastAsia="宋体"/>
          <w:color w:val="auto"/>
          <w:sz w:val="21"/>
          <w:szCs w:val="21"/>
          <w:highlight w:val="none"/>
        </w:rPr>
        <w:t>等</w:t>
      </w:r>
      <w:r>
        <w:rPr>
          <w:rFonts w:ascii="宋体" w:hAnsi="宋体" w:eastAsia="宋体"/>
          <w:color w:val="auto"/>
          <w:sz w:val="21"/>
          <w:szCs w:val="21"/>
          <w:highlight w:val="none"/>
        </w:rPr>
        <w:t>团体组织</w:t>
      </w:r>
      <w:r>
        <w:rPr>
          <w:rFonts w:hint="eastAsia" w:ascii="宋体" w:hAnsi="宋体" w:eastAsia="宋体"/>
          <w:color w:val="auto"/>
          <w:sz w:val="21"/>
          <w:szCs w:val="21"/>
          <w:highlight w:val="none"/>
        </w:rPr>
        <w:t>。</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投标人：响应招标并且符合招标文件规定资格条件和参加投标竞争的法人、其他组织或者自然人。</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法人：法人是依法在国内进行注册并具有民事权利能力和民事行为能力，依法独立享有民事权利和承担民事义务的组织。</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中标人：指经评标委员会评审推荐、采购人确认的获得本项目中标资格的投标人。</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w:t>
      </w:r>
      <w:r>
        <w:rPr>
          <w:rFonts w:hint="eastAsia" w:ascii="宋体" w:hAnsi="宋体" w:eastAsia="宋体"/>
          <w:color w:val="auto"/>
          <w:sz w:val="21"/>
          <w:szCs w:val="21"/>
          <w:highlight w:val="none"/>
          <w:lang w:eastAsia="zh-CN"/>
        </w:rPr>
        <w:t>广东政通招标有限公司</w:t>
      </w:r>
      <w:r>
        <w:rPr>
          <w:rFonts w:hint="eastAsia" w:ascii="宋体" w:hAnsi="宋体" w:eastAsia="宋体"/>
          <w:color w:val="auto"/>
          <w:sz w:val="21"/>
          <w:szCs w:val="21"/>
          <w:highlight w:val="none"/>
        </w:rPr>
        <w:t>。</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评标委员会：评标委员会是依据《中华人民共和国政府采购法》及其实施条例、《政府采购货物和服务招标投标管理办法》等组建的专门负责本次招标其评标工作的临时性机构。</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合同：指由本次招标所产生的合同或合约文件。</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公章：</w:t>
      </w:r>
      <w:r>
        <w:rPr>
          <w:rFonts w:ascii="宋体" w:hAnsi="宋体" w:eastAsia="宋体"/>
          <w:color w:val="auto"/>
          <w:sz w:val="21"/>
          <w:szCs w:val="21"/>
          <w:highlight w:val="none"/>
        </w:rPr>
        <w:t>公章是</w:t>
      </w:r>
      <w:r>
        <w:rPr>
          <w:rFonts w:ascii="宋体" w:hAnsi="宋体" w:eastAsia="宋体"/>
          <w:iCs/>
          <w:color w:val="auto"/>
          <w:sz w:val="21"/>
          <w:szCs w:val="21"/>
          <w:highlight w:val="none"/>
        </w:rPr>
        <w:t>指</w:t>
      </w:r>
      <w:r>
        <w:rPr>
          <w:rFonts w:hint="eastAsia" w:ascii="宋体" w:hAnsi="宋体" w:eastAsia="宋体"/>
          <w:iCs/>
          <w:color w:val="auto"/>
          <w:sz w:val="21"/>
          <w:szCs w:val="21"/>
          <w:highlight w:val="none"/>
        </w:rPr>
        <w:t>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eastAsia="宋体"/>
          <w:color w:val="auto"/>
          <w:sz w:val="21"/>
          <w:szCs w:val="21"/>
          <w:highlight w:val="none"/>
        </w:rPr>
        <w:t>）</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时间</w:t>
      </w:r>
      <w:r>
        <w:rPr>
          <w:rFonts w:hint="eastAsia" w:ascii="宋体" w:hAnsi="宋体" w:eastAsia="宋体"/>
          <w:iCs/>
          <w:color w:val="auto"/>
          <w:sz w:val="21"/>
          <w:szCs w:val="21"/>
          <w:highlight w:val="none"/>
        </w:rPr>
        <w:t>：本文件规定按日计算期间的，开始当天不计入，从次日开始计算。期限的最后一日是国家法定节假日的，顺延到节假日后的次日为期限的最后一日。</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21" w:name="_Toc3780"/>
      <w:r>
        <w:rPr>
          <w:rFonts w:hint="eastAsia" w:ascii="宋体" w:hAnsi="宋体" w:eastAsia="宋体"/>
          <w:color w:val="auto"/>
          <w:sz w:val="21"/>
          <w:szCs w:val="21"/>
          <w:highlight w:val="none"/>
        </w:rPr>
        <w:t>3.货物和服务</w:t>
      </w:r>
      <w:bookmarkEnd w:id="21"/>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货物</w:t>
      </w:r>
      <w:r>
        <w:rPr>
          <w:rFonts w:ascii="宋体" w:hAnsi="宋体" w:eastAsia="宋体"/>
          <w:color w:val="auto"/>
          <w:sz w:val="21"/>
          <w:szCs w:val="21"/>
          <w:highlight w:val="none"/>
        </w:rPr>
        <w:t>是指各种形态和种类的物品，包括原材料、燃料、设备、产品等</w:t>
      </w:r>
      <w:r>
        <w:rPr>
          <w:rFonts w:hint="eastAsia" w:ascii="宋体" w:hAnsi="宋体" w:eastAsia="宋体"/>
          <w:color w:val="auto"/>
          <w:sz w:val="21"/>
          <w:szCs w:val="21"/>
          <w:highlight w:val="none"/>
        </w:rPr>
        <w:t>。</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服务是指</w:t>
      </w:r>
      <w:r>
        <w:rPr>
          <w:rFonts w:ascii="宋体" w:hAnsi="宋体" w:eastAsia="宋体"/>
          <w:color w:val="auto"/>
          <w:sz w:val="21"/>
          <w:szCs w:val="21"/>
          <w:highlight w:val="none"/>
        </w:rPr>
        <w:t>除货物和工程以外的其他政府采购对象</w:t>
      </w:r>
      <w:r>
        <w:rPr>
          <w:rFonts w:hint="eastAsia" w:ascii="宋体" w:hAnsi="宋体" w:eastAsia="宋体"/>
          <w:color w:val="auto"/>
          <w:sz w:val="21"/>
          <w:szCs w:val="21"/>
          <w:highlight w:val="none"/>
        </w:rPr>
        <w:t>。</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22" w:name="_Toc15945"/>
      <w:r>
        <w:rPr>
          <w:rFonts w:hint="eastAsia" w:ascii="宋体" w:hAnsi="宋体" w:eastAsia="宋体"/>
          <w:color w:val="auto"/>
          <w:sz w:val="21"/>
          <w:szCs w:val="21"/>
          <w:highlight w:val="none"/>
        </w:rPr>
        <w:t>4.投标费用</w:t>
      </w:r>
      <w:bookmarkEnd w:id="22"/>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投标人应承担所有与编写投标文件和参加投标有关的自身的所有费用，不论投标的结果如何，采购代理机构和采购人在任何情况下均无义务和责任承担这些费用。</w:t>
      </w:r>
    </w:p>
    <w:p>
      <w:pPr>
        <w:widowControl w:val="0"/>
        <w:adjustRightInd/>
        <w:snapToGrid/>
        <w:spacing w:after="0" w:line="360" w:lineRule="exact"/>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23" w:name="_Toc25040"/>
      <w:r>
        <w:rPr>
          <w:rFonts w:hint="eastAsia" w:ascii="宋体" w:hAnsi="宋体" w:eastAsia="宋体"/>
          <w:color w:val="auto"/>
          <w:sz w:val="21"/>
          <w:szCs w:val="21"/>
          <w:highlight w:val="none"/>
        </w:rPr>
        <w:t>5.知识产权</w:t>
      </w:r>
      <w:bookmarkEnd w:id="23"/>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采购人享有本项目实施过程中产生的知识成果及知识产权。</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投标人如欲在项目实施过程中采用自有知识成果，需在投标文件中声明，并提供相关知识产权证明文件。使用该知识成果后，投标人需提供开发接口和开发手册等技术文档。</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采购货物为计算机办公设备时，投标人提供的产品必须是预装正版操作系统软件的计算机产品。</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投标人提供的服务、货物经认定存在侵权行为的，其投标无效，并上报相关监管部门。</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24" w:name="_Toc21930"/>
      <w:r>
        <w:rPr>
          <w:rFonts w:hint="eastAsia" w:ascii="宋体" w:hAnsi="宋体" w:eastAsia="宋体"/>
          <w:color w:val="auto"/>
          <w:sz w:val="21"/>
          <w:szCs w:val="21"/>
          <w:highlight w:val="none"/>
        </w:rPr>
        <w:t>6.关于联合体投标</w:t>
      </w:r>
      <w:bookmarkEnd w:id="24"/>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对接受联合体投标的项目：两个以上的自然人、法人或者其他组织可以组成一个联合体，以一个投标人的身份共同参加政府采购。</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以联合体形式参与项目的供应商在领购招标文件时，应提供所有联合体组成成员的营业执照复印件，并加盖各联合体组成成员的公章。</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联合体各方均应当符合《政府采购法》第二十二条规定的条件。</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采购人根据采购项目的特殊要求规定投标人特定条件的，联合体各方中至少应当有一方符合采购人规定的特定条件。</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联合体各方之间应当签订共同投标协议并</w:t>
      </w:r>
      <w:r>
        <w:rPr>
          <w:rFonts w:ascii="宋体" w:hAnsi="宋体" w:eastAsia="宋体"/>
          <w:color w:val="auto"/>
          <w:sz w:val="21"/>
          <w:szCs w:val="21"/>
          <w:highlight w:val="none"/>
        </w:rPr>
        <w:t>在投标文件内提交</w:t>
      </w:r>
      <w:r>
        <w:rPr>
          <w:rFonts w:hint="eastAsia" w:ascii="宋体" w:hAnsi="宋体" w:eastAsia="宋体"/>
          <w:color w:val="auto"/>
          <w:sz w:val="21"/>
          <w:szCs w:val="21"/>
          <w:highlight w:val="none"/>
        </w:rPr>
        <w:t>，明确约定联合体各方承担的工作和相应的责任。联合体各方签订共同投标协议后，不得再以自己名义单独在同一项目中投标，也不得组成新的联合体参加同一项目投标。</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供应商为联合体的，可以由联合体中的任意一方交纳保证金，其交纳的保证金对联合体各方均具有约束力。</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联合体中有同类资质的投标人按照联合体分工承担相同工作的，应当按照资质等级较低的供应商确定资质等级。</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以联合体形式参加政府采购活动，联合体各方均为中小企业的，联合体视同中小企业。其中，联合体各方均为小微企业的，联合体视同小微企业。</w:t>
      </w:r>
      <w:r>
        <w:rPr>
          <w:rFonts w:hint="eastAsia" w:ascii="宋体" w:hAnsi="宋体" w:eastAsia="宋体"/>
          <w:color w:val="auto"/>
          <w:sz w:val="21"/>
          <w:szCs w:val="21"/>
          <w:highlight w:val="none"/>
          <w:lang w:eastAsia="zh-CN"/>
        </w:rPr>
        <w:t>双方均应提供《中小企业声明函》。</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除联合体协议明确授权盖章单位外，联合体投标时投标文件中所有要求盖章的地方均须加盖联合体所有组成成员的公章，否则该处盖章无效。</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联合体进行评分时，业绩、奖项等的认定和评分根据共同投标协议约定的各方承担的工作和相应责任，确定一方打分，不累加打分；评审标准不明确或难以明确以哪一方计算评分情况时，则按主体方情况评分。</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25" w:name="_Toc16571"/>
      <w:r>
        <w:rPr>
          <w:rFonts w:hint="eastAsia" w:ascii="宋体" w:hAnsi="宋体" w:eastAsia="宋体"/>
          <w:color w:val="auto"/>
          <w:sz w:val="21"/>
          <w:szCs w:val="21"/>
          <w:highlight w:val="none"/>
        </w:rPr>
        <w:t>7.关于分支机构投标</w:t>
      </w:r>
      <w:bookmarkEnd w:id="25"/>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bookmarkStart w:id="26" w:name="EB389f116341dd4693875bc7987e7327f3"/>
    </w:p>
    <w:p>
      <w:pPr>
        <w:widowControl w:val="0"/>
        <w:numPr>
          <w:ilvl w:val="1"/>
          <w:numId w:val="4"/>
        </w:numPr>
        <w:adjustRightInd/>
        <w:snapToGrid/>
        <w:spacing w:after="0"/>
        <w:jc w:val="both"/>
        <w:rPr>
          <w:rFonts w:ascii="宋体" w:hAnsi="宋体" w:eastAsia="宋体"/>
          <w:color w:val="auto"/>
          <w:sz w:val="21"/>
          <w:szCs w:val="21"/>
          <w:highlight w:val="none"/>
        </w:rPr>
      </w:pPr>
      <w:r>
        <w:rPr>
          <w:rFonts w:ascii="宋体" w:hAnsi="宋体" w:eastAsia="宋体"/>
          <w:color w:val="auto"/>
          <w:sz w:val="21"/>
          <w:szCs w:val="21"/>
          <w:highlight w:val="none"/>
        </w:rPr>
        <w:t>对可接受</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投标的项目，</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26"/>
    </w:p>
    <w:p>
      <w:pPr>
        <w:rPr>
          <w:color w:val="auto"/>
          <w:highlight w:val="none"/>
        </w:rPr>
      </w:pPr>
    </w:p>
    <w:p>
      <w:pPr>
        <w:pStyle w:val="4"/>
        <w:numPr>
          <w:ilvl w:val="0"/>
          <w:numId w:val="3"/>
        </w:numPr>
        <w:spacing w:before="0" w:after="0" w:line="480" w:lineRule="auto"/>
        <w:jc w:val="center"/>
        <w:rPr>
          <w:rFonts w:ascii="宋体" w:hAnsi="宋体" w:eastAsia="宋体"/>
          <w:color w:val="auto"/>
          <w:highlight w:val="none"/>
        </w:rPr>
      </w:pPr>
      <w:bookmarkStart w:id="27" w:name="_Toc17879"/>
      <w:r>
        <w:rPr>
          <w:rFonts w:hint="eastAsia" w:ascii="宋体" w:hAnsi="宋体" w:eastAsia="宋体"/>
          <w:color w:val="auto"/>
          <w:highlight w:val="none"/>
        </w:rPr>
        <w:t>招标文件</w:t>
      </w:r>
      <w:bookmarkEnd w:id="27"/>
    </w:p>
    <w:p>
      <w:pPr>
        <w:pStyle w:val="5"/>
        <w:widowControl w:val="0"/>
        <w:overflowPunct w:val="0"/>
        <w:spacing w:before="0" w:after="0" w:line="240" w:lineRule="auto"/>
        <w:rPr>
          <w:rFonts w:ascii="宋体" w:hAnsi="宋体" w:eastAsia="宋体"/>
          <w:color w:val="auto"/>
          <w:sz w:val="21"/>
          <w:szCs w:val="21"/>
          <w:highlight w:val="none"/>
        </w:rPr>
      </w:pPr>
      <w:bookmarkStart w:id="28" w:name="_Toc21771"/>
      <w:r>
        <w:rPr>
          <w:rFonts w:hint="eastAsia" w:ascii="宋体" w:hAnsi="宋体" w:eastAsia="宋体"/>
          <w:color w:val="auto"/>
          <w:sz w:val="21"/>
          <w:szCs w:val="21"/>
          <w:highlight w:val="none"/>
        </w:rPr>
        <w:t>8.招标文件的组成</w:t>
      </w:r>
      <w:bookmarkEnd w:id="28"/>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（1）投标邀请书；</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（2）投标资料表；</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（3）用户需求书；</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（4）投标人须知；</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（5）合同文本参考格式；</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（6）投标文件参考格式；</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（7）在招标过程中由采购代理机构发出的澄清更正文件等。</w:t>
      </w:r>
    </w:p>
    <w:p>
      <w:pPr>
        <w:spacing w:after="0"/>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29" w:name="_Toc14217"/>
      <w:r>
        <w:rPr>
          <w:rFonts w:hint="eastAsia" w:ascii="宋体" w:hAnsi="宋体" w:eastAsia="宋体"/>
          <w:color w:val="auto"/>
          <w:sz w:val="21"/>
          <w:szCs w:val="21"/>
          <w:highlight w:val="none"/>
        </w:rPr>
        <w:t>9.招标文件的澄清或修改</w:t>
      </w:r>
      <w:bookmarkEnd w:id="29"/>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采购人或者采购代理机构可以对已发出的招标文件、资格预审文件、投标邀请书进行必要的澄清或者修改。澄清或者修改的内容为招标文件、资格预审文件、投标邀请书的组成部分，</w:t>
      </w:r>
      <w:r>
        <w:rPr>
          <w:rFonts w:ascii="宋体" w:hAnsi="宋体" w:eastAsia="宋体"/>
          <w:color w:val="auto"/>
          <w:sz w:val="21"/>
          <w:szCs w:val="21"/>
          <w:highlight w:val="none"/>
        </w:rPr>
        <w:t>具有约束作用</w:t>
      </w:r>
      <w:r>
        <w:rPr>
          <w:rFonts w:hint="eastAsia" w:ascii="宋体" w:hAnsi="宋体" w:eastAsia="宋体"/>
          <w:color w:val="auto"/>
          <w:sz w:val="21"/>
          <w:szCs w:val="21"/>
          <w:highlight w:val="none"/>
        </w:rPr>
        <w:t>。</w:t>
      </w:r>
      <w:r>
        <w:rPr>
          <w:rFonts w:ascii="宋体" w:hAnsi="宋体" w:eastAsia="宋体"/>
          <w:color w:val="auto"/>
          <w:sz w:val="21"/>
          <w:szCs w:val="21"/>
          <w:highlight w:val="none"/>
        </w:rPr>
        <w:t>当招标文件、招标文件的澄清</w:t>
      </w:r>
      <w:r>
        <w:rPr>
          <w:rFonts w:hint="eastAsia" w:ascii="宋体" w:hAnsi="宋体" w:eastAsia="宋体"/>
          <w:color w:val="auto"/>
          <w:sz w:val="21"/>
          <w:szCs w:val="21"/>
          <w:highlight w:val="none"/>
        </w:rPr>
        <w:t>或</w:t>
      </w:r>
      <w:r>
        <w:rPr>
          <w:rFonts w:ascii="宋体" w:hAnsi="宋体" w:eastAsia="宋体"/>
          <w:color w:val="auto"/>
          <w:sz w:val="21"/>
          <w:szCs w:val="21"/>
          <w:highlight w:val="none"/>
        </w:rPr>
        <w:t>修改等在同一内容的表述上不一致时，以最后发出的书面文件</w:t>
      </w:r>
      <w:r>
        <w:rPr>
          <w:rFonts w:hint="eastAsia" w:ascii="宋体" w:hAnsi="宋体" w:eastAsia="宋体"/>
          <w:color w:val="auto"/>
          <w:sz w:val="21"/>
          <w:szCs w:val="21"/>
          <w:highlight w:val="none"/>
        </w:rPr>
        <w:t>及公告</w:t>
      </w:r>
      <w:r>
        <w:rPr>
          <w:rFonts w:ascii="宋体" w:hAnsi="宋体" w:eastAsia="宋体"/>
          <w:color w:val="auto"/>
          <w:sz w:val="21"/>
          <w:szCs w:val="21"/>
          <w:highlight w:val="none"/>
        </w:rPr>
        <w:t>为准。</w:t>
      </w:r>
    </w:p>
    <w:p>
      <w:pPr>
        <w:widowControl w:val="0"/>
        <w:numPr>
          <w:ilvl w:val="1"/>
          <w:numId w:val="4"/>
        </w:numPr>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招标期间，投标人有义务上网查看，公告一经上网发布，即视为送达。因投标人未及时上网查看而造成的所有后果，由投标人自行承担。</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4"/>
        <w:numPr>
          <w:ilvl w:val="0"/>
          <w:numId w:val="3"/>
        </w:numPr>
        <w:spacing w:before="0" w:after="0" w:line="480" w:lineRule="auto"/>
        <w:jc w:val="center"/>
        <w:rPr>
          <w:rFonts w:ascii="宋体" w:hAnsi="宋体" w:eastAsia="宋体"/>
          <w:color w:val="auto"/>
          <w:highlight w:val="none"/>
        </w:rPr>
      </w:pPr>
      <w:bookmarkStart w:id="30" w:name="_Toc23726"/>
      <w:r>
        <w:rPr>
          <w:rFonts w:hint="eastAsia" w:ascii="宋体" w:hAnsi="宋体" w:eastAsia="宋体"/>
          <w:color w:val="auto"/>
          <w:highlight w:val="none"/>
        </w:rPr>
        <w:t>投标文件的编制</w:t>
      </w:r>
      <w:bookmarkEnd w:id="30"/>
    </w:p>
    <w:p>
      <w:pPr>
        <w:pStyle w:val="5"/>
        <w:widowControl w:val="0"/>
        <w:overflowPunct w:val="0"/>
        <w:spacing w:before="0" w:after="0" w:line="240" w:lineRule="auto"/>
        <w:rPr>
          <w:rFonts w:ascii="宋体" w:hAnsi="宋体" w:eastAsia="宋体"/>
          <w:color w:val="auto"/>
          <w:sz w:val="21"/>
          <w:szCs w:val="21"/>
          <w:highlight w:val="none"/>
        </w:rPr>
      </w:pPr>
      <w:bookmarkStart w:id="31" w:name="_Toc20623"/>
      <w:r>
        <w:rPr>
          <w:rFonts w:hint="eastAsia" w:ascii="宋体" w:hAnsi="宋体" w:eastAsia="宋体"/>
          <w:color w:val="auto"/>
          <w:sz w:val="21"/>
          <w:szCs w:val="21"/>
          <w:highlight w:val="none"/>
        </w:rPr>
        <w:t>10.投标文件的语言及度量衡单位</w:t>
      </w:r>
      <w:bookmarkEnd w:id="31"/>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除非招标文件在技术规格中另有规定，投标人在投标文件中及其与采购代理机构和采购人所有往来文件中的所有</w:t>
      </w:r>
      <w:r>
        <w:rPr>
          <w:rFonts w:ascii="宋体" w:hAnsi="宋体" w:eastAsia="宋体"/>
          <w:color w:val="auto"/>
          <w:sz w:val="21"/>
          <w:szCs w:val="21"/>
          <w:highlight w:val="none"/>
        </w:rPr>
        <w:t>计量单位</w:t>
      </w:r>
      <w:r>
        <w:rPr>
          <w:rFonts w:hint="eastAsia" w:ascii="宋体" w:hAnsi="宋体" w:eastAsia="宋体"/>
          <w:color w:val="auto"/>
          <w:sz w:val="21"/>
          <w:szCs w:val="21"/>
          <w:highlight w:val="none"/>
        </w:rPr>
        <w:t>均应采用中华人民共和国法定计量单位</w:t>
      </w:r>
      <w:r>
        <w:rPr>
          <w:rFonts w:ascii="宋体" w:hAnsi="宋体" w:eastAsia="宋体"/>
          <w:color w:val="auto"/>
          <w:sz w:val="21"/>
          <w:szCs w:val="21"/>
          <w:highlight w:val="none"/>
        </w:rPr>
        <w:t>。</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32" w:name="_Toc28866"/>
      <w:bookmarkStart w:id="33" w:name="_Toc382049103"/>
      <w:bookmarkStart w:id="34" w:name="_Toc303084256"/>
      <w:bookmarkStart w:id="35" w:name="_Toc307934854"/>
      <w:bookmarkStart w:id="36" w:name="_Toc12145"/>
      <w:r>
        <w:rPr>
          <w:rFonts w:hint="eastAsia" w:ascii="宋体" w:hAnsi="宋体" w:eastAsia="宋体"/>
          <w:color w:val="auto"/>
          <w:sz w:val="21"/>
          <w:szCs w:val="21"/>
          <w:highlight w:val="none"/>
        </w:rPr>
        <w:t>11.</w:t>
      </w:r>
      <w:r>
        <w:rPr>
          <w:rFonts w:ascii="宋体" w:hAnsi="宋体" w:eastAsia="宋体"/>
          <w:color w:val="auto"/>
          <w:sz w:val="21"/>
          <w:szCs w:val="21"/>
          <w:highlight w:val="none"/>
        </w:rPr>
        <w:t>投标文件的组成</w:t>
      </w:r>
      <w:bookmarkEnd w:id="32"/>
      <w:bookmarkEnd w:id="33"/>
      <w:bookmarkEnd w:id="34"/>
      <w:bookmarkEnd w:id="35"/>
      <w:bookmarkEnd w:id="36"/>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包括但不限于招标文件附件格式中要求提供的表格。</w:t>
      </w:r>
    </w:p>
    <w:p>
      <w:pPr>
        <w:widowControl w:val="0"/>
        <w:numPr>
          <w:ilvl w:val="1"/>
          <w:numId w:val="4"/>
        </w:numPr>
        <w:adjustRightInd/>
        <w:snapToGrid/>
        <w:spacing w:after="0" w:line="360" w:lineRule="exact"/>
        <w:jc w:val="both"/>
        <w:rPr>
          <w:color w:val="auto"/>
          <w:highlight w:val="none"/>
        </w:rPr>
      </w:pPr>
      <w:r>
        <w:rPr>
          <w:rFonts w:hint="eastAsia" w:ascii="宋体" w:hAnsi="宋体" w:eastAsia="宋体"/>
          <w:color w:val="auto"/>
          <w:sz w:val="21"/>
          <w:szCs w:val="21"/>
          <w:highlight w:val="none"/>
        </w:rPr>
        <w:t>上述文件须按顺序装订成册，并编制投标文件目录。除上述文件资料外投标人还须按投标人须知的要求制作“开标文件”。“开标文件”作为投标文件的一部分，但须单独密封。</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37" w:name="_Toc30189"/>
      <w:r>
        <w:rPr>
          <w:rFonts w:hint="eastAsia" w:ascii="宋体" w:hAnsi="宋体" w:eastAsia="宋体"/>
          <w:color w:val="auto"/>
          <w:sz w:val="21"/>
          <w:szCs w:val="21"/>
          <w:highlight w:val="none"/>
        </w:rPr>
        <w:t>12.投标文件编制</w:t>
      </w:r>
      <w:bookmarkEnd w:id="37"/>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bookmarkStart w:id="38" w:name="_Toc303084258"/>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投标人应按招标文件的规定以及附件要求的内容和格式完整地填写</w:t>
      </w:r>
      <w:r>
        <w:rPr>
          <w:rFonts w:ascii="宋体" w:hAnsi="宋体" w:eastAsia="宋体"/>
          <w:color w:val="auto"/>
          <w:sz w:val="21"/>
          <w:szCs w:val="21"/>
          <w:highlight w:val="none"/>
        </w:rPr>
        <w:t>（表格可以按同样格式扩展）</w:t>
      </w:r>
      <w:r>
        <w:rPr>
          <w:rFonts w:hint="eastAsia" w:ascii="宋体" w:hAnsi="宋体" w:eastAsia="宋体"/>
          <w:color w:val="auto"/>
          <w:sz w:val="21"/>
          <w:szCs w:val="21"/>
          <w:highlight w:val="none"/>
        </w:rPr>
        <w:t>和提供资料，投标人必须对投标文件所提供的全部材料的真实性承担法律责任，并无条件接受采购人或采购代理机构及政府采购监督管理部门等对其中任何资料进行核实的要求。</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因投标文件编制存在歧义对投标人产生负面影响的，投标人自行承担后果。</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投标单位名称与投标人公章不一致，若投标单位名称已进行变更，应在投标文件中提供相应的证明材料并加盖公章，否则投标文件无效。</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投标文件密封、标记及内容与本项目采购信息不符，导致无法分辨所投项目为本项目的，投标文件无效。</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投标文件若出现以下内容，经评标委员会认定有可能间接影响评审秩序，其投标无效：</w:t>
      </w:r>
    </w:p>
    <w:p>
      <w:pPr>
        <w:pStyle w:val="31"/>
        <w:widowControl w:val="0"/>
        <w:adjustRightInd/>
        <w:snapToGrid/>
        <w:spacing w:after="0" w:line="360" w:lineRule="exact"/>
        <w:ind w:firstLine="0" w:firstLineChars="0"/>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（1）投标文件内出现无官方证明文件的行业地域排名或</w:t>
      </w:r>
      <w:r>
        <w:rPr>
          <w:rFonts w:ascii="宋体" w:hAnsi="宋体" w:eastAsia="宋体"/>
          <w:color w:val="auto"/>
          <w:sz w:val="21"/>
          <w:szCs w:val="21"/>
          <w:highlight w:val="none"/>
        </w:rPr>
        <w:t>使用“国家级”、“最高级”、“最佳”等用语</w:t>
      </w:r>
      <w:r>
        <w:rPr>
          <w:rFonts w:hint="eastAsia" w:ascii="宋体" w:hAnsi="宋体" w:eastAsia="宋体"/>
          <w:color w:val="auto"/>
          <w:sz w:val="21"/>
          <w:szCs w:val="21"/>
          <w:highlight w:val="none"/>
        </w:rPr>
        <w:t>字眼的。</w:t>
      </w:r>
    </w:p>
    <w:p>
      <w:pPr>
        <w:pStyle w:val="31"/>
        <w:widowControl w:val="0"/>
        <w:adjustRightInd/>
        <w:snapToGrid/>
        <w:spacing w:after="0" w:line="360" w:lineRule="exact"/>
        <w:ind w:firstLine="0" w:firstLineChars="0"/>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（2）投标文件内出现恶意诋毁、</w:t>
      </w:r>
      <w:r>
        <w:rPr>
          <w:rFonts w:ascii="宋体" w:hAnsi="宋体" w:eastAsia="宋体"/>
          <w:color w:val="auto"/>
          <w:sz w:val="21"/>
          <w:szCs w:val="21"/>
          <w:highlight w:val="none"/>
        </w:rPr>
        <w:t>贬低其他生产经营者的商品或者服务</w:t>
      </w:r>
      <w:r>
        <w:rPr>
          <w:rFonts w:hint="eastAsia" w:ascii="宋体" w:hAnsi="宋体" w:eastAsia="宋体"/>
          <w:color w:val="auto"/>
          <w:sz w:val="21"/>
          <w:szCs w:val="21"/>
          <w:highlight w:val="none"/>
        </w:rPr>
        <w:t>的内容。</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有下列情形之一的，视为投标人串通投标，其投标无效：</w:t>
      </w:r>
    </w:p>
    <w:bookmarkEnd w:id="38"/>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（一）不同投标人的投标文件由同一单位或者个人编制；</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（二）不同投标人委托同一单位或者个人办理投标事宜；</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（三）不同投标人的投标文件载明的项目管理成员或者联系人员为同一人；</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（四）不同投标人的投标文件异常一致或者投标报价呈规律性差异；</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（五）不同投标人的投标文件相互混装；</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（六）不同投标人的投标保证金从同一单位或者个人的账户转出。</w:t>
      </w:r>
    </w:p>
    <w:p>
      <w:pPr>
        <w:widowControl w:val="0"/>
        <w:adjustRightInd/>
        <w:snapToGrid/>
        <w:spacing w:after="0" w:line="360" w:lineRule="exact"/>
        <w:jc w:val="both"/>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39" w:name="_Toc259"/>
      <w:r>
        <w:rPr>
          <w:rFonts w:hint="eastAsia" w:ascii="宋体" w:hAnsi="宋体" w:eastAsia="宋体"/>
          <w:color w:val="auto"/>
          <w:sz w:val="21"/>
          <w:szCs w:val="21"/>
          <w:highlight w:val="none"/>
        </w:rPr>
        <w:t>13.投标报价说明</w:t>
      </w:r>
      <w:bookmarkEnd w:id="39"/>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本次招标，投标人应按用户需求中的要求进行投标报价，少报无效。</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投标人所提供的货物或服务均以人民币（或相关费率）报价。</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投标报价应包含完成本次招标所有服务内容的费用，包含各种税务费及合同实施过程中的全部费用和售后服务费等。</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中标后开出的所有发票必须与中标人的名称一致。</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40" w:name="_Toc27724"/>
      <w:r>
        <w:rPr>
          <w:rFonts w:hint="eastAsia" w:ascii="宋体" w:hAnsi="宋体" w:eastAsia="宋体"/>
          <w:color w:val="auto"/>
          <w:sz w:val="21"/>
          <w:szCs w:val="21"/>
          <w:highlight w:val="none"/>
        </w:rPr>
        <w:t>14.投标人所提供的服务或货物的证明文件</w:t>
      </w:r>
      <w:bookmarkEnd w:id="40"/>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bookmarkStart w:id="41" w:name="_Hlt107925668"/>
      <w:bookmarkEnd w:id="41"/>
      <w:bookmarkStart w:id="42" w:name="_Hlt107925638"/>
      <w:bookmarkEnd w:id="42"/>
      <w:r>
        <w:rPr>
          <w:rFonts w:hint="eastAsia" w:ascii="宋体" w:hAnsi="宋体" w:eastAsia="宋体"/>
          <w:color w:val="auto"/>
          <w:sz w:val="21"/>
          <w:szCs w:val="21"/>
          <w:highlight w:val="none"/>
        </w:rPr>
        <w:t>证明服务或货物的文件，它可以是文字资料、图纸和数据包括但不限于：服务主要内容、标准、质量、人员资质、计划安排、报告审核等的详细说明；对招标文件第三部分《用户需求书》中规定的要求进行详细应答和说明。</w:t>
      </w:r>
    </w:p>
    <w:p>
      <w:pPr>
        <w:pStyle w:val="31"/>
        <w:widowControl w:val="0"/>
        <w:adjustRightInd/>
        <w:snapToGrid/>
        <w:spacing w:after="0" w:line="360" w:lineRule="exact"/>
        <w:ind w:left="425" w:firstLine="0" w:firstLineChars="0"/>
        <w:jc w:val="both"/>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43" w:name="_Toc19520"/>
      <w:r>
        <w:rPr>
          <w:rFonts w:hint="eastAsia" w:ascii="宋体" w:hAnsi="宋体" w:eastAsia="宋体"/>
          <w:color w:val="auto"/>
          <w:sz w:val="21"/>
          <w:szCs w:val="21"/>
          <w:highlight w:val="none"/>
        </w:rPr>
        <w:t>15.★投标有效期</w:t>
      </w:r>
      <w:bookmarkEnd w:id="43"/>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投标文件应根据投标人须知的规定在投标截止日后的90天内保持有效。</w:t>
      </w:r>
    </w:p>
    <w:p>
      <w:pPr>
        <w:widowControl w:val="0"/>
        <w:adjustRightInd/>
        <w:snapToGrid/>
        <w:spacing w:after="0" w:line="360" w:lineRule="exact"/>
        <w:ind w:left="567"/>
        <w:jc w:val="both"/>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44" w:name="_Toc12456"/>
      <w:r>
        <w:rPr>
          <w:rFonts w:hint="eastAsia" w:ascii="宋体" w:hAnsi="宋体" w:eastAsia="宋体"/>
          <w:color w:val="auto"/>
          <w:sz w:val="21"/>
          <w:szCs w:val="21"/>
          <w:highlight w:val="none"/>
        </w:rPr>
        <w:t>16.★投标保证金</w:t>
      </w:r>
      <w:bookmarkEnd w:id="44"/>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bookmarkStart w:id="45" w:name="_Ref179619405"/>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投标人应按投标资料表中规定数额及法律规定的时间按相应包号保证金金额要求一次性提交投标保证金，以多次汇入达到招标文件要求金额的投标保证金无效。</w:t>
      </w:r>
      <w:bookmarkEnd w:id="45"/>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投标保证金金额与招标文件要求金额保持一致（详见投标资料表）。</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投标保证金有效期与投标有效期保持一致。</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投标人应一次性缴交招标文件规定数额的投标保证金，投标人与交款人名称必须一致，非投标人缴纳的投标保证金无效。</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采用银行转账、电汇方式提交的,付至采购代理机构指定账户上。 (详见投标人资料表)</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担保。是指由担保机构为供应商交纳投标保证金向采购人或者采购代理机构提供的保证担保。供应商在投标有效期内撤回投标文件或中标后不签订政府采购合同的，由担保机构按照担保函的约定履行支付投标保证金的责任。（投标担保格式详见附件《政府采购投标担保函》）</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采用《政府采购投标担保函》提交的，应符合下列规定：</w:t>
      </w:r>
    </w:p>
    <w:p>
      <w:pPr>
        <w:spacing w:after="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①投标担保函有效期应与投标有效期一致；</w:t>
      </w:r>
    </w:p>
    <w:p>
      <w:pPr>
        <w:spacing w:after="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②投标担保金额应与本项目的投标保证金一致；</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保证金不接受现金方式（包括以存现方式）提交，未按要求提交投标保证金的将导致废标。</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未中标的投标人的保证金在采购结果公示发出后5个工作日内退还，中标投标人的保证金在采购合同签订后5个工作日内退还。</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为方便退还未中标的投保人的保证金，投标人应制作《投标保证金汇入情况说明》随开标文件一并递交。</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有下列情形之一的，投标保证金将不予退还：</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（1）投标人在提交响应文件截止时间后撤回响应文件的；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（2）投标人在响应文件中提供虚假材料的；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（3）除因不可抗力或谈判文件、询价通知书认可的情形以外，中标单位不与采购人签订合同的；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（4）投标人与采购人、其他供应商或者采购代理机构恶意串通的；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（5）招标文件规定的其他情形。</w:t>
      </w:r>
    </w:p>
    <w:p>
      <w:pPr>
        <w:rPr>
          <w:color w:val="auto"/>
          <w:highlight w:val="none"/>
        </w:rPr>
      </w:pPr>
    </w:p>
    <w:p>
      <w:pPr>
        <w:pStyle w:val="4"/>
        <w:numPr>
          <w:ilvl w:val="0"/>
          <w:numId w:val="3"/>
        </w:numPr>
        <w:spacing w:before="0" w:after="0" w:line="480" w:lineRule="auto"/>
        <w:jc w:val="center"/>
        <w:rPr>
          <w:rFonts w:ascii="宋体" w:hAnsi="宋体" w:eastAsia="宋体"/>
          <w:color w:val="auto"/>
          <w:highlight w:val="none"/>
        </w:rPr>
      </w:pPr>
      <w:bookmarkStart w:id="46" w:name="_Toc31124"/>
      <w:r>
        <w:rPr>
          <w:rFonts w:hint="eastAsia" w:ascii="宋体" w:hAnsi="宋体" w:eastAsia="宋体"/>
          <w:color w:val="auto"/>
          <w:highlight w:val="none"/>
        </w:rPr>
        <w:t>投标文件的递交</w:t>
      </w:r>
      <w:bookmarkEnd w:id="46"/>
    </w:p>
    <w:p>
      <w:pPr>
        <w:pStyle w:val="5"/>
        <w:widowControl w:val="0"/>
        <w:overflowPunct w:val="0"/>
        <w:spacing w:before="0" w:after="0" w:line="240" w:lineRule="auto"/>
        <w:rPr>
          <w:rFonts w:ascii="宋体" w:hAnsi="宋体" w:eastAsia="宋体"/>
          <w:color w:val="auto"/>
          <w:sz w:val="21"/>
          <w:szCs w:val="21"/>
          <w:highlight w:val="none"/>
        </w:rPr>
      </w:pPr>
      <w:bookmarkStart w:id="47" w:name="_Toc29590"/>
      <w:bookmarkStart w:id="48" w:name="_Toc382049111"/>
      <w:bookmarkStart w:id="49" w:name="_Toc24997"/>
      <w:bookmarkStart w:id="50" w:name="_Toc303084264"/>
      <w:r>
        <w:rPr>
          <w:rFonts w:hint="eastAsia" w:ascii="宋体" w:hAnsi="宋体" w:eastAsia="宋体"/>
          <w:color w:val="auto"/>
          <w:sz w:val="21"/>
          <w:szCs w:val="21"/>
          <w:highlight w:val="none"/>
        </w:rPr>
        <w:t>17.</w:t>
      </w:r>
      <w:r>
        <w:rPr>
          <w:rFonts w:ascii="宋体" w:hAnsi="宋体" w:eastAsia="宋体"/>
          <w:color w:val="auto"/>
          <w:sz w:val="21"/>
          <w:szCs w:val="21"/>
          <w:highlight w:val="none"/>
        </w:rPr>
        <w:t>投标文件的</w:t>
      </w:r>
      <w:r>
        <w:rPr>
          <w:rFonts w:hint="eastAsia" w:ascii="宋体" w:hAnsi="宋体" w:eastAsia="宋体"/>
          <w:color w:val="auto"/>
          <w:sz w:val="21"/>
          <w:szCs w:val="21"/>
          <w:highlight w:val="none"/>
        </w:rPr>
        <w:t>装订，签署，</w:t>
      </w:r>
      <w:r>
        <w:rPr>
          <w:rFonts w:ascii="宋体" w:hAnsi="宋体" w:eastAsia="宋体"/>
          <w:color w:val="auto"/>
          <w:sz w:val="21"/>
          <w:szCs w:val="21"/>
          <w:highlight w:val="none"/>
        </w:rPr>
        <w:t>密封和标记</w:t>
      </w:r>
      <w:bookmarkEnd w:id="47"/>
      <w:bookmarkEnd w:id="48"/>
      <w:bookmarkEnd w:id="49"/>
      <w:bookmarkEnd w:id="50"/>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为方便评标委员会对投标文件进行评审</w:t>
      </w:r>
      <w:r>
        <w:rPr>
          <w:rFonts w:ascii="宋体" w:hAnsi="宋体" w:eastAsia="宋体"/>
          <w:color w:val="auto"/>
          <w:sz w:val="21"/>
          <w:szCs w:val="21"/>
          <w:highlight w:val="none"/>
        </w:rPr>
        <w:t>，</w:t>
      </w:r>
      <w:r>
        <w:rPr>
          <w:rFonts w:hint="eastAsia" w:ascii="宋体" w:hAnsi="宋体" w:eastAsia="宋体"/>
          <w:color w:val="auto"/>
          <w:sz w:val="21"/>
          <w:szCs w:val="21"/>
          <w:highlight w:val="none"/>
        </w:rPr>
        <w:t>建议投标人对投标文件进行装订，</w:t>
      </w:r>
      <w:r>
        <w:rPr>
          <w:rFonts w:ascii="宋体" w:hAnsi="宋体" w:eastAsia="宋体"/>
          <w:color w:val="auto"/>
          <w:sz w:val="21"/>
          <w:szCs w:val="21"/>
          <w:highlight w:val="none"/>
        </w:rPr>
        <w:t>对未经装订的投标文件可能发生的文件缺</w:t>
      </w:r>
      <w:r>
        <w:rPr>
          <w:rFonts w:hint="eastAsia" w:ascii="宋体" w:hAnsi="宋体" w:eastAsia="宋体"/>
          <w:color w:val="auto"/>
          <w:sz w:val="21"/>
          <w:szCs w:val="21"/>
          <w:highlight w:val="none"/>
        </w:rPr>
        <w:t>损</w:t>
      </w:r>
      <w:r>
        <w:rPr>
          <w:rFonts w:ascii="宋体" w:hAnsi="宋体" w:eastAsia="宋体"/>
          <w:color w:val="auto"/>
          <w:sz w:val="21"/>
          <w:szCs w:val="21"/>
          <w:highlight w:val="none"/>
        </w:rPr>
        <w:t>，由此产生的后果由投标人承担。</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正本均须用不褪色墨水书写或打印。投标文件的副本可采用投标文件的正本复印件，每套</w:t>
      </w: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应当标</w:t>
      </w:r>
      <w:r>
        <w:rPr>
          <w:rFonts w:ascii="宋体" w:hAnsi="宋体" w:eastAsia="宋体"/>
          <w:color w:val="auto"/>
          <w:sz w:val="21"/>
          <w:szCs w:val="21"/>
          <w:highlight w:val="none"/>
        </w:rPr>
        <w:t>明“正本”</w:t>
      </w:r>
      <w:r>
        <w:rPr>
          <w:rFonts w:hint="eastAsia" w:ascii="宋体" w:hAnsi="宋体" w:eastAsia="宋体"/>
          <w:color w:val="auto"/>
          <w:sz w:val="21"/>
          <w:szCs w:val="21"/>
          <w:highlight w:val="none"/>
        </w:rPr>
        <w:t>、</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的字样</w:t>
      </w:r>
      <w:r>
        <w:rPr>
          <w:rFonts w:ascii="宋体" w:hAnsi="宋体" w:eastAsia="宋体"/>
          <w:color w:val="auto"/>
          <w:sz w:val="21"/>
          <w:szCs w:val="21"/>
          <w:highlight w:val="none"/>
        </w:rPr>
        <w:t>。</w:t>
      </w:r>
      <w:r>
        <w:rPr>
          <w:rFonts w:hint="eastAsia" w:ascii="宋体" w:hAnsi="宋体" w:eastAsia="宋体"/>
          <w:color w:val="auto"/>
          <w:sz w:val="21"/>
          <w:szCs w:val="21"/>
          <w:highlight w:val="none"/>
        </w:rPr>
        <w:t>投标文件的【正本】及所有【副本】的封面及骑缝均须加盖投标人公章（文件每页盖章等同于盖骑缝章）。若</w:t>
      </w:r>
      <w:r>
        <w:rPr>
          <w:rFonts w:ascii="宋体" w:hAnsi="宋体" w:eastAsia="宋体"/>
          <w:color w:val="auto"/>
          <w:sz w:val="21"/>
          <w:szCs w:val="21"/>
          <w:highlight w:val="none"/>
        </w:rPr>
        <w:t>正本</w:t>
      </w:r>
      <w:r>
        <w:rPr>
          <w:rFonts w:hint="eastAsia" w:ascii="宋体" w:hAnsi="宋体" w:eastAsia="宋体"/>
          <w:color w:val="auto"/>
          <w:sz w:val="21"/>
          <w:szCs w:val="21"/>
          <w:highlight w:val="none"/>
        </w:rPr>
        <w:t>与</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不符，以</w:t>
      </w:r>
      <w:r>
        <w:rPr>
          <w:rFonts w:ascii="宋体" w:hAnsi="宋体" w:eastAsia="宋体"/>
          <w:color w:val="auto"/>
          <w:sz w:val="21"/>
          <w:szCs w:val="21"/>
          <w:highlight w:val="none"/>
        </w:rPr>
        <w:t>正本为准。</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联合体投标文件的【正本】及【副本】的封面及骑缝均须加盖所有联合体组成成员的公章。（文件每页盖章等同于盖骑缝章）</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建议投标人将投标文件正本和所有的副本分开密封装在单独的信封中，且在信封上标明“正本”“副本”字样。然后再将所有信封封装在一个外层信封中。电子文件与正本密封包装，随正本提交。</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电子文件内容包括：由投标人自行制作的与正本文件一致的所有文件。电子文件</w:t>
      </w:r>
      <w:r>
        <w:rPr>
          <w:rFonts w:hint="eastAsia" w:ascii="宋体" w:hAnsi="宋体" w:eastAsia="宋体"/>
          <w:color w:val="auto"/>
          <w:sz w:val="21"/>
          <w:szCs w:val="21"/>
          <w:highlight w:val="none"/>
        </w:rPr>
        <w:t>由</w:t>
      </w:r>
      <w:r>
        <w:rPr>
          <w:rFonts w:ascii="宋体" w:hAnsi="宋体" w:eastAsia="宋体"/>
          <w:color w:val="auto"/>
          <w:sz w:val="21"/>
          <w:szCs w:val="21"/>
          <w:highlight w:val="none"/>
        </w:rPr>
        <w:t>光盘</w:t>
      </w:r>
      <w:r>
        <w:rPr>
          <w:rFonts w:hint="eastAsia" w:ascii="宋体" w:hAnsi="宋体" w:eastAsia="宋体"/>
          <w:color w:val="auto"/>
          <w:sz w:val="21"/>
          <w:szCs w:val="21"/>
          <w:highlight w:val="none"/>
        </w:rPr>
        <w:t>或U盘</w:t>
      </w:r>
      <w:r>
        <w:rPr>
          <w:rFonts w:ascii="宋体" w:hAnsi="宋体" w:eastAsia="宋体"/>
          <w:color w:val="auto"/>
          <w:sz w:val="21"/>
          <w:szCs w:val="21"/>
          <w:highlight w:val="none"/>
        </w:rPr>
        <w:t>储存</w:t>
      </w:r>
      <w:r>
        <w:rPr>
          <w:rFonts w:hint="eastAsia" w:ascii="宋体" w:hAnsi="宋体" w:eastAsia="宋体"/>
          <w:color w:val="auto"/>
          <w:sz w:val="21"/>
          <w:szCs w:val="21"/>
          <w:highlight w:val="none"/>
        </w:rPr>
        <w:t>，并注明投标人名称及项目名称、采购项目编号，随投标文件一同密封提交。</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除投标人对错误处修改外，全套投标文件应无涂改或行间插字和增删。如有修改，修改处</w:t>
      </w:r>
      <w:r>
        <w:rPr>
          <w:rFonts w:hint="eastAsia" w:ascii="宋体" w:hAnsi="宋体" w:eastAsia="宋体"/>
          <w:color w:val="auto"/>
          <w:sz w:val="21"/>
          <w:szCs w:val="21"/>
          <w:highlight w:val="none"/>
        </w:rPr>
        <w:t>须由法定代表人或其正式授权代表在旁边签字及盖章</w:t>
      </w:r>
      <w:r>
        <w:rPr>
          <w:rFonts w:ascii="宋体" w:hAnsi="宋体" w:eastAsia="宋体"/>
          <w:color w:val="auto"/>
          <w:sz w:val="21"/>
          <w:szCs w:val="21"/>
          <w:highlight w:val="none"/>
        </w:rPr>
        <w:t>。</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开标唱标，投标人应将开标一览表和授权委托书单独密封提交，并在信封上标明“开标文件”字样。开标文件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开标文件”份数及签章等要求与投标文件正本相同（1份）。</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所有的信封均应注明： </w:t>
      </w:r>
    </w:p>
    <w:p>
      <w:pPr>
        <w:widowControl w:val="0"/>
        <w:numPr>
          <w:ilvl w:val="0"/>
          <w:numId w:val="5"/>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收件人：</w:t>
      </w:r>
      <w:r>
        <w:rPr>
          <w:rFonts w:hint="eastAsia" w:ascii="宋体" w:hAnsi="宋体" w:eastAsia="宋体"/>
          <w:color w:val="auto"/>
          <w:sz w:val="21"/>
          <w:szCs w:val="21"/>
          <w:highlight w:val="none"/>
          <w:lang w:eastAsia="zh-CN"/>
        </w:rPr>
        <w:t>广东政通招标有限公司</w:t>
      </w:r>
    </w:p>
    <w:p>
      <w:pPr>
        <w:widowControl w:val="0"/>
        <w:numPr>
          <w:ilvl w:val="0"/>
          <w:numId w:val="5"/>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w:t>
      </w:r>
    </w:p>
    <w:p>
      <w:pPr>
        <w:widowControl w:val="0"/>
        <w:numPr>
          <w:ilvl w:val="0"/>
          <w:numId w:val="5"/>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p>
      <w:pPr>
        <w:widowControl w:val="0"/>
        <w:numPr>
          <w:ilvl w:val="0"/>
          <w:numId w:val="5"/>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采购代理机构将拒绝接收出现以下情况的投标文件：</w:t>
      </w:r>
    </w:p>
    <w:p>
      <w:pPr>
        <w:widowControl w:val="0"/>
        <w:numPr>
          <w:ilvl w:val="0"/>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采用透明包装进行密封或未进行密封的投标文件；</w:t>
      </w:r>
    </w:p>
    <w:p>
      <w:pPr>
        <w:widowControl w:val="0"/>
        <w:numPr>
          <w:ilvl w:val="0"/>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密封破损导致投标文件内容直接或间接泄露的投标文件；</w:t>
      </w:r>
    </w:p>
    <w:p>
      <w:pPr>
        <w:widowControl w:val="0"/>
        <w:numPr>
          <w:ilvl w:val="0"/>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密封信封上项目编号错误的投标文件；</w:t>
      </w:r>
    </w:p>
    <w:p>
      <w:pPr>
        <w:widowControl w:val="0"/>
        <w:numPr>
          <w:ilvl w:val="0"/>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未在规定时间内领购文件的投标人的投标文件；</w:t>
      </w:r>
    </w:p>
    <w:p>
      <w:pPr>
        <w:widowControl w:val="0"/>
        <w:numPr>
          <w:ilvl w:val="0"/>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项目名称出现严重歧义或未标注所投项目信息导致无法分辨所投项目为本项目的投标文件；</w:t>
      </w:r>
    </w:p>
    <w:p>
      <w:pPr>
        <w:widowControl w:val="0"/>
        <w:numPr>
          <w:ilvl w:val="0"/>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采用传真、电传的投标文件；</w:t>
      </w:r>
    </w:p>
    <w:p>
      <w:pPr>
        <w:widowControl w:val="0"/>
        <w:numPr>
          <w:ilvl w:val="0"/>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招标文件规定的其他情形。</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采购代理机构对所有投标文件的误投或提前启封概不负责。</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投标人同时参加几个包投标时必须按招标文件要求按包号分别制作投标文件，分别密封递交。</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递交的投标文件中所提供的通讯方式应保持联络畅通，因联系不上而导致的所有后果由投标人自行承担。</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51" w:name="_Toc8628"/>
      <w:r>
        <w:rPr>
          <w:rFonts w:hint="eastAsia" w:ascii="宋体" w:hAnsi="宋体" w:eastAsia="宋体"/>
          <w:color w:val="auto"/>
          <w:sz w:val="21"/>
          <w:szCs w:val="21"/>
          <w:highlight w:val="none"/>
        </w:rPr>
        <w:t>18.迟交的投标文件</w:t>
      </w:r>
      <w:bookmarkEnd w:id="51"/>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投标人在投标截止时间之后提交的投标文件，采购代理机构将拒绝接收</w:t>
      </w:r>
      <w:r>
        <w:rPr>
          <w:rFonts w:ascii="宋体" w:hAnsi="宋体" w:eastAsia="宋体"/>
          <w:color w:val="auto"/>
          <w:sz w:val="21"/>
          <w:szCs w:val="21"/>
          <w:highlight w:val="none"/>
        </w:rPr>
        <w:t>。</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有违反其他法律规定情形的，采购代理机构将拒绝接收。</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52" w:name="_Toc13212"/>
      <w:r>
        <w:rPr>
          <w:rFonts w:hint="eastAsia" w:ascii="宋体" w:hAnsi="宋体" w:eastAsia="宋体"/>
          <w:color w:val="auto"/>
          <w:sz w:val="21"/>
          <w:szCs w:val="21"/>
          <w:highlight w:val="none"/>
        </w:rPr>
        <w:t>19.投标样品（如需提交）</w:t>
      </w:r>
      <w:bookmarkEnd w:id="52"/>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如有必要，采购代理机构可以要求投标人提供本服务项目涉及的部分设备或产品样品，投标人在投标时应提交《样品清单》。</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为方便评标，投标人在提供样品时，应在所提供的样品表面显著位置标注投标人的名称、包号、样品名称、招标文件规定的服务或货物编号。</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53" w:name="_Toc382049112"/>
      <w:bookmarkStart w:id="54" w:name="_Toc303084265"/>
      <w:bookmarkStart w:id="55" w:name="_Toc9777"/>
      <w:bookmarkStart w:id="56" w:name="_Toc5900"/>
      <w:r>
        <w:rPr>
          <w:rFonts w:hint="eastAsia" w:ascii="宋体" w:hAnsi="宋体" w:eastAsia="宋体"/>
          <w:color w:val="auto"/>
          <w:sz w:val="21"/>
          <w:szCs w:val="21"/>
          <w:highlight w:val="none"/>
        </w:rPr>
        <w:t>20.投标截止期</w:t>
      </w:r>
      <w:bookmarkEnd w:id="53"/>
      <w:bookmarkEnd w:id="54"/>
      <w:bookmarkEnd w:id="55"/>
      <w:bookmarkEnd w:id="56"/>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投标人应在招标文件规定的截止日期和时间内，将投标文件送达到指定地点。</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可按本须知规定以</w:t>
      </w:r>
      <w:r>
        <w:rPr>
          <w:rFonts w:hint="eastAsia" w:ascii="宋体" w:hAnsi="宋体" w:eastAsia="宋体"/>
          <w:color w:val="auto"/>
          <w:sz w:val="21"/>
          <w:szCs w:val="21"/>
          <w:highlight w:val="none"/>
        </w:rPr>
        <w:t>澄清或</w:t>
      </w:r>
      <w:r>
        <w:rPr>
          <w:rFonts w:ascii="宋体" w:hAnsi="宋体" w:eastAsia="宋体"/>
          <w:color w:val="auto"/>
          <w:sz w:val="21"/>
          <w:szCs w:val="21"/>
          <w:highlight w:val="none"/>
        </w:rPr>
        <w:t>修改通知的方式，酌情延长</w:t>
      </w:r>
      <w:r>
        <w:rPr>
          <w:rFonts w:hint="eastAsia" w:ascii="宋体" w:hAnsi="宋体" w:eastAsia="宋体"/>
          <w:color w:val="auto"/>
          <w:sz w:val="21"/>
          <w:szCs w:val="21"/>
          <w:highlight w:val="none"/>
        </w:rPr>
        <w:t>递</w:t>
      </w:r>
      <w:r>
        <w:rPr>
          <w:rFonts w:ascii="宋体" w:hAnsi="宋体" w:eastAsia="宋体"/>
          <w:color w:val="auto"/>
          <w:sz w:val="21"/>
          <w:szCs w:val="21"/>
          <w:highlight w:val="none"/>
        </w:rPr>
        <w:t>交投标文件的截止时间。在此情况下，投标人的所有权利和义务以及投标人受制约的截止时间，均以延长后新的投标截止时间为准。</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57" w:name="_Toc6003"/>
      <w:r>
        <w:rPr>
          <w:rFonts w:hint="eastAsia" w:ascii="宋体" w:hAnsi="宋体" w:eastAsia="宋体"/>
          <w:color w:val="auto"/>
          <w:sz w:val="21"/>
          <w:szCs w:val="21"/>
          <w:highlight w:val="none"/>
        </w:rPr>
        <w:t>21.投标文件的补充、修改与撤回</w:t>
      </w:r>
      <w:bookmarkEnd w:id="57"/>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投标文件一经递交不予退还。</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在提交投标文件截止时间至投标有效期满之前，投标人不得撤回其投标，否则其投标保证金将不予退还。</w:t>
      </w:r>
    </w:p>
    <w:p>
      <w:pPr>
        <w:pStyle w:val="9"/>
        <w:rPr>
          <w:color w:val="auto"/>
          <w:highlight w:val="none"/>
        </w:rPr>
      </w:pPr>
    </w:p>
    <w:p>
      <w:pPr>
        <w:pStyle w:val="4"/>
        <w:numPr>
          <w:ilvl w:val="0"/>
          <w:numId w:val="3"/>
        </w:numPr>
        <w:spacing w:before="0" w:after="0" w:line="480" w:lineRule="auto"/>
        <w:jc w:val="center"/>
        <w:rPr>
          <w:rFonts w:ascii="宋体" w:hAnsi="宋体" w:eastAsia="宋体"/>
          <w:color w:val="auto"/>
          <w:highlight w:val="none"/>
        </w:rPr>
      </w:pPr>
      <w:bookmarkStart w:id="58" w:name="_Toc29574"/>
      <w:r>
        <w:rPr>
          <w:rFonts w:hint="eastAsia" w:ascii="宋体" w:hAnsi="宋体" w:eastAsia="宋体"/>
          <w:color w:val="auto"/>
          <w:highlight w:val="none"/>
        </w:rPr>
        <w:t>开标与评标</w:t>
      </w:r>
      <w:bookmarkEnd w:id="58"/>
    </w:p>
    <w:p>
      <w:pPr>
        <w:pStyle w:val="5"/>
        <w:widowControl w:val="0"/>
        <w:overflowPunct w:val="0"/>
        <w:spacing w:before="0" w:after="0" w:line="240" w:lineRule="auto"/>
        <w:rPr>
          <w:rFonts w:ascii="宋体" w:hAnsi="宋体" w:eastAsia="宋体"/>
          <w:color w:val="auto"/>
          <w:sz w:val="21"/>
          <w:szCs w:val="21"/>
          <w:highlight w:val="none"/>
        </w:rPr>
      </w:pPr>
      <w:bookmarkStart w:id="59" w:name="_Toc28458"/>
      <w:r>
        <w:rPr>
          <w:rFonts w:hint="eastAsia" w:ascii="宋体" w:hAnsi="宋体" w:eastAsia="宋体"/>
          <w:color w:val="auto"/>
          <w:sz w:val="21"/>
          <w:szCs w:val="21"/>
          <w:highlight w:val="none"/>
        </w:rPr>
        <w:t>22.开标</w:t>
      </w:r>
      <w:bookmarkEnd w:id="59"/>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采购代理机构按</w:t>
      </w:r>
      <w:r>
        <w:rPr>
          <w:rFonts w:ascii="宋体" w:hAnsi="宋体" w:eastAsia="宋体"/>
          <w:color w:val="auto"/>
          <w:sz w:val="21"/>
          <w:szCs w:val="21"/>
          <w:highlight w:val="none"/>
        </w:rPr>
        <w:t>本</w:t>
      </w:r>
      <w:r>
        <w:rPr>
          <w:rFonts w:hint="eastAsia" w:ascii="宋体" w:hAnsi="宋体" w:eastAsia="宋体"/>
          <w:color w:val="auto"/>
          <w:sz w:val="21"/>
          <w:szCs w:val="21"/>
          <w:highlight w:val="none"/>
        </w:rPr>
        <w:t>招标文件</w:t>
      </w:r>
      <w:r>
        <w:rPr>
          <w:rFonts w:ascii="宋体" w:hAnsi="宋体" w:eastAsia="宋体"/>
          <w:color w:val="auto"/>
          <w:sz w:val="21"/>
          <w:szCs w:val="21"/>
          <w:highlight w:val="none"/>
        </w:rPr>
        <w:t>所规定的时间和地点公开开标，并邀请所有投标人</w:t>
      </w:r>
      <w:r>
        <w:rPr>
          <w:rFonts w:hint="eastAsia" w:ascii="宋体" w:hAnsi="宋体" w:eastAsia="宋体"/>
          <w:color w:val="auto"/>
          <w:sz w:val="21"/>
          <w:szCs w:val="21"/>
          <w:highlight w:val="none"/>
        </w:rPr>
        <w:t>代表</w:t>
      </w:r>
      <w:r>
        <w:rPr>
          <w:rFonts w:ascii="宋体" w:hAnsi="宋体" w:eastAsia="宋体"/>
          <w:color w:val="auto"/>
          <w:sz w:val="21"/>
          <w:szCs w:val="21"/>
          <w:highlight w:val="none"/>
        </w:rPr>
        <w:t>参加。</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开标程序：</w:t>
      </w:r>
    </w:p>
    <w:p>
      <w:pPr>
        <w:widowControl w:val="0"/>
        <w:numPr>
          <w:ilvl w:val="2"/>
          <w:numId w:val="4"/>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开标</w:t>
      </w:r>
      <w:r>
        <w:rPr>
          <w:rFonts w:hint="eastAsia" w:ascii="宋体" w:hAnsi="宋体" w:eastAsia="宋体"/>
          <w:color w:val="auto"/>
          <w:sz w:val="21"/>
          <w:szCs w:val="21"/>
          <w:highlight w:val="none"/>
        </w:rPr>
        <w:t>会</w:t>
      </w:r>
      <w:r>
        <w:rPr>
          <w:rFonts w:ascii="宋体" w:hAnsi="宋体" w:eastAsia="宋体"/>
          <w:color w:val="auto"/>
          <w:sz w:val="21"/>
          <w:szCs w:val="21"/>
          <w:highlight w:val="none"/>
        </w:rPr>
        <w:t>由</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主持</w:t>
      </w:r>
      <w:r>
        <w:rPr>
          <w:rFonts w:hint="eastAsia" w:ascii="宋体" w:hAnsi="宋体" w:eastAsia="宋体"/>
          <w:color w:val="auto"/>
          <w:sz w:val="21"/>
          <w:szCs w:val="21"/>
          <w:highlight w:val="none"/>
        </w:rPr>
        <w:t>，投标人的法定代表人或其授权代表携带有效身份证明准时参加开标会并签名报到。</w:t>
      </w:r>
    </w:p>
    <w:p>
      <w:pPr>
        <w:widowControl w:val="0"/>
        <w:numPr>
          <w:ilvl w:val="2"/>
          <w:numId w:val="4"/>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开标时，由投标人或者其推选的代表检查投标文件的密封情况；经确认无误后，由采购人或者采购代理机构工作人员当众拆封，宣布投标人名称、投标价格和招标文件规定的需要宣布的其他内容；</w:t>
      </w:r>
    </w:p>
    <w:p>
      <w:pPr>
        <w:widowControl w:val="0"/>
        <w:numPr>
          <w:ilvl w:val="2"/>
          <w:numId w:val="4"/>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投标人未参加开标的，视同认可开标结果。</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合格投标人不足3家的，不得开标；</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开标过程应当由采购人或者采购代理机构负责记录，由参加开标的各投标人代表和相关工作人员签字确认。</w:t>
      </w:r>
    </w:p>
    <w:p>
      <w:pPr>
        <w:widowControl w:val="0"/>
        <w:adjustRightInd/>
        <w:snapToGrid/>
        <w:spacing w:after="0" w:line="360" w:lineRule="exact"/>
        <w:ind w:left="567"/>
        <w:jc w:val="both"/>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60" w:name="_Toc5524"/>
      <w:r>
        <w:rPr>
          <w:rFonts w:hint="eastAsia" w:ascii="宋体" w:hAnsi="宋体" w:eastAsia="宋体"/>
          <w:color w:val="auto"/>
          <w:sz w:val="21"/>
          <w:szCs w:val="21"/>
          <w:highlight w:val="none"/>
        </w:rPr>
        <w:t>23.评标委员会及评标方法</w:t>
      </w:r>
      <w:bookmarkEnd w:id="60"/>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评标委员会根据招标项目的特点进行组建，并负责评标工作。</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评审方法：本次招标的评审方法采用综合评分法。</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定标原则：在最大限度</w:t>
      </w:r>
      <w:r>
        <w:rPr>
          <w:rFonts w:ascii="宋体" w:hAnsi="宋体" w:eastAsia="宋体"/>
          <w:color w:val="auto"/>
          <w:sz w:val="21"/>
          <w:szCs w:val="21"/>
          <w:highlight w:val="none"/>
        </w:rPr>
        <w:t>满足招标文件</w:t>
      </w:r>
      <w:r>
        <w:rPr>
          <w:rFonts w:hint="eastAsia" w:ascii="宋体" w:hAnsi="宋体" w:eastAsia="宋体"/>
          <w:color w:val="auto"/>
          <w:sz w:val="21"/>
          <w:szCs w:val="21"/>
          <w:highlight w:val="none"/>
        </w:rPr>
        <w:t>实质性要求前提下，按照招标文件规定的各项评价因素进行量化打分，以评标总得分最高的投标人作为中标候选人或中标人。</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评标委员会对投标文件的评审内容，分为商务评议、技术评议和价格评议。评审流程包括符合性检查、澄清问题、比较与评价、推荐中标候选人或确定中标人、编写评标报告等步骤。</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通过资格性和符合性审查的有效供应商方有资格提交最终报价及进入综合评审。磋商文件中要求供应商提供的相关资质证书证明材料因国家政策变动导致新旧证书名称不一致，旧证书未取消且新旧证书具有同等效力的，供应商提供新证书与提供在有效期内的旧证书给予同等认可。</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61" w:name="_Toc15231"/>
      <w:r>
        <w:rPr>
          <w:rFonts w:hint="eastAsia" w:ascii="宋体" w:hAnsi="宋体" w:eastAsia="宋体"/>
          <w:color w:val="auto"/>
          <w:sz w:val="21"/>
          <w:szCs w:val="21"/>
          <w:highlight w:val="none"/>
        </w:rPr>
        <w:t>24.评审原则及评标过程的保密</w:t>
      </w:r>
      <w:bookmarkEnd w:id="61"/>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评审的基本原则：评标委员会将依据《中华人民共和国政府采购法》及国家和地方政府有关法规的规定，遵循“客观、公正、审慎”的原则进行评审工作。</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从公开开标到签订合同，凡与审查、澄清、评审和投标有关的资料以及定标意见相关的事项，均不得向投标人及与评标无关的其他人透露。</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任何单位和个人不得非法干预、影响评标的过程和结果。</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62" w:name="_Toc3762"/>
      <w:r>
        <w:rPr>
          <w:rFonts w:hint="eastAsia" w:ascii="宋体" w:hAnsi="宋体" w:eastAsia="宋体"/>
          <w:color w:val="auto"/>
          <w:sz w:val="21"/>
          <w:szCs w:val="21"/>
          <w:highlight w:val="none"/>
        </w:rPr>
        <w:t>25.投标文件的初审</w:t>
      </w:r>
      <w:bookmarkEnd w:id="62"/>
    </w:p>
    <w:p>
      <w:pPr>
        <w:pStyle w:val="31"/>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开标结束后，采购人或者采购代理机构将依法对投标人的资格进行审查。资格审查时，投标人存在不符合资格性检查所要求事项情况的，投标无效。未通过资格审查的投标人不进入符合性审查的评审，</w:t>
      </w:r>
      <w:r>
        <w:rPr>
          <w:rFonts w:hint="eastAsia" w:ascii="宋体" w:hAnsi="宋体" w:eastAsia="宋体"/>
          <w:b/>
          <w:color w:val="auto"/>
          <w:sz w:val="21"/>
          <w:szCs w:val="21"/>
          <w:highlight w:val="none"/>
        </w:rPr>
        <w:t>资格性检查中发现下列情形之一的，其投标作无效处理：</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1) 资格瑕疵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资格证明文件未提供或不符合招标文件要求的；②资格证明文件有效期过期的；③《营业执照》复印件（加盖公章）或《事业单位法人证书》复印件（加盖公章）或其他主体证书复印件（加盖公章）未提供或有效期过期的；④提供的资质材料模糊不清导致无法辨认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投标保证金瑕疵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包括但不限于：①投标人未按招标文件要求提交投标保证金；②提交方式、提交时间、提交金额不符合招标文件要求；③投标保证金有效期不符合招标文件要求。</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eastAsia="宋体"/>
          <w:b/>
          <w:color w:val="auto"/>
          <w:sz w:val="21"/>
          <w:szCs w:val="21"/>
          <w:highlight w:val="none"/>
        </w:rPr>
        <w:t>发现下列情况之一的，其投标将作无效处理</w:t>
      </w:r>
      <w:r>
        <w:rPr>
          <w:rFonts w:hint="eastAsia" w:ascii="宋体" w:hAnsi="宋体" w:eastAsia="宋体"/>
          <w:color w:val="auto"/>
          <w:sz w:val="21"/>
          <w:szCs w:val="21"/>
          <w:highlight w:val="none"/>
        </w:rPr>
        <w:t>：</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1) 投标文件的有效性、完整性瑕疵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技术响应瑕疵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规格偏离表》未提供的；⑤将一个包中的内容拆开投标的；⑥投标人对同一货物或服务投标时，投标方案不唯一；⑦明显不符合技术规格、技术标准要求的；⑧其他未实质性响应招标文件技术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3) 商务响应瑕疵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采购人不能接受的条件的；⑥其他未实质性响应招标文件商务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4）投标报价瑕疵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5）违规行为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6)法律法规及招标文件中规定的其它情形。</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根据项目情况，评标委员会有权决定招标文件中“可能导致废标”或“可能导致其投标被拒绝”等具体条款是否实施“废标”或“投标被拒绝”，但对同一条款的裁决应适用于每个投标人。</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对于投标文件中不构成实质性偏差的不正规、不一致或不规则，评标委员会可以接受，但这种接受不能损害或影响任何投标人的相对排序。</w:t>
      </w:r>
    </w:p>
    <w:p>
      <w:pPr>
        <w:widowControl w:val="0"/>
        <w:numPr>
          <w:ilvl w:val="1"/>
          <w:numId w:val="4"/>
        </w:numPr>
        <w:adjustRightInd/>
        <w:snapToGrid/>
        <w:spacing w:after="0" w:line="360" w:lineRule="exact"/>
        <w:jc w:val="both"/>
        <w:rPr>
          <w:color w:val="auto"/>
          <w:highlight w:val="none"/>
        </w:rPr>
      </w:pPr>
      <w:r>
        <w:rPr>
          <w:rFonts w:hint="eastAsia" w:ascii="宋体" w:hAnsi="宋体" w:eastAsia="宋体"/>
          <w:color w:val="auto"/>
          <w:sz w:val="21"/>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63" w:name="_Toc21742"/>
      <w:r>
        <w:rPr>
          <w:rFonts w:hint="eastAsia" w:ascii="宋体" w:hAnsi="宋体" w:eastAsia="宋体"/>
          <w:color w:val="auto"/>
          <w:sz w:val="21"/>
          <w:szCs w:val="21"/>
          <w:highlight w:val="none"/>
        </w:rPr>
        <w:t>26.商务、技术、价格评审（具体评审项目详见投标资料表）</w:t>
      </w:r>
      <w:bookmarkEnd w:id="63"/>
    </w:p>
    <w:p>
      <w:pPr>
        <w:pStyle w:val="31"/>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对通过符合性检查的投标人进行商务技术综合评议，针对投标文件对招标文件的响应情况对各个投标人进行商务和技术评分</w:t>
      </w:r>
      <w:r>
        <w:rPr>
          <w:rFonts w:hint="eastAsia" w:ascii="宋体" w:hAnsi="宋体" w:eastAsia="宋体"/>
          <w:color w:val="auto"/>
          <w:sz w:val="21"/>
          <w:szCs w:val="21"/>
          <w:highlight w:val="none"/>
        </w:rPr>
        <w:t xml:space="preserve">。 </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投标文件报价出现前后不一致的，评标委员会按照下列规定修正：</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投标文件中开标一览表（报价表）内容与投标文件中相应内容不一致的，以开标一览表（报价表）为准；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大写金额和小写金额不一致的，以大写金额为准；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单价金额小数点或者百分比有明显错位的，以开标一览表的总价为准，并修改单价；</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总价金额与按单价汇总金额不一致的，以单价金额计算结果为准。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同时出现两种以上不一致的，按照前款规定的顺序修正。修正后的报价按照经投标人确认后产生约束力，投标人不确认的，其投标无效。</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64" w:name="_Toc22192"/>
      <w:r>
        <w:rPr>
          <w:rFonts w:hint="eastAsia" w:ascii="宋体" w:hAnsi="宋体" w:eastAsia="宋体"/>
          <w:color w:val="auto"/>
          <w:sz w:val="21"/>
          <w:szCs w:val="21"/>
          <w:highlight w:val="none"/>
        </w:rPr>
        <w:t>27.优惠政策</w:t>
      </w:r>
      <w:bookmarkEnd w:id="64"/>
    </w:p>
    <w:p>
      <w:pPr>
        <w:pStyle w:val="31"/>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对小型或微型企业、监狱企业、残疾人福利性单位投标的扶持：</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根据财政部、工业和信息化部制定了《</w:t>
      </w:r>
      <w:r>
        <w:rPr>
          <w:rFonts w:hint="eastAsia" w:ascii="宋体" w:hAnsi="宋体" w:eastAsia="宋体"/>
          <w:color w:val="auto"/>
          <w:sz w:val="21"/>
          <w:szCs w:val="21"/>
          <w:highlight w:val="none"/>
          <w:lang w:eastAsia="zh-CN"/>
        </w:rPr>
        <w:t>政府采购促进中小企业发展管理办法</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（财库〔2020〕46号）</w:t>
      </w:r>
      <w:r>
        <w:rPr>
          <w:rFonts w:hint="eastAsia" w:ascii="宋体" w:hAnsi="宋体" w:eastAsia="宋体"/>
          <w:color w:val="auto"/>
          <w:sz w:val="21"/>
          <w:szCs w:val="21"/>
          <w:highlight w:val="none"/>
        </w:rPr>
        <w:t>的规定，对小型或微型企业产品的价格给予一定比例扣除，用扣除后的价格参与评审。（参加政府采购活动的中小企业应按照招标文件中投标文件格式提出《中小企业声明函》）残疾人福利性单位、监狱企业（注：参加政府采购活动的监狱企业必须提供由省级以上监狱管理局、戒毒管理局(含新疆生产建设兵团)出具的监狱企业证明文件）视同小型、微型企业。</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投标人为小型或微型企业且投标产品含小型或微型企业产品时，其对应产品价格的扣除详见投标资料表。</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在货物采购项目中，供应商提供的货物既有中小企业制造货物，也有大型企业制造货物的，不享受</w:t>
      </w:r>
      <w:r>
        <w:rPr>
          <w:rFonts w:hint="eastAsia" w:ascii="宋体" w:hAnsi="宋体" w:eastAsia="宋体"/>
          <w:color w:val="auto"/>
          <w:sz w:val="21"/>
          <w:szCs w:val="21"/>
          <w:highlight w:val="none"/>
          <w:lang w:eastAsia="zh-CN"/>
        </w:rPr>
        <w:t>“财政部 工业和信息化部关于印发《政府采购促进中小企业发展管理办法》的通知（财库〔2020〕46号）”</w:t>
      </w:r>
      <w:r>
        <w:rPr>
          <w:rFonts w:hint="eastAsia" w:ascii="宋体" w:hAnsi="宋体" w:eastAsia="宋体"/>
          <w:color w:val="auto"/>
          <w:sz w:val="21"/>
          <w:szCs w:val="21"/>
          <w:highlight w:val="none"/>
        </w:rPr>
        <w:t>规定的中小企业扶持政策。</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投标人同时为小型、微型企业、监狱企业、残疾人福利性单位任两种或以上情况的，评审中只享受一次价格扣除，不重复进行价格扣除。</w:t>
      </w:r>
    </w:p>
    <w:p>
      <w:pPr>
        <w:widowControl w:val="0"/>
        <w:numPr>
          <w:ilvl w:val="1"/>
          <w:numId w:val="4"/>
        </w:numPr>
        <w:tabs>
          <w:tab w:val="left" w:pos="907"/>
        </w:tabs>
        <w:adjustRightInd/>
        <w:snapToGrid/>
        <w:spacing w:after="0" w:line="360" w:lineRule="exact"/>
        <w:jc w:val="both"/>
        <w:rPr>
          <w:rFonts w:ascii="宋体" w:hAnsi="宋体" w:eastAsia="宋体"/>
          <w:b/>
          <w:bCs/>
          <w:color w:val="auto"/>
          <w:sz w:val="21"/>
          <w:szCs w:val="21"/>
          <w:highlight w:val="none"/>
          <w:u w:val="single"/>
        </w:rPr>
      </w:pPr>
      <w:r>
        <w:rPr>
          <w:rFonts w:hint="eastAsia" w:ascii="宋体" w:hAnsi="宋体" w:eastAsia="宋体"/>
          <w:b/>
          <w:bCs/>
          <w:color w:val="auto"/>
          <w:sz w:val="21"/>
          <w:szCs w:val="21"/>
          <w:highlight w:val="none"/>
          <w:u w:val="single"/>
        </w:rPr>
        <w:t>中标、成交供应商享受本办法（财库〔2020〕46号）规定的中小企业扶持政策的，采购代理机构</w:t>
      </w:r>
      <w:r>
        <w:rPr>
          <w:rFonts w:hint="eastAsia" w:ascii="宋体" w:hAnsi="宋体" w:eastAsia="宋体"/>
          <w:b/>
          <w:bCs/>
          <w:color w:val="auto"/>
          <w:sz w:val="21"/>
          <w:szCs w:val="21"/>
          <w:highlight w:val="none"/>
          <w:u w:val="single"/>
          <w:lang w:eastAsia="zh-CN"/>
        </w:rPr>
        <w:t>将</w:t>
      </w:r>
      <w:r>
        <w:rPr>
          <w:rFonts w:hint="eastAsia" w:ascii="宋体" w:hAnsi="宋体" w:eastAsia="宋体"/>
          <w:b/>
          <w:bCs/>
          <w:color w:val="auto"/>
          <w:sz w:val="21"/>
          <w:szCs w:val="21"/>
          <w:highlight w:val="none"/>
          <w:u w:val="single"/>
        </w:rPr>
        <w:t>随中标、成交结果公开中标、成交供应商的《中小企业声明函》。</w:t>
      </w:r>
      <w:r>
        <w:rPr>
          <w:rFonts w:hint="eastAsia" w:ascii="宋体" w:hAnsi="宋体" w:eastAsia="宋体"/>
          <w:b/>
          <w:bCs/>
          <w:color w:val="auto"/>
          <w:sz w:val="21"/>
          <w:szCs w:val="21"/>
          <w:highlight w:val="none"/>
          <w:u w:val="single"/>
          <w:lang w:eastAsia="zh-CN"/>
        </w:rPr>
        <w:t>各供应商不得提供虚假声明，提供虚假声明取消中标、成交资格，并追究其法律责任。</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符合享受政府采购支持政策的残疾人福利性单位划分标准（根据财政部 民政部 中国残疾人联合会关于促进残疾人就业政府采购政策的通知(财库[2017]141号)）：</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（1）安置的残疾人占本单位在职职工人数的比例不低于25%（含25%），并且安置的残疾人人数不少于10人（含10人）；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（2）依法与安置的每位残疾人签订了一年以上（含一年）的劳动合同或服务协议；</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（3）为安置的每位残疾人按月足额缴纳了基本养老保险、基本医疗保险、失业保险、工伤保险和生育保险等社会保险费；</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（4）通过银行等金融机构向安置的每位残疾人，按月支付了不低于单位所在区县适用的经省级人民政府批准的月最低工资标准的工资；</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（5）提供本单位制造的货物、承担的工程或者服务（以下简称产品），或者提供其他残疾人福利性单位制造的货物（不包括使用非残疾人福利性单位注册商标的货物）。</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对节能产品或环境标志产品的扶持：</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根据《关于调整优化节能产品、环境标志产品政府采购执行机制的通知》（财库〔2019〕9号）及《转发财政部 发展改革委 生态环境部 市场监管总局关于调整优化节能产品 环境标志产品政府采购执行机制的通知》（粤财采购函〔2019〕1号）的规定，对提供节能产品或环境标志产品的投标单位的价格给予一定比例扣除（扣除比例详见投标资料表）。</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提供节能产品或环境标志产品的投标人其产品应符合以下规定：</w:t>
      </w:r>
    </w:p>
    <w:p>
      <w:pPr>
        <w:widowControl w:val="0"/>
        <w:numPr>
          <w:ilvl w:val="0"/>
          <w:numId w:val="7"/>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所投产品属于《节能产品政府采购品目清单》或《环境标志产品政府采购品目清单》的，投标人应如实填写《节能产品或环境标志产品列价表》并提供在有效期内的“节能产品认证证书”或“环境标志产品认证证书”。</w:t>
      </w:r>
    </w:p>
    <w:p>
      <w:pPr>
        <w:widowControl w:val="0"/>
        <w:numPr>
          <w:ilvl w:val="0"/>
          <w:numId w:val="7"/>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所投节能产品或环境标志产品其认证证书的认证机构应属于《市场监管总局关于发布参与实施政府采购节能产品、环境标志产品认证机构名录的公告（2019年第16号）》公告中所公示的认证机构，若投标人所提供的产品认证证书其认证机构不属于以上公示中的机构，则视为无效认证，不给予价格扣除优惠。</w:t>
      </w:r>
    </w:p>
    <w:p>
      <w:pPr>
        <w:widowControl w:val="0"/>
        <w:numPr>
          <w:ilvl w:val="0"/>
          <w:numId w:val="7"/>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若用户需求中含有《节能产品政府采购品目清单》中的政府强制采购产品，投标人应根据要求提供所对应的节能产品，否则做投标无效处理。</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65" w:name="_Toc316375620"/>
      <w:bookmarkStart w:id="66" w:name="_Toc382049120"/>
      <w:bookmarkStart w:id="67" w:name="_Toc22591"/>
      <w:bookmarkStart w:id="68" w:name="_Toc20328"/>
      <w:r>
        <w:rPr>
          <w:rFonts w:hint="eastAsia" w:ascii="宋体" w:hAnsi="宋体" w:eastAsia="宋体"/>
          <w:color w:val="auto"/>
          <w:sz w:val="21"/>
          <w:szCs w:val="21"/>
          <w:highlight w:val="none"/>
        </w:rPr>
        <w:t>28.纪律和</w:t>
      </w:r>
      <w:r>
        <w:rPr>
          <w:rFonts w:ascii="宋体" w:hAnsi="宋体" w:eastAsia="宋体"/>
          <w:color w:val="auto"/>
          <w:sz w:val="21"/>
          <w:szCs w:val="21"/>
          <w:highlight w:val="none"/>
        </w:rPr>
        <w:t>保密</w:t>
      </w:r>
      <w:bookmarkEnd w:id="65"/>
      <w:r>
        <w:rPr>
          <w:rFonts w:hint="eastAsia" w:ascii="宋体" w:hAnsi="宋体" w:eastAsia="宋体"/>
          <w:color w:val="auto"/>
          <w:sz w:val="21"/>
          <w:szCs w:val="21"/>
          <w:highlight w:val="none"/>
        </w:rPr>
        <w:t>事项</w:t>
      </w:r>
      <w:bookmarkEnd w:id="66"/>
      <w:bookmarkEnd w:id="67"/>
      <w:bookmarkEnd w:id="68"/>
    </w:p>
    <w:p>
      <w:pPr>
        <w:pStyle w:val="31"/>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投标人不得串通作弊，以不正当的手段妨碍、排挤其他投标人，扰乱招标市场，破坏公平竞争原则。否则将按相关法律规定严肃处理。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4"/>
        <w:numPr>
          <w:ilvl w:val="0"/>
          <w:numId w:val="3"/>
        </w:numPr>
        <w:spacing w:before="0" w:after="0" w:line="480" w:lineRule="auto"/>
        <w:jc w:val="center"/>
        <w:rPr>
          <w:rFonts w:ascii="宋体" w:hAnsi="宋体" w:eastAsia="宋体"/>
          <w:color w:val="auto"/>
          <w:highlight w:val="none"/>
        </w:rPr>
      </w:pPr>
      <w:bookmarkStart w:id="69" w:name="_Toc29310"/>
      <w:r>
        <w:rPr>
          <w:rFonts w:hint="eastAsia" w:ascii="宋体" w:hAnsi="宋体" w:eastAsia="宋体"/>
          <w:color w:val="auto"/>
          <w:highlight w:val="none"/>
        </w:rPr>
        <w:t>授予合同</w:t>
      </w:r>
      <w:bookmarkEnd w:id="69"/>
    </w:p>
    <w:p>
      <w:pPr>
        <w:pStyle w:val="5"/>
        <w:widowControl w:val="0"/>
        <w:overflowPunct w:val="0"/>
        <w:spacing w:before="0" w:after="0" w:line="240" w:lineRule="auto"/>
        <w:rPr>
          <w:rFonts w:ascii="宋体" w:hAnsi="宋体" w:eastAsia="宋体"/>
          <w:color w:val="auto"/>
          <w:sz w:val="21"/>
          <w:szCs w:val="21"/>
          <w:highlight w:val="none"/>
        </w:rPr>
      </w:pPr>
      <w:bookmarkStart w:id="70" w:name="_Toc27817"/>
      <w:bookmarkStart w:id="71" w:name="_Toc508284011"/>
      <w:r>
        <w:rPr>
          <w:rFonts w:hint="eastAsia" w:ascii="宋体" w:hAnsi="宋体" w:eastAsia="宋体"/>
          <w:color w:val="auto"/>
          <w:sz w:val="21"/>
          <w:szCs w:val="21"/>
          <w:highlight w:val="none"/>
        </w:rPr>
        <w:t>29.</w:t>
      </w:r>
      <w:r>
        <w:rPr>
          <w:rFonts w:ascii="宋体" w:hAnsi="宋体" w:eastAsia="宋体"/>
          <w:color w:val="auto"/>
          <w:sz w:val="21"/>
          <w:szCs w:val="21"/>
          <w:highlight w:val="none"/>
        </w:rPr>
        <w:t>合同授予标准</w:t>
      </w:r>
      <w:bookmarkEnd w:id="70"/>
      <w:bookmarkEnd w:id="71"/>
    </w:p>
    <w:p>
      <w:pPr>
        <w:pStyle w:val="31"/>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根据评标委员会的评审结果，采购人按照评审报告推荐的中标候选人中按顺序依法确定中标人</w:t>
      </w:r>
      <w:r>
        <w:rPr>
          <w:rFonts w:ascii="宋体" w:hAnsi="宋体" w:eastAsia="宋体"/>
          <w:color w:val="auto"/>
          <w:sz w:val="21"/>
          <w:szCs w:val="21"/>
          <w:highlight w:val="none"/>
        </w:rPr>
        <w:t>。</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72" w:name="_Toc508284013"/>
      <w:bookmarkStart w:id="73" w:name="_Toc29283"/>
      <w:r>
        <w:rPr>
          <w:rFonts w:hint="eastAsia" w:ascii="宋体" w:hAnsi="宋体" w:eastAsia="宋体"/>
          <w:color w:val="auto"/>
          <w:sz w:val="21"/>
          <w:szCs w:val="21"/>
          <w:highlight w:val="none"/>
        </w:rPr>
        <w:t>30.发布采购结果</w:t>
      </w:r>
      <w:bookmarkEnd w:id="72"/>
      <w:bookmarkEnd w:id="73"/>
    </w:p>
    <w:p>
      <w:pPr>
        <w:pStyle w:val="31"/>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评标委员会提出评标书面报告和推荐中标意见报采购人确认后，采购代理机构将在指定的信息发布媒体上发布公告。</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中标公告期限为1个工作日。</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结果公示发布后，中标单位应及时领取中标通知书。《中标通知书》是合同的一个组成部分，《中标通知书》对采购人和中标人均具有同等法律效力。</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中标人无正当理由不得放弃中标，因中标人放弃中标而对采购人造成的损失由放弃中标的中标人承担。</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中标人为残疾人福利性单位的，采购人或者其委托的采购代理机构应当随中标、成交结果同时公告其《残疾人福利性单位声明函》，接受社会监督。</w:t>
      </w:r>
    </w:p>
    <w:p>
      <w:pPr>
        <w:widowControl w:val="0"/>
        <w:numPr>
          <w:ilvl w:val="1"/>
          <w:numId w:val="4"/>
        </w:numPr>
        <w:tabs>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原件核查</w:t>
      </w:r>
    </w:p>
    <w:p>
      <w:pPr>
        <w:widowControl w:val="0"/>
        <w:numPr>
          <w:ilvl w:val="2"/>
          <w:numId w:val="4"/>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采购结果发布后，采购代理机构或采购人有权对中标单位进行原件核查，中标单位应在五个工作日内把相关原件递交至采购代理机构办公地址或采购人指定地址进行核查。</w:t>
      </w:r>
    </w:p>
    <w:p>
      <w:pPr>
        <w:widowControl w:val="0"/>
        <w:numPr>
          <w:ilvl w:val="2"/>
          <w:numId w:val="4"/>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中标单位有下列情形之一的，取消中标资格：</w:t>
      </w:r>
    </w:p>
    <w:p>
      <w:pPr>
        <w:widowControl w:val="0"/>
        <w:numPr>
          <w:ilvl w:val="0"/>
          <w:numId w:val="8"/>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拒绝采购人或采购代理机构原件核查要求的；</w:t>
      </w:r>
    </w:p>
    <w:p>
      <w:pPr>
        <w:widowControl w:val="0"/>
        <w:numPr>
          <w:ilvl w:val="0"/>
          <w:numId w:val="8"/>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未在规定时间内将原件递交到到采购代理机构办公地址或采购人指定地址进行核查的；</w:t>
      </w:r>
    </w:p>
    <w:p>
      <w:pPr>
        <w:widowControl w:val="0"/>
        <w:numPr>
          <w:ilvl w:val="0"/>
          <w:numId w:val="8"/>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在规定时间内递交的原件数量、内容与采购人、采购代理机构要求不一致的；</w:t>
      </w:r>
    </w:p>
    <w:p>
      <w:pPr>
        <w:widowControl w:val="0"/>
        <w:numPr>
          <w:ilvl w:val="0"/>
          <w:numId w:val="8"/>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因原件续期、更改等原因不能按时递交原件且未能在规定时间内提供相应部门开具的变更、续期等证明的；</w:t>
      </w:r>
    </w:p>
    <w:p>
      <w:pPr>
        <w:widowControl w:val="0"/>
        <w:numPr>
          <w:ilvl w:val="0"/>
          <w:numId w:val="8"/>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经查原件，投标文件内容有造假行为的。</w:t>
      </w:r>
    </w:p>
    <w:p>
      <w:pPr>
        <w:widowControl w:val="0"/>
        <w:numPr>
          <w:ilvl w:val="2"/>
          <w:numId w:val="4"/>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采购结果发布后，采购代理机构或采购人有权对递交了投标文件的未中标投标人进行原件核查。投标人应在采购代理机构或采购人发出纸质通知五个工作日内将原件递交到采购代理机构办公地址或采购人指定地址进行核查。</w:t>
      </w:r>
    </w:p>
    <w:p>
      <w:pPr>
        <w:widowControl w:val="0"/>
        <w:numPr>
          <w:ilvl w:val="2"/>
          <w:numId w:val="4"/>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投标人有下列情形之一的，投标文件作无效处理，其投标无效：</w:t>
      </w:r>
    </w:p>
    <w:p>
      <w:pPr>
        <w:widowControl w:val="0"/>
        <w:numPr>
          <w:ilvl w:val="0"/>
          <w:numId w:val="9"/>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拒绝采购人或采购代理机构原件核查要求的；</w:t>
      </w:r>
    </w:p>
    <w:p>
      <w:pPr>
        <w:widowControl w:val="0"/>
        <w:numPr>
          <w:ilvl w:val="0"/>
          <w:numId w:val="9"/>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未在规定时间内将原件递交到到采购代理机构办公地址或采购人指定地址进行核查的；</w:t>
      </w:r>
    </w:p>
    <w:p>
      <w:pPr>
        <w:widowControl w:val="0"/>
        <w:numPr>
          <w:ilvl w:val="0"/>
          <w:numId w:val="9"/>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在规定时间内递交的原件数量、内容不符合采购人、采购代理机构要求的；</w:t>
      </w:r>
    </w:p>
    <w:p>
      <w:pPr>
        <w:widowControl w:val="0"/>
        <w:numPr>
          <w:ilvl w:val="0"/>
          <w:numId w:val="9"/>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因原件续期、更改等原因不能按时递交原件且未能在规定时间内提供相应部门开具的变更、续期等证明的；</w:t>
      </w:r>
    </w:p>
    <w:p>
      <w:pPr>
        <w:widowControl w:val="0"/>
        <w:numPr>
          <w:ilvl w:val="0"/>
          <w:numId w:val="9"/>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经查原件，投标文件内容有造假行为的。</w:t>
      </w:r>
    </w:p>
    <w:p>
      <w:pPr>
        <w:widowControl w:val="0"/>
        <w:numPr>
          <w:ilvl w:val="2"/>
          <w:numId w:val="4"/>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若投标人出现虚假应标情况，投标文件作无效处理，其投标、中标无效。并根据相关法律上报相关监管部门。</w:t>
      </w:r>
    </w:p>
    <w:p>
      <w:pPr>
        <w:widowControl w:val="0"/>
        <w:numPr>
          <w:ilvl w:val="2"/>
          <w:numId w:val="4"/>
        </w:numPr>
        <w:tabs>
          <w:tab w:val="left" w:pos="567"/>
          <w:tab w:val="left" w:pos="907"/>
          <w:tab w:val="clear" w:pos="794"/>
        </w:tabs>
        <w:adjustRightInd/>
        <w:snapToGrid/>
        <w:spacing w:after="0" w:line="360" w:lineRule="exact"/>
        <w:jc w:val="both"/>
        <w:rPr>
          <w:color w:val="auto"/>
          <w:highlight w:val="none"/>
        </w:rPr>
      </w:pPr>
      <w:r>
        <w:rPr>
          <w:rFonts w:hint="eastAsia" w:ascii="宋体" w:hAnsi="宋体" w:eastAsia="宋体"/>
          <w:color w:val="auto"/>
          <w:sz w:val="21"/>
          <w:szCs w:val="21"/>
          <w:highlight w:val="none"/>
        </w:rPr>
        <w:t>属于建办市函[2016]462号通知内的证件可不提供原件，仅提供带二维码原件的复印件即可。</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74" w:name="_Toc22451"/>
      <w:r>
        <w:rPr>
          <w:rFonts w:hint="eastAsia" w:ascii="宋体" w:hAnsi="宋体" w:eastAsia="宋体"/>
          <w:color w:val="auto"/>
          <w:sz w:val="21"/>
          <w:szCs w:val="21"/>
          <w:highlight w:val="none"/>
        </w:rPr>
        <w:t>31.合同的签订与履行</w:t>
      </w:r>
      <w:bookmarkEnd w:id="74"/>
    </w:p>
    <w:p>
      <w:pPr>
        <w:pStyle w:val="31"/>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采购人应当自采购结果公示发出之日起30日内，按照招标文件和中标人投标文件的规定，与中标人签订书面合同。所签订的合同不得对招标文件确定的事项和中标人投标文件作实质性修改。</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采购人与中标人应当根据合同的约定依法履行合同义务。</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政府采购合同的履行、违约责任和解决争议的方法等适用《中华人民共和国</w:t>
      </w:r>
      <w:r>
        <w:rPr>
          <w:rFonts w:hint="eastAsia" w:ascii="宋体" w:hAnsi="宋体" w:eastAsia="宋体"/>
          <w:color w:val="auto"/>
          <w:sz w:val="21"/>
          <w:szCs w:val="21"/>
          <w:highlight w:val="none"/>
          <w:lang w:eastAsia="zh-CN"/>
        </w:rPr>
        <w:t>民法典</w:t>
      </w:r>
      <w:r>
        <w:rPr>
          <w:rFonts w:hint="eastAsia" w:ascii="宋体" w:hAnsi="宋体" w:eastAsia="宋体"/>
          <w:color w:val="auto"/>
          <w:sz w:val="21"/>
          <w:szCs w:val="21"/>
          <w:highlight w:val="none"/>
        </w:rPr>
        <w:t>》。</w:t>
      </w:r>
    </w:p>
    <w:p>
      <w:pPr>
        <w:widowControl w:val="0"/>
        <w:numPr>
          <w:ilvl w:val="1"/>
          <w:numId w:val="4"/>
        </w:numPr>
        <w:tabs>
          <w:tab w:val="left" w:pos="907"/>
        </w:tabs>
        <w:adjustRightInd/>
        <w:snapToGrid/>
        <w:spacing w:after="0" w:line="360" w:lineRule="exact"/>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合同签订之日起2个工作日内，中标人应将所签订的合同副本（加盖公章）交至</w:t>
      </w:r>
      <w:r>
        <w:rPr>
          <w:rFonts w:hint="eastAsia" w:ascii="宋体" w:hAnsi="宋体" w:eastAsia="宋体"/>
          <w:b/>
          <w:color w:val="auto"/>
          <w:sz w:val="21"/>
          <w:szCs w:val="21"/>
          <w:highlight w:val="none"/>
          <w:lang w:eastAsia="zh-CN"/>
        </w:rPr>
        <w:t>广东政通招标有限公司</w:t>
      </w:r>
      <w:r>
        <w:rPr>
          <w:rFonts w:hint="eastAsia" w:ascii="宋体" w:hAnsi="宋体" w:eastAsia="宋体"/>
          <w:b/>
          <w:color w:val="auto"/>
          <w:sz w:val="21"/>
          <w:szCs w:val="21"/>
          <w:highlight w:val="none"/>
        </w:rPr>
        <w:t>归档。</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投标人在评审结束当天至合同履行结束，若因不可抗力的因素（如国家出台新法律法规等）造成投标人资质的变动，投标人应以纸质版形式通知采购人。若资质变动导致中标投标人不再具备履行合同资质要求，采购人有权中止合同。</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中标人拒绝与采购人签订合同的，采购人可以按照评审报告推荐的中标候选人名单排序，确定下一候选人为中标人，也可以重新开展政府采购活动。</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75" w:name="_Toc2744"/>
      <w:bookmarkStart w:id="76" w:name="_Toc303084277"/>
      <w:bookmarkStart w:id="77" w:name="_Toc382049124"/>
      <w:bookmarkStart w:id="78" w:name="_Toc29009"/>
      <w:r>
        <w:rPr>
          <w:rFonts w:hint="eastAsia" w:ascii="宋体" w:hAnsi="宋体" w:eastAsia="宋体"/>
          <w:color w:val="auto"/>
          <w:sz w:val="21"/>
          <w:szCs w:val="21"/>
          <w:highlight w:val="none"/>
        </w:rPr>
        <w:t>32.</w:t>
      </w:r>
      <w:r>
        <w:rPr>
          <w:rFonts w:ascii="宋体" w:hAnsi="宋体" w:eastAsia="宋体"/>
          <w:color w:val="auto"/>
          <w:sz w:val="21"/>
          <w:szCs w:val="21"/>
          <w:highlight w:val="none"/>
        </w:rPr>
        <w:t>履约</w:t>
      </w:r>
      <w:r>
        <w:rPr>
          <w:rFonts w:hint="eastAsia" w:ascii="宋体" w:hAnsi="宋体" w:eastAsia="宋体"/>
          <w:color w:val="auto"/>
          <w:sz w:val="21"/>
          <w:szCs w:val="21"/>
          <w:highlight w:val="none"/>
        </w:rPr>
        <w:t>保证金</w:t>
      </w:r>
      <w:bookmarkEnd w:id="75"/>
      <w:bookmarkEnd w:id="76"/>
      <w:bookmarkEnd w:id="77"/>
      <w:bookmarkEnd w:id="78"/>
    </w:p>
    <w:p>
      <w:pPr>
        <w:pStyle w:val="31"/>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应在领取中标通知书之后签订合同之前递交履约保证金（履约保函的提交与履约保证金的提交时间一致）。给采购人造成的损失超过投标担保数额的，还应当由其对超过部分予以赔偿，并依法追究其责任。中标人应在汇入履约保证金时在汇款单备注中注明：中标项目名称及中标项目编号。</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采用保证金（银行转帐、电汇）方式：中标人必须保证资金在签订合同前到帐。履约保证金账户采购人另行通知，到期后无息退还。</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履约保函方式：履约担保。是指由担保机构为供应商交纳履约保证金向采购人或采购代理机构提供的保证担保。供应商未按政府采购合同履行约定义务的，由担保机构按照担保函约定履行支付履约保证金的责任。（投标担保格式详见附件《政府采购投标担保函》）</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中标人须将履约保证金的汇款凭证 (注明中标通知书或项目编号)或履约保函（采购人注明原件已收到并盖章）用A4纸复印一式四份并加盖中标人的公章送至采购代理机构。</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履约保证金退回：履约保证金在项目验收合格后，中标人向采购人提交退回履约保证金的申请、履约保证金汇款凭证复印件、采购合同、采购项目验收报告原件、中标通知书复印件，前往采购人办理履约保证金退还手续。</w:t>
      </w:r>
    </w:p>
    <w:p>
      <w:pPr>
        <w:rPr>
          <w:color w:val="auto"/>
          <w:highlight w:val="none"/>
        </w:rPr>
      </w:pPr>
    </w:p>
    <w:p>
      <w:pPr>
        <w:pStyle w:val="4"/>
        <w:numPr>
          <w:ilvl w:val="0"/>
          <w:numId w:val="3"/>
        </w:numPr>
        <w:spacing w:before="0" w:after="0" w:line="480" w:lineRule="auto"/>
        <w:jc w:val="center"/>
        <w:rPr>
          <w:rFonts w:ascii="宋体" w:hAnsi="宋体" w:eastAsia="宋体"/>
          <w:color w:val="auto"/>
          <w:highlight w:val="none"/>
        </w:rPr>
      </w:pPr>
      <w:bookmarkStart w:id="79" w:name="_Toc13694"/>
      <w:r>
        <w:rPr>
          <w:rFonts w:hint="eastAsia" w:ascii="宋体" w:hAnsi="宋体" w:eastAsia="宋体"/>
          <w:color w:val="auto"/>
          <w:highlight w:val="none"/>
        </w:rPr>
        <w:t>询问或质疑</w:t>
      </w:r>
      <w:bookmarkEnd w:id="79"/>
    </w:p>
    <w:p>
      <w:pPr>
        <w:pStyle w:val="5"/>
        <w:widowControl w:val="0"/>
        <w:overflowPunct w:val="0"/>
        <w:spacing w:before="0" w:after="0" w:line="240" w:lineRule="auto"/>
        <w:rPr>
          <w:rFonts w:ascii="宋体" w:hAnsi="宋体" w:eastAsia="宋体"/>
          <w:color w:val="auto"/>
          <w:sz w:val="21"/>
          <w:szCs w:val="21"/>
          <w:highlight w:val="none"/>
        </w:rPr>
      </w:pPr>
      <w:bookmarkStart w:id="80" w:name="_Toc25498"/>
      <w:r>
        <w:rPr>
          <w:rFonts w:hint="eastAsia" w:ascii="宋体" w:hAnsi="宋体" w:eastAsia="宋体"/>
          <w:color w:val="auto"/>
          <w:sz w:val="21"/>
          <w:szCs w:val="21"/>
          <w:highlight w:val="none"/>
        </w:rPr>
        <w:t>33.询问</w:t>
      </w:r>
      <w:bookmarkEnd w:id="80"/>
    </w:p>
    <w:p>
      <w:pPr>
        <w:pStyle w:val="31"/>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投标人对政府采购活动事项（招标文件、采购过程和采购结果）有疑问的，可以按规定向采购代理机构提出询问。</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81" w:name="_Toc8234"/>
      <w:r>
        <w:rPr>
          <w:rFonts w:hint="eastAsia" w:ascii="宋体" w:hAnsi="宋体" w:eastAsia="宋体"/>
          <w:color w:val="auto"/>
          <w:sz w:val="21"/>
          <w:szCs w:val="21"/>
          <w:highlight w:val="none"/>
        </w:rPr>
        <w:t>34.质疑</w:t>
      </w:r>
      <w:bookmarkEnd w:id="81"/>
    </w:p>
    <w:p>
      <w:pPr>
        <w:pStyle w:val="31"/>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提出质疑的投标人应当是参与所质疑项目采购活动的供应商或是在规定的时间内已依法获取其可质疑的招标文件的潜在供应商。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认为招标文件、采购过程、中标或者成交结果使自己的权益受到损害的，可以在知道或者应知其权益受到损害之日起7个工作日内，以书面形式向采购人、采购代理机构提出质疑。超过规定时间提交的质疑函不予受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投标人在法定质疑期内须一次性提出针对同一采购程序环节的质疑，对同一采购程序环节的二次质疑采购代理机构不予受理。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将招标文件所规定的纸质版形式（质疑须提交以下资料并加盖投标人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递交地点、联系人详见投标邀请书）。投标人以电话、传真或电邮形式提交的质疑属于无效质疑。</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授权委托书应当载明代理人的姓名或者名称、代理事项、具体权限、期限和相关事项。</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投标人提出质疑应当提交质疑函和必要的证明材料（须注明法律依据），因缺少相关证明材料或证明材料存在不真实而导致的后果由投标人自行承担。</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不涉及对投标人利益造成损害的相关内容，不能作为质疑内容提交。</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投诉人在全国范围12个月内三次以上投诉查无实据的，由财政部门列入不良行为记录名单。</w:t>
      </w:r>
    </w:p>
    <w:p>
      <w:pPr>
        <w:widowControl w:val="0"/>
        <w:numPr>
          <w:ilvl w:val="1"/>
          <w:numId w:val="4"/>
        </w:numPr>
        <w:tabs>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投诉人有下列行为之一的，属于虚假、恶意投诉，由财政部门列入不良行为记录名单，禁止其1至3年内参加全国范围内的政府采购活动：</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（一）捏造事实;</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（二）提供虚假材料;</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（三）以非法手段取得证明材料。证据来源的合法性存在明显疑问，投诉人无法证明其取得方式合法的，视为以非法手段取得证明材料。</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以联合体形式参加政府采购活动的，其质疑应当由组成联合体的所有投标人共同提出。</w:t>
      </w:r>
    </w:p>
    <w:p>
      <w:pPr>
        <w:rPr>
          <w:color w:val="auto"/>
          <w:highlight w:val="none"/>
        </w:rPr>
      </w:pPr>
    </w:p>
    <w:p>
      <w:pPr>
        <w:pStyle w:val="4"/>
        <w:numPr>
          <w:ilvl w:val="0"/>
          <w:numId w:val="3"/>
        </w:numPr>
        <w:spacing w:before="0" w:after="0" w:line="480" w:lineRule="auto"/>
        <w:jc w:val="center"/>
        <w:rPr>
          <w:rFonts w:ascii="宋体" w:hAnsi="宋体" w:eastAsia="宋体"/>
          <w:color w:val="auto"/>
          <w:highlight w:val="none"/>
        </w:rPr>
      </w:pPr>
      <w:bookmarkStart w:id="82" w:name="_Toc24383"/>
      <w:r>
        <w:rPr>
          <w:rFonts w:hint="eastAsia" w:ascii="宋体" w:hAnsi="宋体" w:eastAsia="宋体"/>
          <w:color w:val="auto"/>
          <w:highlight w:val="none"/>
        </w:rPr>
        <w:t>其他</w:t>
      </w:r>
      <w:bookmarkEnd w:id="82"/>
    </w:p>
    <w:p>
      <w:pPr>
        <w:pStyle w:val="5"/>
        <w:widowControl w:val="0"/>
        <w:overflowPunct w:val="0"/>
        <w:spacing w:before="0" w:after="0" w:line="240" w:lineRule="auto"/>
        <w:rPr>
          <w:rFonts w:ascii="宋体" w:hAnsi="宋体" w:eastAsia="宋体"/>
          <w:color w:val="auto"/>
          <w:sz w:val="21"/>
          <w:szCs w:val="21"/>
          <w:highlight w:val="none"/>
        </w:rPr>
      </w:pPr>
      <w:bookmarkStart w:id="83" w:name="_Toc10082"/>
      <w:r>
        <w:rPr>
          <w:rFonts w:hint="eastAsia" w:ascii="宋体" w:hAnsi="宋体" w:eastAsia="宋体"/>
          <w:color w:val="auto"/>
          <w:sz w:val="21"/>
          <w:szCs w:val="21"/>
          <w:highlight w:val="none"/>
        </w:rPr>
        <w:t>35.招标文件的解释权</w:t>
      </w:r>
      <w:bookmarkEnd w:id="83"/>
    </w:p>
    <w:p>
      <w:pPr>
        <w:pStyle w:val="31"/>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招标文件版本号：</w:t>
      </w:r>
      <w:r>
        <w:rPr>
          <w:rFonts w:hint="eastAsia" w:ascii="宋体" w:hAnsi="宋体" w:eastAsia="宋体"/>
          <w:color w:val="auto"/>
          <w:sz w:val="21"/>
          <w:szCs w:val="21"/>
          <w:highlight w:val="none"/>
          <w:lang w:val="en-US" w:eastAsia="zh-CN"/>
        </w:rPr>
        <w:t>广东政通</w:t>
      </w:r>
      <w:r>
        <w:rPr>
          <w:rFonts w:hint="eastAsia" w:ascii="宋体" w:hAnsi="宋体" w:eastAsia="宋体"/>
          <w:color w:val="auto"/>
          <w:sz w:val="21"/>
          <w:szCs w:val="21"/>
          <w:highlight w:val="none"/>
        </w:rPr>
        <w:t>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0</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01。</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本招标文件是根据国家有关法律、法规以及政府采购管理有关规定和参照国际惯例编制，解释权属本采购代理机构。</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3"/>
        <w:spacing w:before="0" w:after="0" w:line="240" w:lineRule="auto"/>
        <w:rPr>
          <w:color w:val="auto"/>
          <w:sz w:val="28"/>
          <w:szCs w:val="28"/>
          <w:highlight w:val="none"/>
        </w:rPr>
      </w:pPr>
      <w:bookmarkStart w:id="84" w:name="_Toc21448"/>
      <w:r>
        <w:rPr>
          <w:rFonts w:hint="eastAsia"/>
          <w:color w:val="auto"/>
          <w:sz w:val="28"/>
          <w:szCs w:val="28"/>
          <w:highlight w:val="none"/>
        </w:rPr>
        <w:t>第五部分 合同格式（仅供参考）</w:t>
      </w:r>
      <w:bookmarkEnd w:id="84"/>
      <w:bookmarkStart w:id="85" w:name="_Toc21155"/>
      <w:bookmarkStart w:id="86" w:name="_Toc13430"/>
      <w:bookmarkStart w:id="87" w:name="_Toc1534"/>
    </w:p>
    <w:p>
      <w:pPr>
        <w:pStyle w:val="4"/>
        <w:spacing w:before="0" w:after="0" w:line="240" w:lineRule="auto"/>
        <w:jc w:val="center"/>
        <w:rPr>
          <w:rFonts w:ascii="宋体" w:hAnsi="宋体" w:eastAsia="宋体" w:cs="宋体"/>
          <w:color w:val="auto"/>
          <w:highlight w:val="none"/>
        </w:rPr>
      </w:pPr>
      <w:bookmarkStart w:id="88" w:name="_Toc16730"/>
      <w:r>
        <w:rPr>
          <w:rFonts w:hint="eastAsia" w:ascii="宋体" w:hAnsi="宋体" w:eastAsia="宋体" w:cs="宋体"/>
          <w:color w:val="auto"/>
          <w:highlight w:val="none"/>
        </w:rPr>
        <w:t>合同格式</w:t>
      </w:r>
      <w:bookmarkEnd w:id="85"/>
      <w:bookmarkEnd w:id="86"/>
      <w:bookmarkEnd w:id="87"/>
      <w:bookmarkEnd w:id="88"/>
    </w:p>
    <w:p>
      <w:pPr>
        <w:spacing w:line="420" w:lineRule="atLeast"/>
        <w:ind w:right="560"/>
        <w:rPr>
          <w:rFonts w:ascii="宋体" w:hAnsi="宋体" w:eastAsia="宋体"/>
          <w:color w:val="auto"/>
          <w:sz w:val="21"/>
          <w:szCs w:val="21"/>
          <w:highlight w:val="none"/>
        </w:rPr>
      </w:pPr>
      <w:r>
        <w:rPr>
          <w:rFonts w:hint="eastAsia" w:ascii="宋体" w:hAnsi="宋体" w:eastAsia="宋体"/>
          <w:color w:val="auto"/>
          <w:sz w:val="21"/>
          <w:szCs w:val="21"/>
          <w:highlight w:val="none"/>
        </w:rPr>
        <w:t>合同编号：</w:t>
      </w:r>
    </w:p>
    <w:p>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甲方：</w:t>
      </w:r>
    </w:p>
    <w:p>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乙方：“ ”为中标单位</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受甲方委托，</w:t>
      </w:r>
      <w:r>
        <w:rPr>
          <w:rFonts w:hint="eastAsia" w:ascii="宋体" w:hAnsi="宋体" w:eastAsia="宋体"/>
          <w:color w:val="auto"/>
          <w:sz w:val="21"/>
          <w:szCs w:val="21"/>
          <w:highlight w:val="none"/>
          <w:u w:val="single"/>
        </w:rPr>
        <w:t xml:space="preserve">           (采购代理机构)</w:t>
      </w:r>
      <w:r>
        <w:rPr>
          <w:rFonts w:hint="eastAsia" w:ascii="宋体" w:hAnsi="宋体" w:eastAsia="宋体"/>
          <w:color w:val="auto"/>
          <w:sz w:val="21"/>
          <w:szCs w:val="21"/>
          <w:highlight w:val="none"/>
        </w:rPr>
        <w:t>组织对</w:t>
      </w:r>
      <w:r>
        <w:rPr>
          <w:rFonts w:hint="eastAsia" w:ascii="宋体" w:hAnsi="宋体" w:eastAsia="宋体"/>
          <w:color w:val="auto"/>
          <w:sz w:val="21"/>
          <w:szCs w:val="21"/>
          <w:highlight w:val="none"/>
          <w:u w:val="single"/>
        </w:rPr>
        <w:t xml:space="preserve">         （项目名称）</w:t>
      </w:r>
      <w:r>
        <w:rPr>
          <w:rFonts w:hint="eastAsia" w:ascii="宋体" w:hAnsi="宋体" w:eastAsia="宋体"/>
          <w:color w:val="auto"/>
          <w:sz w:val="21"/>
          <w:szCs w:val="21"/>
          <w:highlight w:val="none"/>
        </w:rPr>
        <w:t>采购项目（采购项目编号为）进行采购，于年月日通过公开招标，经评标委员会评定乙方为中标单位。为了保护甲、乙双方合法权益，根据《中华人民共和国政府采购法》及其实施条例、《中华人民共和国</w:t>
      </w:r>
      <w:r>
        <w:rPr>
          <w:rFonts w:hint="eastAsia" w:eastAsia="宋体"/>
          <w:color w:val="auto"/>
          <w:highlight w:val="none"/>
          <w:lang w:val="en-US" w:eastAsia="zh-CN"/>
        </w:rPr>
        <w:t>民法典</w:t>
      </w:r>
      <w:r>
        <w:rPr>
          <w:rFonts w:hint="eastAsia" w:ascii="宋体" w:hAnsi="宋体" w:eastAsia="宋体"/>
          <w:color w:val="auto"/>
          <w:sz w:val="21"/>
          <w:szCs w:val="21"/>
          <w:highlight w:val="none"/>
        </w:rPr>
        <w:t>》，在平等自愿的基础上，按照下面的条款和条件，签署本合同。</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第一条 合同项目</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1、项目名称：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2、采购项目编号：                   。</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第二条 合同组成</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1、合同文件组成内容包括：本合同书 、中标通知书、投标文件（含澄清内容）、招标文件（含招标文件澄清通知）等。</w:t>
      </w:r>
    </w:p>
    <w:p>
      <w:pPr>
        <w:spacing w:after="0" w:line="360" w:lineRule="auto"/>
        <w:ind w:firstLine="422" w:firstLineChars="200"/>
        <w:rPr>
          <w:rFonts w:ascii="宋体" w:hAnsi="宋体" w:eastAsia="宋体"/>
          <w:b/>
          <w:color w:val="auto"/>
          <w:sz w:val="21"/>
          <w:szCs w:val="21"/>
          <w:highlight w:val="none"/>
        </w:rPr>
      </w:pPr>
      <w:bookmarkStart w:id="89" w:name="_Toc86481558"/>
      <w:r>
        <w:rPr>
          <w:rFonts w:hint="eastAsia" w:ascii="宋体" w:hAnsi="宋体" w:eastAsia="宋体"/>
          <w:b/>
          <w:color w:val="auto"/>
          <w:sz w:val="21"/>
          <w:szCs w:val="21"/>
          <w:highlight w:val="none"/>
        </w:rPr>
        <w:t>第三条 服务内容、标准及要求</w:t>
      </w:r>
    </w:p>
    <w:p>
      <w:pPr>
        <w:spacing w:after="0" w:line="360" w:lineRule="auto"/>
        <w:rPr>
          <w:rFonts w:ascii="宋体" w:hAnsi="宋体" w:eastAsia="宋体" w:cs="仿宋"/>
          <w:color w:val="auto"/>
          <w:sz w:val="21"/>
          <w:szCs w:val="21"/>
          <w:highlight w:val="none"/>
          <w:u w:val="single"/>
          <w:shd w:val="clear" w:color="auto" w:fill="FFFFFF"/>
        </w:rPr>
      </w:pPr>
      <w:r>
        <w:rPr>
          <w:rFonts w:hint="eastAsia" w:ascii="宋体" w:hAnsi="宋体" w:eastAsia="宋体" w:cs="仿宋"/>
          <w:color w:val="auto"/>
          <w:sz w:val="21"/>
          <w:szCs w:val="21"/>
          <w:highlight w:val="none"/>
          <w:shd w:val="clear" w:color="auto" w:fill="FFFFFF"/>
        </w:rPr>
        <w:t>1、采购内容：</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2、采购标准：</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3、采购要求：</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4、具体采购内容采购标准及要求以招标文件用户需求书及乙方投标文件承诺条款及方案为准。</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第四条 价格</w:t>
      </w:r>
    </w:p>
    <w:p>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1、合同总价包含：人工费、材料费、设备使用费、各种税费、保险费及合同实施过程中的不可预见费用等全部费用，按本次招标范围及中标价一次包干，结算时不作调整。</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2、合同总价：（人民币）大写 （¥）</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3、本合同价为固定不变价。</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第五条 服务期限及地点</w:t>
      </w:r>
    </w:p>
    <w:p>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1、服务期：  年，合同生效之日自       年  月  日至     年  月  日止。</w:t>
      </w:r>
    </w:p>
    <w:p>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2、服务地点：              或甲方指定地点。</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第六条 付款方式</w:t>
      </w:r>
    </w:p>
    <w:p>
      <w:pPr>
        <w:pStyle w:val="19"/>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1、本合同的付款方式为：。</w:t>
      </w:r>
    </w:p>
    <w:p>
      <w:pPr>
        <w:pStyle w:val="19"/>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第七条 验收方式</w:t>
      </w:r>
    </w:p>
    <w:p>
      <w:pPr>
        <w:pStyle w:val="19"/>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1、验收应在甲乙双方共同参加下进行，依据招标文件及本合同的有关规定制定的方案进行验收，并按国家有关规定、规范进行。</w:t>
      </w:r>
    </w:p>
    <w:p>
      <w:pPr>
        <w:pStyle w:val="19"/>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2、甲方组织项目验收小组按国家有关规定、规范进行验收，必要时邀请相关专业人员或机构参与验收。</w:t>
      </w:r>
    </w:p>
    <w:p>
      <w:pPr>
        <w:pStyle w:val="19"/>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3、对验收不合格的部分，乙方应在甲方规定时间内及时整改完善直至合格。</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第八条 税和关税</w:t>
      </w:r>
    </w:p>
    <w:p>
      <w:pPr>
        <w:pStyle w:val="19"/>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1、中国政府根据现行税法对甲方征收的与本合同有关的一切税费均应由甲方承担。</w:t>
      </w:r>
    </w:p>
    <w:p>
      <w:pPr>
        <w:pStyle w:val="19"/>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2、中国政府根据现行税法规定对乙方或其雇员征收的与本合同有关的一切税费应由乙方承担。</w:t>
      </w:r>
    </w:p>
    <w:p>
      <w:pPr>
        <w:pStyle w:val="19"/>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3、在中国境外发生的与本合同执行有关的一切税费均应由乙方承担。</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第九条 其它约定</w:t>
      </w:r>
    </w:p>
    <w:p>
      <w:pPr>
        <w:spacing w:after="0"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1</w:t>
      </w:r>
      <w:r>
        <w:rPr>
          <w:rFonts w:hint="eastAsia" w:ascii="宋体" w:hAnsi="宋体" w:eastAsia="宋体"/>
          <w:color w:val="auto"/>
          <w:sz w:val="21"/>
          <w:szCs w:val="21"/>
          <w:highlight w:val="none"/>
        </w:rPr>
        <w:t>、严禁转包，未经甲方书面同意不得分包。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2、乙方全部工作人员，须符合东莞市政府用工标准要求。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3、乙方服务人员进行服务期间的过失或故意行为，造成甲方经济损失的，由乙方负责赔偿。</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4、服务人员的劳动关系隶属乙方，乙方负责服务人员的工资、节假日和超时加班补助费、社会保险、住宿、伙食等。</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5、乙方负责本项目服务人员购买因意外身故或伤残和因意外事故住院治疗保险，并负责办理一切保险赔偿手续。</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第十条 违约责任</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1、合同双方任何一方不履行合同条款或不按合同约定履行条款的其它情况，均属违约，由违约方承担违约责任，赔偿因其违约造成的损失，并支付合同价款总额%的违约金。</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2、由于乙方的原因，导致双方签订的合同终止，乙方因此而遭受的损失，将由乙方独立承担，甲方对此不负任何责任，也不作任何赔偿。</w:t>
      </w:r>
    </w:p>
    <w:bookmarkEnd w:id="89"/>
    <w:p>
      <w:pPr>
        <w:spacing w:after="0" w:line="360" w:lineRule="auto"/>
        <w:ind w:firstLine="422" w:firstLineChars="200"/>
        <w:rPr>
          <w:rFonts w:ascii="宋体" w:hAnsi="宋体" w:eastAsia="宋体"/>
          <w:b/>
          <w:color w:val="auto"/>
          <w:sz w:val="21"/>
          <w:szCs w:val="21"/>
          <w:highlight w:val="none"/>
        </w:rPr>
      </w:pPr>
      <w:bookmarkStart w:id="90" w:name="_Toc86481570"/>
      <w:r>
        <w:rPr>
          <w:rFonts w:hint="eastAsia" w:ascii="宋体" w:hAnsi="宋体" w:eastAsia="宋体"/>
          <w:b/>
          <w:color w:val="auto"/>
          <w:sz w:val="21"/>
          <w:szCs w:val="21"/>
          <w:highlight w:val="none"/>
        </w:rPr>
        <w:t>第十一条 争议的解决</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1、凡与本合同有关而引起的一切争议，甲乙双方应首先通过友好协商解决，如经协商后仍不能达成协议时，任何一方可以向法院提出诉讼。</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2、本合同发生的诉讼管辖地为东莞市有管辖权的法院。</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3、在进行法院审理期间，除提交法院审理的事项外，合同其他部分仍继续履行。</w:t>
      </w:r>
    </w:p>
    <w:p>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宋体"/>
          <w:color w:val="auto"/>
          <w:sz w:val="21"/>
          <w:szCs w:val="21"/>
          <w:highlight w:val="none"/>
        </w:rPr>
        <w:t>4、本合同按照中华人民共和国的法律进行解释</w:t>
      </w:r>
      <w:r>
        <w:rPr>
          <w:rFonts w:hint="eastAsia" w:ascii="宋体" w:hAnsi="宋体" w:eastAsia="宋体" w:cs="仿宋"/>
          <w:color w:val="auto"/>
          <w:sz w:val="21"/>
          <w:szCs w:val="21"/>
          <w:highlight w:val="none"/>
          <w:shd w:val="clear" w:color="auto" w:fill="FFFFFF"/>
        </w:rPr>
        <w:t>。</w:t>
      </w:r>
    </w:p>
    <w:p>
      <w:pPr>
        <w:spacing w:after="0" w:line="360" w:lineRule="auto"/>
        <w:ind w:firstLine="422" w:firstLineChars="200"/>
        <w:rPr>
          <w:rFonts w:ascii="宋体" w:hAnsi="宋体" w:eastAsia="宋体"/>
          <w:b/>
          <w:color w:val="auto"/>
          <w:sz w:val="21"/>
          <w:szCs w:val="21"/>
          <w:highlight w:val="none"/>
        </w:rPr>
      </w:pPr>
      <w:bookmarkStart w:id="91" w:name="_Toc86481569"/>
      <w:r>
        <w:rPr>
          <w:rFonts w:hint="eastAsia" w:ascii="宋体" w:hAnsi="宋体" w:eastAsia="宋体"/>
          <w:b/>
          <w:color w:val="auto"/>
          <w:sz w:val="21"/>
          <w:szCs w:val="21"/>
          <w:highlight w:val="none"/>
        </w:rPr>
        <w:t>第十二条 合同生效</w:t>
      </w:r>
      <w:bookmarkEnd w:id="91"/>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1、本合同由双方法定代表人或委托代理人签字盖章后立即生效，具有同等法律效力，合同有效期随服务期结束而自然终止。</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2、本合同一式    份，其中甲方    份、乙方    份，采购代理机构 壹 份（须在合同签订之日起7个工作日内递交）。</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第十三条 其它</w:t>
      </w:r>
      <w:bookmarkEnd w:id="90"/>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1、本合同未尽事宜，双方可签订补充合同，补充合同与所有附件均为合同的有效组成部分，与本合同具有同等法律效力。</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2、在执行本合同的过程中，所有经甲乙双方签署确认的文件（包括会议纪要、补充协议、往来信函、合同附件等）即成为本合同的有效组成部分，其生效日期为双方签字盖章或确认之日期。</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本合同合计   页A4纸张，缺页之合同为无效合同。</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甲方（盖章）：                      乙方（盖章）：</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法定代表(签字)：                   法定代表(签字)：</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地址：                             地址：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                             电话：</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传真：</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传真：</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开户银行：</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 xml:space="preserve">                     开户银行：</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账号：                             账号：</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签约时间：</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签约地点：</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t>此仅为合同书样本，中标人需根据实际情况和甲方签订相应的合同！</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br w:type="page"/>
      </w:r>
    </w:p>
    <w:p>
      <w:pPr>
        <w:pStyle w:val="3"/>
        <w:spacing w:before="0" w:after="0" w:line="240" w:lineRule="auto"/>
        <w:rPr>
          <w:color w:val="auto"/>
          <w:sz w:val="28"/>
          <w:szCs w:val="28"/>
          <w:highlight w:val="none"/>
        </w:rPr>
      </w:pPr>
      <w:bookmarkStart w:id="92" w:name="_Toc23749"/>
      <w:r>
        <w:rPr>
          <w:rFonts w:hint="eastAsia"/>
          <w:color w:val="auto"/>
          <w:sz w:val="28"/>
          <w:szCs w:val="28"/>
          <w:highlight w:val="none"/>
        </w:rPr>
        <w:t>第六部分  附件－投标文件格式</w:t>
      </w:r>
      <w:bookmarkEnd w:id="92"/>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93" w:name="_Toc26830"/>
      <w:r>
        <w:rPr>
          <w:rFonts w:hint="eastAsia" w:ascii="宋体" w:hAnsi="宋体" w:eastAsia="宋体"/>
          <w:color w:val="auto"/>
          <w:sz w:val="21"/>
          <w:szCs w:val="21"/>
          <w:highlight w:val="none"/>
        </w:rPr>
        <w:t>附件1.投标文件目录</w:t>
      </w:r>
      <w:bookmarkEnd w:id="93"/>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目录</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格式自理。</w:t>
      </w: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1、投标人制作的投标文件应当具备目录。</w:t>
      </w:r>
      <w:r>
        <w:rPr>
          <w:rFonts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94" w:name="_Toc18893"/>
      <w:r>
        <w:rPr>
          <w:rFonts w:hint="eastAsia" w:ascii="宋体" w:hAnsi="宋体" w:eastAsia="宋体"/>
          <w:color w:val="auto"/>
          <w:sz w:val="21"/>
          <w:szCs w:val="21"/>
          <w:highlight w:val="none"/>
        </w:rPr>
        <w:t>附件1-1 评分标准索引表</w:t>
      </w:r>
      <w:bookmarkEnd w:id="94"/>
    </w:p>
    <w:p>
      <w:pPr>
        <w:adjustRightInd/>
        <w:snapToGrid/>
        <w:spacing w:line="276" w:lineRule="auto"/>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评分标准索引表</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评审项目</w:t>
            </w:r>
          </w:p>
        </w:tc>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评分细则</w:t>
            </w:r>
          </w:p>
        </w:tc>
        <w:tc>
          <w:tcPr>
            <w:tcW w:w="1705"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分值</w:t>
            </w:r>
          </w:p>
        </w:tc>
        <w:tc>
          <w:tcPr>
            <w:tcW w:w="1705"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color w:val="auto"/>
                <w:highlight w:val="none"/>
              </w:rPr>
            </w:pPr>
            <w:r>
              <w:rPr>
                <w:rFonts w:hint="eastAsia" w:ascii="宋体" w:hAnsi="宋体" w:eastAsia="宋体" w:cs="宋体"/>
                <w:color w:val="auto"/>
                <w:highlight w:val="none"/>
              </w:rPr>
              <w:t>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color w:val="auto"/>
                <w:highlight w:val="none"/>
              </w:rPr>
            </w:pPr>
            <w:r>
              <w:rPr>
                <w:rFonts w:hint="eastAsia" w:ascii="宋体" w:hAnsi="宋体" w:eastAsia="宋体" w:cs="宋体"/>
                <w:color w:val="auto"/>
                <w:highlight w:val="none"/>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numPr>
          <w:ilvl w:val="0"/>
          <w:numId w:val="10"/>
        </w:numPr>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该表格为参考格式，投标人可按实际情况自行制订评分标准索引表。</w:t>
      </w:r>
    </w:p>
    <w:p>
      <w:pPr>
        <w:pStyle w:val="9"/>
        <w:spacing w:before="0"/>
        <w:ind w:left="0"/>
        <w:rPr>
          <w:color w:val="auto"/>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95" w:name="_Toc30640"/>
      <w:r>
        <w:rPr>
          <w:rFonts w:hint="eastAsia" w:ascii="宋体" w:hAnsi="宋体" w:eastAsia="宋体"/>
          <w:color w:val="auto"/>
          <w:sz w:val="21"/>
          <w:szCs w:val="21"/>
          <w:highlight w:val="none"/>
        </w:rPr>
        <w:t>附件2.投标书格式</w:t>
      </w:r>
      <w:bookmarkEnd w:id="95"/>
    </w:p>
    <w:p>
      <w:pPr>
        <w:jc w:val="center"/>
        <w:rPr>
          <w:rFonts w:ascii="宋体" w:hAnsi="宋体" w:eastAsia="宋体"/>
          <w:color w:val="auto"/>
          <w:sz w:val="21"/>
          <w:szCs w:val="21"/>
          <w:highlight w:val="none"/>
        </w:rPr>
      </w:pPr>
      <w:r>
        <w:rPr>
          <w:rFonts w:hint="eastAsia" w:ascii="黑体" w:eastAsia="黑体"/>
          <w:color w:val="auto"/>
          <w:sz w:val="32"/>
          <w:szCs w:val="32"/>
          <w:highlight w:val="none"/>
        </w:rPr>
        <w:t>投标书</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color w:val="auto"/>
          <w:sz w:val="21"/>
          <w:szCs w:val="21"/>
          <w:highlight w:val="none"/>
          <w:lang w:eastAsia="zh-CN"/>
        </w:rPr>
        <w:t>广东政通招标有限公司</w:t>
      </w:r>
      <w:r>
        <w:rPr>
          <w:rFonts w:hint="eastAsia" w:ascii="宋体" w:hAnsi="宋体" w:eastAsia="宋体"/>
          <w:color w:val="auto"/>
          <w:sz w:val="21"/>
          <w:szCs w:val="21"/>
          <w:highlight w:val="none"/>
        </w:rPr>
        <w:t>：</w:t>
      </w:r>
    </w:p>
    <w:p>
      <w:pPr>
        <w:spacing w:after="0" w:line="360" w:lineRule="auto"/>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根据贵方为</w:t>
      </w:r>
      <w:r>
        <w:rPr>
          <w:rFonts w:hint="eastAsia" w:ascii="宋体" w:hAnsi="宋体" w:eastAsia="宋体"/>
          <w:color w:val="auto"/>
          <w:sz w:val="21"/>
          <w:szCs w:val="21"/>
          <w:highlight w:val="none"/>
          <w:u w:val="single"/>
        </w:rPr>
        <w:t>（项目名称）（采购项目编号）</w:t>
      </w:r>
      <w:r>
        <w:rPr>
          <w:rFonts w:hint="eastAsia" w:ascii="宋体" w:hAnsi="宋体" w:eastAsia="宋体"/>
          <w:color w:val="auto"/>
          <w:sz w:val="21"/>
          <w:szCs w:val="21"/>
          <w:highlight w:val="none"/>
        </w:rPr>
        <w:t>项目招标公告/招标邀请，签字代表</w:t>
      </w:r>
      <w:r>
        <w:rPr>
          <w:rFonts w:hint="eastAsia" w:ascii="宋体" w:hAnsi="宋体" w:eastAsia="宋体"/>
          <w:color w:val="auto"/>
          <w:sz w:val="21"/>
          <w:szCs w:val="21"/>
          <w:highlight w:val="none"/>
          <w:u w:val="single"/>
        </w:rPr>
        <w:t>（姓名、职务）</w:t>
      </w:r>
      <w:r>
        <w:rPr>
          <w:rFonts w:hint="eastAsia" w:ascii="宋体" w:hAnsi="宋体" w:eastAsia="宋体"/>
          <w:color w:val="auto"/>
          <w:sz w:val="21"/>
          <w:szCs w:val="21"/>
          <w:highlight w:val="none"/>
        </w:rPr>
        <w:t>经正式授权并代表投标人</w:t>
      </w:r>
      <w:r>
        <w:rPr>
          <w:rFonts w:hint="eastAsia" w:ascii="宋体" w:hAnsi="宋体" w:eastAsia="宋体"/>
          <w:color w:val="auto"/>
          <w:sz w:val="21"/>
          <w:szCs w:val="21"/>
          <w:highlight w:val="none"/>
          <w:u w:val="single"/>
        </w:rPr>
        <w:t>（投标人名称、地址）</w:t>
      </w:r>
      <w:r>
        <w:rPr>
          <w:rFonts w:hint="eastAsia" w:ascii="宋体" w:hAnsi="宋体" w:eastAsia="宋体"/>
          <w:color w:val="auto"/>
          <w:sz w:val="21"/>
          <w:szCs w:val="21"/>
          <w:highlight w:val="none"/>
        </w:rPr>
        <w:t>提交投标文件及“开标文件”：</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在此，签字代表宣布同意如下： </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我方将按招标文件的规定履行合同责任和义务。 </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我方已完整阅读了本项目招标文件的所有内容（包括澄清，以及所有已提供的参考资料和有关附件），并完全理解上述文件所表达的意思，该项目递交投标文件时间截止后，我方承诺不再对上述文件内容进行询问或质疑。</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本投标有效期为自开标日起</w:t>
      </w:r>
      <w:r>
        <w:rPr>
          <w:rFonts w:hint="eastAsia" w:ascii="宋体" w:hAnsi="宋体" w:eastAsia="宋体"/>
          <w:color w:val="auto"/>
          <w:sz w:val="21"/>
          <w:szCs w:val="21"/>
          <w:highlight w:val="none"/>
          <w:u w:val="single"/>
        </w:rPr>
        <w:t>90</w:t>
      </w:r>
      <w:r>
        <w:rPr>
          <w:rFonts w:hint="eastAsia" w:ascii="宋体" w:hAnsi="宋体" w:eastAsia="宋体"/>
          <w:color w:val="auto"/>
          <w:sz w:val="21"/>
          <w:szCs w:val="21"/>
          <w:highlight w:val="none"/>
        </w:rPr>
        <w:t xml:space="preserve">个日历日。 </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我方保证遵守投标人须知中关于没收投标保证金的规定。</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我方承诺，与买方聘请的为此项目提供咨询服务的公司及任何附属机构均无关联，我方不是买方的附属机构。 </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承诺，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我方同意提供按照贵方可能要求的与其投标有关的一切数据或资料。</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与本投标有关的一切正式信函请寄：</w:t>
      </w:r>
    </w:p>
    <w:p>
      <w:pPr>
        <w:spacing w:after="0" w:line="360" w:lineRule="auto"/>
        <w:rPr>
          <w:rFonts w:ascii="宋体" w:hAnsi="宋体" w:eastAsia="宋体"/>
          <w:color w:val="auto"/>
          <w:sz w:val="21"/>
          <w:szCs w:val="21"/>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地址：　　　　　　　　　　　　　　　　　　　传真：</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电话/移动电话：　　　　　　　　　　　　　　　电子函件：</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投标人代表签字：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投标人名称（全称）：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投标人盖章：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投标人开户银行（全称）：</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投标人银行帐号：</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pStyle w:val="5"/>
        <w:widowControl w:val="0"/>
        <w:overflowPunct w:val="0"/>
        <w:spacing w:before="0" w:after="0" w:line="240" w:lineRule="auto"/>
        <w:rPr>
          <w:rFonts w:ascii="宋体" w:hAnsi="宋体" w:eastAsia="宋体"/>
          <w:color w:val="auto"/>
          <w:sz w:val="21"/>
          <w:szCs w:val="21"/>
          <w:highlight w:val="none"/>
        </w:rPr>
      </w:pPr>
      <w:bookmarkStart w:id="96" w:name="_Toc6866"/>
      <w:r>
        <w:rPr>
          <w:rFonts w:hint="eastAsia" w:ascii="宋体" w:hAnsi="宋体" w:eastAsia="宋体"/>
          <w:color w:val="auto"/>
          <w:sz w:val="21"/>
          <w:szCs w:val="21"/>
          <w:highlight w:val="none"/>
        </w:rPr>
        <w:t>附件3.开标一览表格式</w:t>
      </w:r>
      <w:bookmarkEnd w:id="96"/>
    </w:p>
    <w:p>
      <w:pPr>
        <w:jc w:val="center"/>
        <w:rPr>
          <w:rFonts w:ascii="黑体" w:eastAsia="黑体"/>
          <w:color w:val="auto"/>
          <w:sz w:val="32"/>
          <w:szCs w:val="32"/>
          <w:highlight w:val="none"/>
        </w:rPr>
      </w:pPr>
      <w:r>
        <w:rPr>
          <w:rFonts w:hint="eastAsia" w:ascii="黑体" w:eastAsia="黑体"/>
          <w:color w:val="auto"/>
          <w:sz w:val="32"/>
          <w:szCs w:val="32"/>
          <w:highlight w:val="none"/>
        </w:rPr>
        <w:t>开标一览表</w:t>
      </w:r>
    </w:p>
    <w:p>
      <w:pPr>
        <w:spacing w:line="360" w:lineRule="auto"/>
        <w:rPr>
          <w:color w:val="auto"/>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投标人名称：</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p>
    <w:tbl>
      <w:tblPr>
        <w:tblStyle w:val="21"/>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3085"/>
        <w:gridCol w:w="3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714"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投标总价</w:t>
            </w:r>
          </w:p>
        </w:tc>
        <w:tc>
          <w:tcPr>
            <w:tcW w:w="3262"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restart"/>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小写：</w:t>
            </w:r>
          </w:p>
        </w:tc>
        <w:tc>
          <w:tcPr>
            <w:tcW w:w="3262" w:type="dxa"/>
            <w:vMerge w:val="restart"/>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continue"/>
          </w:tcPr>
          <w:p>
            <w:pPr>
              <w:tabs>
                <w:tab w:val="left" w:pos="654"/>
                <w:tab w:val="left" w:pos="1734"/>
                <w:tab w:val="left" w:pos="2814"/>
                <w:tab w:val="left" w:pos="3894"/>
                <w:tab w:val="left" w:pos="5334"/>
                <w:tab w:val="left" w:pos="6414"/>
                <w:tab w:val="left" w:pos="7254"/>
                <w:tab w:val="left" w:pos="8574"/>
                <w:tab w:val="left" w:pos="9654"/>
              </w:tabs>
              <w:spacing w:after="0"/>
              <w:jc w:val="both"/>
              <w:rPr>
                <w:color w:val="auto"/>
                <w:highlight w:val="none"/>
              </w:rPr>
            </w:pP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大写：</w:t>
            </w:r>
          </w:p>
        </w:tc>
        <w:tc>
          <w:tcPr>
            <w:tcW w:w="3262" w:type="dxa"/>
            <w:vMerge w:val="continue"/>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p>
        </w:tc>
      </w:tr>
    </w:tbl>
    <w:p>
      <w:pPr>
        <w:spacing w:after="0" w:line="360" w:lineRule="auto"/>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spacing w:after="0" w:line="360" w:lineRule="auto"/>
        <w:ind w:firstLine="359" w:firstLineChars="171"/>
        <w:rPr>
          <w:rFonts w:ascii="宋体" w:hAnsi="宋体" w:eastAsia="宋体"/>
          <w:color w:val="auto"/>
          <w:sz w:val="21"/>
          <w:szCs w:val="21"/>
          <w:highlight w:val="none"/>
        </w:rPr>
      </w:pPr>
    </w:p>
    <w:p>
      <w:pPr>
        <w:spacing w:after="0" w:line="360" w:lineRule="auto"/>
        <w:ind w:left="391" w:hanging="390" w:hangingChars="186"/>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注：1、投标总价栏须</w:t>
      </w:r>
      <w:r>
        <w:rPr>
          <w:rFonts w:ascii="宋体" w:hAnsi="宋体" w:eastAsia="宋体"/>
          <w:color w:val="auto"/>
          <w:sz w:val="21"/>
          <w:szCs w:val="21"/>
          <w:highlight w:val="none"/>
        </w:rPr>
        <w:t>用</w:t>
      </w:r>
      <w:r>
        <w:rPr>
          <w:rFonts w:hint="eastAsia" w:ascii="宋体" w:hAnsi="宋体" w:eastAsia="宋体"/>
          <w:color w:val="auto"/>
          <w:sz w:val="21"/>
          <w:szCs w:val="21"/>
          <w:highlight w:val="none"/>
        </w:rPr>
        <w:t>大写金额和小写金额两种方式</w:t>
      </w:r>
      <w:r>
        <w:rPr>
          <w:rFonts w:ascii="宋体" w:hAnsi="宋体" w:eastAsia="宋体"/>
          <w:color w:val="auto"/>
          <w:sz w:val="21"/>
          <w:szCs w:val="21"/>
          <w:highlight w:val="none"/>
        </w:rPr>
        <w:t>表示的投标总价</w:t>
      </w:r>
      <w:r>
        <w:rPr>
          <w:rFonts w:hint="eastAsia" w:ascii="宋体" w:hAnsi="宋体" w:eastAsia="宋体"/>
          <w:color w:val="auto"/>
          <w:sz w:val="21"/>
          <w:szCs w:val="21"/>
          <w:highlight w:val="none"/>
        </w:rPr>
        <w:t>，报价保留小数点后两位。投标总价大小写不一致，以大写为准。投标总价必须准确唯一且应包含招标文件要求的所有费用。</w:t>
      </w:r>
    </w:p>
    <w:p>
      <w:pPr>
        <w:spacing w:after="0" w:line="360" w:lineRule="auto"/>
        <w:ind w:left="357"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2、此表应按投标人须知的规定密封标记并与《授权委托书》、《投标保证金汇入情况说明》同密封单独提交。</w:t>
      </w:r>
    </w:p>
    <w:p>
      <w:pPr>
        <w:spacing w:after="0" w:line="360" w:lineRule="auto"/>
        <w:ind w:left="357"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3、未按招标文件要求报价、填写开标一览表是导致投标人废标的常见问题，请投标人仔细填写，认真核对。</w:t>
      </w: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97" w:name="_Toc3254"/>
      <w:r>
        <w:rPr>
          <w:rFonts w:hint="eastAsia" w:ascii="宋体" w:hAnsi="宋体" w:eastAsia="宋体"/>
          <w:color w:val="auto"/>
          <w:sz w:val="21"/>
          <w:szCs w:val="21"/>
          <w:highlight w:val="none"/>
        </w:rPr>
        <w:t xml:space="preserve">附件4. </w:t>
      </w:r>
      <w:r>
        <w:rPr>
          <w:rFonts w:hint="eastAsia" w:ascii="宋体" w:hAnsi="宋体" w:eastAsia="宋体" w:cs="Times New Roman"/>
          <w:color w:val="auto"/>
          <w:sz w:val="21"/>
          <w:szCs w:val="21"/>
          <w:highlight w:val="none"/>
        </w:rPr>
        <w:t>投标分项报价表格式</w:t>
      </w:r>
      <w:bookmarkEnd w:id="97"/>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货物（服务）分项报价表</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7"/>
        <w:gridCol w:w="1917"/>
        <w:gridCol w:w="1050"/>
        <w:gridCol w:w="1100"/>
        <w:gridCol w:w="118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37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货物（服务）名称</w:t>
            </w: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规格型号（服务内容）</w:t>
            </w: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数量</w:t>
            </w: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单价</w:t>
            </w: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服务要求</w:t>
            </w: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261" w:type="dxa"/>
            <w:gridSpan w:val="5"/>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总价</w:t>
            </w:r>
          </w:p>
        </w:tc>
        <w:tc>
          <w:tcPr>
            <w:tcW w:w="2261" w:type="dxa"/>
            <w:gridSpan w:val="2"/>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522" w:type="dxa"/>
            <w:gridSpan w:val="7"/>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tc>
      </w:tr>
    </w:tbl>
    <w:p>
      <w:pPr>
        <w:rPr>
          <w:rFonts w:ascii="宋体" w:hAnsi="宋体" w:eastAsia="宋体" w:cs="宋体"/>
          <w:b/>
          <w:color w:val="auto"/>
          <w:sz w:val="21"/>
          <w:szCs w:val="21"/>
          <w:highlight w:val="none"/>
        </w:rPr>
      </w:pPr>
    </w:p>
    <w:p>
      <w:pP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小型和微型企业（货物、承担的工程或者服务）列价表</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587"/>
        <w:gridCol w:w="1575"/>
        <w:gridCol w:w="1180"/>
        <w:gridCol w:w="778"/>
        <w:gridCol w:w="777"/>
        <w:gridCol w:w="778"/>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8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575" w:type="dxa"/>
            <w:vAlign w:val="center"/>
          </w:tcPr>
          <w:p>
            <w:pPr>
              <w:spacing w:after="0"/>
              <w:ind w:hanging="148"/>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品牌及原产地</w:t>
            </w:r>
          </w:p>
        </w:tc>
        <w:tc>
          <w:tcPr>
            <w:tcW w:w="118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778"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7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778"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972"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462" w:type="dxa"/>
            <w:gridSpan w:val="2"/>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060" w:type="dxa"/>
            <w:gridSpan w:val="6"/>
            <w:vAlign w:val="center"/>
          </w:tcPr>
          <w:p>
            <w:pPr>
              <w:spacing w:after="0"/>
              <w:rPr>
                <w:rFonts w:ascii="宋体" w:hAnsi="宋体" w:eastAsia="宋体" w:cs="宋体"/>
                <w:color w:val="auto"/>
                <w:sz w:val="21"/>
                <w:szCs w:val="21"/>
                <w:highlight w:val="none"/>
              </w:rPr>
            </w:pPr>
            <w:r>
              <w:rPr>
                <w:rStyle w:val="41"/>
                <w:rFonts w:hint="eastAsia" w:ascii="宋体" w:hAnsi="宋体" w:eastAsia="宋体" w:cs="宋体"/>
                <w:color w:val="auto"/>
                <w:sz w:val="21"/>
                <w:szCs w:val="21"/>
                <w:highlight w:val="none"/>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spacing w:after="0"/>
              <w:rPr>
                <w:rStyle w:val="41"/>
                <w:rFonts w:ascii="宋体" w:hAnsi="宋体" w:eastAsia="宋体" w:cs="宋体"/>
                <w:b/>
                <w:color w:val="auto"/>
                <w:sz w:val="21"/>
                <w:szCs w:val="21"/>
                <w:highlight w:val="none"/>
              </w:rPr>
            </w:pPr>
            <w:r>
              <w:rPr>
                <w:rStyle w:val="41"/>
                <w:rFonts w:hint="eastAsia" w:ascii="宋体" w:hAnsi="宋体" w:eastAsia="宋体" w:cs="宋体"/>
                <w:b/>
                <w:color w:val="auto"/>
                <w:sz w:val="21"/>
                <w:szCs w:val="21"/>
                <w:highlight w:val="none"/>
              </w:rPr>
              <w:t>注：1、投标人在“货物（服务）分项报价表”中的报价内容中，如有属于</w:t>
            </w:r>
            <w:r>
              <w:rPr>
                <w:rFonts w:hint="eastAsia" w:ascii="宋体" w:hAnsi="宋体" w:eastAsia="宋体" w:cs="宋体"/>
                <w:b/>
                <w:color w:val="auto"/>
                <w:sz w:val="21"/>
                <w:szCs w:val="21"/>
                <w:highlight w:val="none"/>
              </w:rPr>
              <w:t>小型和微型企业产品（货物、承担的工程或者服务）的，必须在此表单独列明，否则在计算价格得分时不予以相应的扣除</w:t>
            </w:r>
            <w:r>
              <w:rPr>
                <w:rStyle w:val="41"/>
                <w:rFonts w:hint="eastAsia" w:ascii="宋体" w:hAnsi="宋体" w:eastAsia="宋体" w:cs="宋体"/>
                <w:b/>
                <w:color w:val="auto"/>
                <w:sz w:val="21"/>
                <w:szCs w:val="21"/>
                <w:highlight w:val="none"/>
              </w:rPr>
              <w:t>；</w:t>
            </w:r>
          </w:p>
          <w:p>
            <w:pPr>
              <w:tabs>
                <w:tab w:val="left" w:pos="284"/>
              </w:tabs>
              <w:spacing w:after="0"/>
              <w:rPr>
                <w:rStyle w:val="41"/>
                <w:rFonts w:ascii="宋体" w:hAnsi="宋体" w:eastAsia="宋体" w:cs="宋体"/>
                <w:b/>
                <w:color w:val="auto"/>
                <w:sz w:val="21"/>
                <w:szCs w:val="21"/>
                <w:highlight w:val="none"/>
              </w:rPr>
            </w:pPr>
            <w:r>
              <w:rPr>
                <w:rStyle w:val="41"/>
                <w:rFonts w:hint="eastAsia" w:ascii="宋体" w:hAnsi="宋体" w:eastAsia="宋体" w:cs="宋体"/>
                <w:b/>
                <w:color w:val="auto"/>
                <w:sz w:val="21"/>
                <w:szCs w:val="21"/>
                <w:highlight w:val="none"/>
              </w:rPr>
              <w:t>2、投标人应该如实填写，如投标人所投产品中无小型和微型企业产品的，请留空或删除此表！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tabs>
                <w:tab w:val="left" w:pos="284"/>
              </w:tabs>
              <w:spacing w:after="0"/>
              <w:rPr>
                <w:rStyle w:val="41"/>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p>
        </w:tc>
      </w:tr>
    </w:tbl>
    <w:p>
      <w:pPr>
        <w:pStyle w:val="31"/>
        <w:spacing w:after="0" w:line="360" w:lineRule="auto"/>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节能产品或环境标志产品列价表</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81"/>
        <w:gridCol w:w="1316"/>
        <w:gridCol w:w="1067"/>
        <w:gridCol w:w="1150"/>
        <w:gridCol w:w="850"/>
        <w:gridCol w:w="833"/>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81"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316"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06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1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8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833"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10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256" w:type="dxa"/>
            <w:gridSpan w:val="2"/>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266" w:type="dxa"/>
            <w:gridSpan w:val="6"/>
            <w:vAlign w:val="center"/>
          </w:tcPr>
          <w:p>
            <w:pPr>
              <w:spacing w:after="0"/>
              <w:rPr>
                <w:rFonts w:ascii="宋体" w:hAnsi="宋体" w:eastAsia="宋体" w:cs="宋体"/>
                <w:color w:val="auto"/>
                <w:sz w:val="21"/>
                <w:szCs w:val="21"/>
                <w:highlight w:val="none"/>
              </w:rPr>
            </w:pPr>
            <w:r>
              <w:rPr>
                <w:rStyle w:val="41"/>
                <w:rFonts w:hint="eastAsia" w:ascii="宋体" w:hAnsi="宋体" w:eastAsia="宋体" w:cs="宋体"/>
                <w:color w:val="auto"/>
                <w:sz w:val="21"/>
                <w:szCs w:val="21"/>
                <w:highlight w:val="none"/>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tabs>
                <w:tab w:val="left" w:pos="284"/>
              </w:tabs>
              <w:spacing w:after="0"/>
              <w:rPr>
                <w:rStyle w:val="41"/>
                <w:rFonts w:ascii="宋体" w:hAnsi="宋体" w:eastAsia="宋体" w:cs="宋体"/>
                <w:b/>
                <w:color w:val="auto"/>
                <w:sz w:val="21"/>
                <w:szCs w:val="21"/>
                <w:highlight w:val="none"/>
              </w:rPr>
            </w:pPr>
            <w:r>
              <w:rPr>
                <w:rStyle w:val="41"/>
                <w:rFonts w:hint="eastAsia" w:ascii="宋体" w:hAnsi="宋体" w:eastAsia="宋体" w:cs="宋体"/>
                <w:b/>
                <w:color w:val="auto"/>
                <w:sz w:val="21"/>
                <w:szCs w:val="21"/>
                <w:highlight w:val="none"/>
              </w:rPr>
              <w:t>注：1、投标人在“货物（服务）分项报价表”中的报价内容中，如有属于节能产品或环境标志产的，必须在此表单独列明且提供相应的证明材料，否则在计算价格得分时不予以相应的扣除；</w:t>
            </w:r>
          </w:p>
          <w:p>
            <w:pPr>
              <w:tabs>
                <w:tab w:val="left" w:pos="284"/>
              </w:tabs>
              <w:spacing w:after="0"/>
              <w:rPr>
                <w:rStyle w:val="41"/>
                <w:rFonts w:ascii="宋体" w:hAnsi="宋体" w:eastAsia="宋体" w:cs="宋体"/>
                <w:b/>
                <w:color w:val="auto"/>
                <w:sz w:val="21"/>
                <w:szCs w:val="21"/>
                <w:highlight w:val="none"/>
              </w:rPr>
            </w:pPr>
            <w:r>
              <w:rPr>
                <w:rStyle w:val="41"/>
                <w:rFonts w:hint="eastAsia" w:ascii="宋体" w:hAnsi="宋体" w:eastAsia="宋体" w:cs="宋体"/>
                <w:b/>
                <w:color w:val="auto"/>
                <w:sz w:val="21"/>
                <w:szCs w:val="21"/>
                <w:highlight w:val="none"/>
              </w:rPr>
              <w:t>2、投标人应该如实填写，如投标人所投产品中无节能或环保产品的，请留空或删除此表！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tabs>
                <w:tab w:val="left" w:pos="284"/>
              </w:tabs>
              <w:spacing w:after="0"/>
              <w:rPr>
                <w:rStyle w:val="41"/>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p>
        </w:tc>
      </w:tr>
    </w:tbl>
    <w:p>
      <w:pPr>
        <w:jc w:val="both"/>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98" w:name="_Toc16412"/>
      <w:r>
        <w:rPr>
          <w:rFonts w:hint="eastAsia" w:ascii="宋体" w:hAnsi="宋体" w:eastAsia="宋体"/>
          <w:color w:val="auto"/>
          <w:sz w:val="21"/>
          <w:szCs w:val="21"/>
          <w:highlight w:val="none"/>
        </w:rPr>
        <w:t>附件5. 法定代表人证明书格式</w:t>
      </w:r>
      <w:bookmarkEnd w:id="98"/>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法定代表人证明书</w:t>
      </w:r>
    </w:p>
    <w:p>
      <w:pPr>
        <w:pStyle w:val="34"/>
        <w:spacing w:line="420" w:lineRule="atLeast"/>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致：</w:t>
      </w:r>
      <w:r>
        <w:rPr>
          <w:rFonts w:hint="eastAsia" w:ascii="宋体" w:eastAsia="宋体"/>
          <w:color w:val="auto"/>
          <w:sz w:val="21"/>
          <w:szCs w:val="21"/>
          <w:highlight w:val="none"/>
          <w:lang w:eastAsia="zh-CN"/>
        </w:rPr>
        <w:t>广东政通招标有限公司</w:t>
      </w:r>
    </w:p>
    <w:p>
      <w:pPr>
        <w:pStyle w:val="34"/>
        <w:spacing w:line="420" w:lineRule="atLeast"/>
        <w:ind w:firstLine="433"/>
        <w:rPr>
          <w:rFonts w:ascii="宋体" w:eastAsia="宋体"/>
          <w:color w:val="auto"/>
          <w:sz w:val="21"/>
          <w:szCs w:val="21"/>
          <w:highlight w:val="none"/>
        </w:rPr>
      </w:pPr>
    </w:p>
    <w:p>
      <w:pPr>
        <w:pStyle w:val="34"/>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投标人名称:</w:t>
      </w:r>
    </w:p>
    <w:p>
      <w:pPr>
        <w:pStyle w:val="34"/>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单 位 性质：</w:t>
      </w:r>
    </w:p>
    <w:p>
      <w:pPr>
        <w:pStyle w:val="34"/>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地      址：</w:t>
      </w:r>
    </w:p>
    <w:p>
      <w:pPr>
        <w:pStyle w:val="34"/>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成 立 时间：年月日</w:t>
      </w:r>
    </w:p>
    <w:p>
      <w:pPr>
        <w:pStyle w:val="34"/>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经 营 期限：</w:t>
      </w:r>
    </w:p>
    <w:p>
      <w:pPr>
        <w:pStyle w:val="34"/>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姓名：性别：年龄：职务：</w:t>
      </w:r>
    </w:p>
    <w:p>
      <w:pPr>
        <w:pStyle w:val="34"/>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系（投标人名称）的法定代表人。</w:t>
      </w:r>
    </w:p>
    <w:p>
      <w:pPr>
        <w:spacing w:line="420" w:lineRule="atLeas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特此证明。</w:t>
      </w:r>
    </w:p>
    <w:p>
      <w:pPr>
        <w:pStyle w:val="34"/>
        <w:spacing w:line="500" w:lineRule="atLeast"/>
        <w:ind w:firstLine="3517" w:firstLineChars="1675"/>
        <w:rPr>
          <w:rFonts w:ascii="宋体" w:eastAsia="宋体"/>
          <w:color w:val="auto"/>
          <w:sz w:val="21"/>
          <w:szCs w:val="21"/>
          <w:highlight w:val="none"/>
        </w:rPr>
      </w:pPr>
    </w:p>
    <w:p>
      <w:pPr>
        <w:pStyle w:val="34"/>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4"/>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法定代表人（签名或盖私章）：</w:t>
      </w:r>
    </w:p>
    <w:p>
      <w:pPr>
        <w:pStyle w:val="34"/>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法定代表人联系方式：</w:t>
      </w:r>
    </w:p>
    <w:p>
      <w:pPr>
        <w:pStyle w:val="34"/>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身份证号码：</w:t>
      </w:r>
    </w:p>
    <w:p>
      <w:pPr>
        <w:pStyle w:val="34"/>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pPr>
        <w:ind w:firstLine="420" w:firstLineChars="200"/>
        <w:rPr>
          <w:rFonts w:ascii="宋体" w:hAnsi="宋体" w:eastAsia="宋体"/>
          <w:color w:val="auto"/>
          <w:sz w:val="21"/>
          <w:szCs w:val="21"/>
          <w:highlight w:val="none"/>
        </w:rPr>
      </w:pPr>
    </w:p>
    <w:p>
      <w:pPr>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注：法定代表人身份证明书需附法人代表身份证复印件。</w:t>
      </w:r>
    </w:p>
    <w:tbl>
      <w:tblPr>
        <w:tblStyle w:val="21"/>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pPr>
              <w:pStyle w:val="34"/>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182" w:type="dxa"/>
            <w:vAlign w:val="center"/>
          </w:tcPr>
          <w:p>
            <w:pPr>
              <w:pStyle w:val="34"/>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rPr>
          <w:color w:val="auto"/>
          <w:highlight w:val="none"/>
        </w:rPr>
      </w:pP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5"/>
        <w:widowControl w:val="0"/>
        <w:overflowPunct w:val="0"/>
        <w:spacing w:before="0" w:after="0" w:line="240" w:lineRule="auto"/>
        <w:rPr>
          <w:color w:val="auto"/>
          <w:highlight w:val="none"/>
        </w:rPr>
      </w:pPr>
      <w:bookmarkStart w:id="99" w:name="_Toc31205"/>
      <w:r>
        <w:rPr>
          <w:rFonts w:hint="eastAsia" w:ascii="宋体" w:hAnsi="宋体" w:eastAsia="宋体"/>
          <w:color w:val="auto"/>
          <w:sz w:val="21"/>
          <w:szCs w:val="21"/>
          <w:highlight w:val="none"/>
        </w:rPr>
        <w:t>附件6.法定代表人授权书格式</w:t>
      </w:r>
      <w:bookmarkEnd w:id="99"/>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法定代表人授权书</w:t>
      </w:r>
    </w:p>
    <w:p>
      <w:pPr>
        <w:pStyle w:val="34"/>
        <w:spacing w:line="420" w:lineRule="atLeast"/>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致：</w:t>
      </w:r>
      <w:r>
        <w:rPr>
          <w:rFonts w:hint="eastAsia" w:ascii="宋体" w:eastAsia="宋体"/>
          <w:color w:val="auto"/>
          <w:sz w:val="21"/>
          <w:szCs w:val="21"/>
          <w:highlight w:val="none"/>
          <w:lang w:eastAsia="zh-CN"/>
        </w:rPr>
        <w:t>广东政通招标有限公司</w:t>
      </w:r>
    </w:p>
    <w:p>
      <w:pPr>
        <w:pStyle w:val="34"/>
        <w:spacing w:line="420" w:lineRule="atLeast"/>
        <w:ind w:firstLine="433"/>
        <w:rPr>
          <w:rFonts w:ascii="宋体" w:eastAsia="宋体"/>
          <w:color w:val="auto"/>
          <w:sz w:val="21"/>
          <w:szCs w:val="21"/>
          <w:highlight w:val="none"/>
        </w:rPr>
      </w:pP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本授权书声明：注册于</w:t>
      </w:r>
      <w:r>
        <w:rPr>
          <w:rFonts w:hint="eastAsia" w:ascii="宋体" w:hAnsi="宋体" w:eastAsia="宋体" w:cs="Times New Roman"/>
          <w:color w:val="auto"/>
          <w:sz w:val="21"/>
          <w:szCs w:val="21"/>
          <w:highlight w:val="none"/>
          <w:u w:val="single"/>
        </w:rPr>
        <w:t>（国家或地区的名称）</w:t>
      </w:r>
      <w:r>
        <w:rPr>
          <w:rFonts w:hint="eastAsia" w:ascii="宋体" w:hAnsi="宋体" w:eastAsia="宋体" w:cs="Times New Roman"/>
          <w:color w:val="auto"/>
          <w:sz w:val="21"/>
          <w:szCs w:val="21"/>
          <w:highlight w:val="none"/>
        </w:rPr>
        <w:t>的</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（法定代表人姓名、职务）</w:t>
      </w:r>
      <w:r>
        <w:rPr>
          <w:rFonts w:hint="eastAsia" w:ascii="宋体" w:hAnsi="宋体" w:eastAsia="宋体" w:cs="Times New Roman"/>
          <w:color w:val="auto"/>
          <w:sz w:val="21"/>
          <w:szCs w:val="21"/>
          <w:highlight w:val="none"/>
        </w:rPr>
        <w:t>代表本单位授权</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（被授权人的姓名、职务）</w:t>
      </w:r>
      <w:r>
        <w:rPr>
          <w:rFonts w:hint="eastAsia" w:ascii="宋体" w:hAnsi="宋体" w:eastAsia="宋体" w:cs="Times New Roman"/>
          <w:color w:val="auto"/>
          <w:sz w:val="21"/>
          <w:szCs w:val="21"/>
          <w:highlight w:val="none"/>
        </w:rPr>
        <w:t>为本单位的合法代理人，就</w:t>
      </w:r>
      <w:r>
        <w:rPr>
          <w:rFonts w:hint="eastAsia" w:ascii="宋体" w:hAnsi="宋体" w:eastAsia="宋体" w:cs="Times New Roman"/>
          <w:color w:val="auto"/>
          <w:sz w:val="21"/>
          <w:szCs w:val="21"/>
          <w:highlight w:val="none"/>
          <w:u w:val="single"/>
        </w:rPr>
        <w:t>（项目名称）</w:t>
      </w:r>
      <w:r>
        <w:rPr>
          <w:rFonts w:hint="eastAsia" w:ascii="宋体" w:hAnsi="宋体" w:eastAsia="宋体" w:cs="Times New Roman"/>
          <w:color w:val="auto"/>
          <w:sz w:val="21"/>
          <w:szCs w:val="21"/>
          <w:highlight w:val="none"/>
        </w:rPr>
        <w:t>投标及参加项目谈判，以本单位名义处理一切与之有关的事务。</w:t>
      </w:r>
    </w:p>
    <w:p>
      <w:pPr>
        <w:spacing w:after="0" w:line="360" w:lineRule="auto"/>
        <w:ind w:firstLine="315" w:firstLineChars="15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本授权书于</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日签字生效，特此声明。</w:t>
      </w:r>
    </w:p>
    <w:p>
      <w:pPr>
        <w:pStyle w:val="34"/>
        <w:spacing w:line="500" w:lineRule="atLeast"/>
        <w:ind w:firstLine="3517" w:firstLineChars="1675"/>
        <w:rPr>
          <w:rFonts w:ascii="宋体" w:eastAsia="宋体"/>
          <w:color w:val="auto"/>
          <w:sz w:val="21"/>
          <w:szCs w:val="21"/>
          <w:highlight w:val="none"/>
        </w:rPr>
      </w:pPr>
    </w:p>
    <w:p>
      <w:pPr>
        <w:pStyle w:val="34"/>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4"/>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法定代表人签字（签名或盖私章）：</w:t>
      </w:r>
    </w:p>
    <w:p>
      <w:pPr>
        <w:pStyle w:val="34"/>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被授权人签字：</w:t>
      </w:r>
    </w:p>
    <w:p>
      <w:pPr>
        <w:pStyle w:val="34"/>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职务：</w:t>
      </w:r>
    </w:p>
    <w:p>
      <w:pPr>
        <w:pStyle w:val="34"/>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移动电话： </w:t>
      </w:r>
    </w:p>
    <w:p>
      <w:pPr>
        <w:pStyle w:val="34"/>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详细通讯地址：</w:t>
      </w:r>
    </w:p>
    <w:p>
      <w:pPr>
        <w:pStyle w:val="34"/>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邮箱：                          </w:t>
      </w:r>
    </w:p>
    <w:p>
      <w:pPr>
        <w:pStyle w:val="34"/>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pPr>
        <w:pStyle w:val="34"/>
        <w:spacing w:line="460" w:lineRule="exact"/>
        <w:ind w:firstLine="433"/>
        <w:rPr>
          <w:rFonts w:ascii="宋体" w:eastAsia="宋体"/>
          <w:color w:val="auto"/>
          <w:sz w:val="21"/>
          <w:szCs w:val="21"/>
          <w:highlight w:val="none"/>
        </w:rPr>
      </w:pPr>
    </w:p>
    <w:p>
      <w:pPr>
        <w:ind w:firstLine="420" w:firstLineChars="200"/>
        <w:rPr>
          <w:rFonts w:eastAsia="宋体"/>
          <w:color w:val="auto"/>
          <w:highlight w:val="none"/>
        </w:rPr>
      </w:pPr>
      <w:r>
        <w:rPr>
          <w:rFonts w:hint="eastAsia" w:ascii="宋体" w:hAnsi="宋体" w:eastAsia="宋体"/>
          <w:color w:val="auto"/>
          <w:sz w:val="21"/>
          <w:szCs w:val="21"/>
          <w:highlight w:val="none"/>
        </w:rPr>
        <w:t>须附：被授权人身份证复印件。</w:t>
      </w:r>
    </w:p>
    <w:tbl>
      <w:tblPr>
        <w:tblStyle w:val="21"/>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pPr>
              <w:pStyle w:val="34"/>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232" w:type="dxa"/>
            <w:vAlign w:val="center"/>
          </w:tcPr>
          <w:p>
            <w:pPr>
              <w:pStyle w:val="34"/>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adjustRightInd/>
        <w:snapToGrid/>
        <w:spacing w:line="276" w:lineRule="auto"/>
        <w:rPr>
          <w:color w:val="auto"/>
          <w:highlight w:val="none"/>
        </w:rPr>
      </w:pPr>
      <w:bookmarkStart w:id="100" w:name="_Toc22486"/>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01" w:name="_Toc17164"/>
      <w:r>
        <w:rPr>
          <w:rFonts w:hint="eastAsia" w:ascii="宋体" w:hAnsi="宋体" w:eastAsia="宋体"/>
          <w:color w:val="auto"/>
          <w:sz w:val="21"/>
          <w:szCs w:val="21"/>
          <w:highlight w:val="none"/>
        </w:rPr>
        <w:t>附件7.资格申明</w:t>
      </w:r>
      <w:bookmarkEnd w:id="101"/>
    </w:p>
    <w:p>
      <w:pPr>
        <w:jc w:val="center"/>
        <w:rPr>
          <w:rFonts w:ascii="黑体" w:eastAsia="黑体"/>
          <w:color w:val="auto"/>
          <w:sz w:val="28"/>
          <w:szCs w:val="28"/>
          <w:highlight w:val="none"/>
        </w:rPr>
      </w:pPr>
      <w:r>
        <w:rPr>
          <w:rFonts w:hint="eastAsia" w:ascii="黑体" w:eastAsia="黑体"/>
          <w:color w:val="auto"/>
          <w:sz w:val="28"/>
          <w:szCs w:val="28"/>
          <w:highlight w:val="none"/>
        </w:rPr>
        <w:t>资格申明</w:t>
      </w:r>
    </w:p>
    <w:p>
      <w:pPr>
        <w:pStyle w:val="34"/>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lang w:eastAsia="zh-CN"/>
        </w:rPr>
        <w:t>广东政通招标有限公司</w:t>
      </w:r>
      <w:r>
        <w:rPr>
          <w:rFonts w:hint="eastAsia" w:ascii="宋体" w:eastAsia="宋体"/>
          <w:color w:val="auto"/>
          <w:sz w:val="21"/>
          <w:szCs w:val="21"/>
          <w:highlight w:val="none"/>
        </w:rPr>
        <w:t>：</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我方</w:t>
      </w:r>
      <w:r>
        <w:rPr>
          <w:rFonts w:ascii="宋体" w:hAnsi="宋体" w:eastAsia="宋体"/>
          <w:color w:val="auto"/>
          <w:sz w:val="21"/>
          <w:szCs w:val="21"/>
          <w:highlight w:val="none"/>
        </w:rPr>
        <w:t>愿响应</w:t>
      </w:r>
      <w:r>
        <w:rPr>
          <w:rFonts w:hint="eastAsia" w:ascii="宋体" w:hAnsi="宋体" w:eastAsia="宋体"/>
          <w:color w:val="auto"/>
          <w:sz w:val="21"/>
          <w:szCs w:val="21"/>
          <w:highlight w:val="none"/>
        </w:rPr>
        <w:t>贵</w:t>
      </w:r>
      <w:r>
        <w:rPr>
          <w:rFonts w:ascii="宋体" w:hAnsi="宋体" w:eastAsia="宋体"/>
          <w:color w:val="auto"/>
          <w:sz w:val="21"/>
          <w:szCs w:val="21"/>
          <w:highlight w:val="none"/>
        </w:rPr>
        <w:t>方</w:t>
      </w:r>
      <w:r>
        <w:rPr>
          <w:rFonts w:hint="eastAsia" w:ascii="宋体" w:hAnsi="宋体" w:eastAsia="宋体"/>
          <w:color w:val="auto"/>
          <w:sz w:val="21"/>
          <w:szCs w:val="21"/>
          <w:highlight w:val="none"/>
        </w:rPr>
        <w:t>关于（项目名称）</w:t>
      </w:r>
      <w:r>
        <w:rPr>
          <w:rFonts w:ascii="宋体" w:hAnsi="宋体" w:eastAsia="宋体"/>
          <w:color w:val="auto"/>
          <w:sz w:val="21"/>
          <w:szCs w:val="21"/>
          <w:highlight w:val="none"/>
        </w:rPr>
        <w:t>（</w:t>
      </w:r>
      <w:r>
        <w:rPr>
          <w:rFonts w:hint="eastAsia" w:ascii="宋体" w:hAnsi="宋体" w:eastAsia="宋体"/>
          <w:color w:val="auto"/>
          <w:sz w:val="21"/>
          <w:szCs w:val="21"/>
          <w:highlight w:val="none"/>
        </w:rPr>
        <w:t>采购项目编号</w:t>
      </w:r>
      <w:r>
        <w:rPr>
          <w:rFonts w:ascii="宋体" w:hAnsi="宋体" w:eastAsia="宋体"/>
          <w:color w:val="auto"/>
          <w:sz w:val="21"/>
          <w:szCs w:val="21"/>
          <w:highlight w:val="none"/>
        </w:rPr>
        <w:t>）</w:t>
      </w:r>
      <w:r>
        <w:rPr>
          <w:rFonts w:hint="eastAsia" w:ascii="宋体" w:hAnsi="宋体" w:eastAsia="宋体"/>
          <w:color w:val="auto"/>
          <w:sz w:val="21"/>
          <w:szCs w:val="21"/>
          <w:highlight w:val="none"/>
        </w:rPr>
        <w:t>的</w:t>
      </w:r>
      <w:r>
        <w:rPr>
          <w:rFonts w:ascii="宋体" w:hAnsi="宋体" w:eastAsia="宋体"/>
          <w:color w:val="auto"/>
          <w:sz w:val="21"/>
          <w:szCs w:val="21"/>
          <w:highlight w:val="none"/>
        </w:rPr>
        <w:t>投标邀请，参与投标，提供用户需求书中规定的</w:t>
      </w:r>
      <w:r>
        <w:rPr>
          <w:rFonts w:hint="eastAsia" w:ascii="宋体" w:hAnsi="宋体" w:eastAsia="宋体"/>
          <w:color w:val="auto"/>
          <w:sz w:val="21"/>
          <w:szCs w:val="21"/>
          <w:highlight w:val="none"/>
        </w:rPr>
        <w:t>货物及相关服务</w:t>
      </w:r>
      <w:r>
        <w:rPr>
          <w:rFonts w:ascii="宋体" w:hAnsi="宋体" w:eastAsia="宋体"/>
          <w:color w:val="auto"/>
          <w:sz w:val="21"/>
          <w:szCs w:val="21"/>
          <w:highlight w:val="none"/>
        </w:rPr>
        <w:t>，并按招标文件要求提交所附资格文件且声明和保证如下：</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一、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二、</w:t>
      </w:r>
      <w:r>
        <w:rPr>
          <w:rFonts w:ascii="宋体" w:hAnsi="宋体" w:eastAsia="宋体"/>
          <w:color w:val="auto"/>
          <w:sz w:val="21"/>
          <w:szCs w:val="21"/>
          <w:highlight w:val="none"/>
        </w:rPr>
        <w:t>我方依法注册，在法律上、财务上和运作上完全独立于（采购人名称）（采购人）及</w:t>
      </w:r>
      <w:r>
        <w:rPr>
          <w:rFonts w:hint="eastAsia" w:ascii="宋体" w:hAnsi="宋体" w:eastAsia="宋体"/>
          <w:color w:val="auto"/>
          <w:sz w:val="21"/>
          <w:szCs w:val="21"/>
          <w:highlight w:val="none"/>
          <w:lang w:eastAsia="zh-CN"/>
        </w:rPr>
        <w:t>广东政通招标有限公司</w:t>
      </w:r>
      <w:r>
        <w:rPr>
          <w:rFonts w:ascii="宋体" w:hAnsi="宋体" w:eastAsia="宋体"/>
          <w:color w:val="auto"/>
          <w:sz w:val="21"/>
          <w:szCs w:val="21"/>
          <w:highlight w:val="none"/>
        </w:rPr>
        <w:t>（采购代理机构）</w:t>
      </w:r>
      <w:r>
        <w:rPr>
          <w:rFonts w:hint="eastAsia" w:ascii="宋体" w:hAnsi="宋体" w:eastAsia="宋体"/>
          <w:color w:val="auto"/>
          <w:sz w:val="21"/>
          <w:szCs w:val="21"/>
          <w:highlight w:val="none"/>
        </w:rPr>
        <w:t>。</w:t>
      </w:r>
    </w:p>
    <w:p>
      <w:pPr>
        <w:pStyle w:val="34"/>
        <w:spacing w:line="500" w:lineRule="atLeast"/>
        <w:ind w:firstLine="3517" w:firstLineChars="1675"/>
        <w:rPr>
          <w:rFonts w:ascii="宋体" w:eastAsia="宋体"/>
          <w:color w:val="auto"/>
          <w:sz w:val="21"/>
          <w:szCs w:val="21"/>
          <w:highlight w:val="none"/>
        </w:rPr>
      </w:pPr>
    </w:p>
    <w:p>
      <w:pPr>
        <w:pStyle w:val="34"/>
        <w:spacing w:line="500" w:lineRule="atLeast"/>
        <w:ind w:firstLine="3517" w:firstLineChars="1675"/>
        <w:rPr>
          <w:rFonts w:ascii="宋体" w:eastAsia="宋体"/>
          <w:color w:val="auto"/>
          <w:sz w:val="21"/>
          <w:szCs w:val="21"/>
          <w:highlight w:val="none"/>
        </w:rPr>
      </w:pPr>
    </w:p>
    <w:p>
      <w:pPr>
        <w:pStyle w:val="34"/>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4"/>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法定代表人签字（签名或盖私章）：</w:t>
      </w:r>
    </w:p>
    <w:p>
      <w:pPr>
        <w:pStyle w:val="34"/>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日     期：年月日</w:t>
      </w:r>
    </w:p>
    <w:p>
      <w:pPr>
        <w:pStyle w:val="34"/>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02" w:name="_Toc27839"/>
      <w:r>
        <w:rPr>
          <w:rFonts w:hint="eastAsia" w:ascii="宋体" w:hAnsi="宋体" w:eastAsia="宋体"/>
          <w:color w:val="auto"/>
          <w:sz w:val="21"/>
          <w:szCs w:val="21"/>
          <w:highlight w:val="none"/>
        </w:rPr>
        <w:t>附件8.营业执照</w:t>
      </w:r>
      <w:bookmarkEnd w:id="102"/>
    </w:p>
    <w:p>
      <w:pPr>
        <w:jc w:val="center"/>
        <w:rPr>
          <w:rFonts w:ascii="黑体" w:eastAsia="黑体"/>
          <w:color w:val="auto"/>
          <w:sz w:val="28"/>
          <w:szCs w:val="28"/>
          <w:highlight w:val="none"/>
        </w:rPr>
      </w:pPr>
      <w:bookmarkStart w:id="103" w:name="_Toc4926"/>
      <w:bookmarkStart w:id="104" w:name="_Toc17470"/>
      <w:bookmarkStart w:id="105" w:name="_Toc5919"/>
      <w:bookmarkStart w:id="106" w:name="_Toc1511"/>
      <w:bookmarkStart w:id="107" w:name="_Toc24210"/>
      <w:r>
        <w:rPr>
          <w:rFonts w:hint="eastAsia" w:ascii="黑体" w:eastAsia="黑体"/>
          <w:color w:val="auto"/>
          <w:sz w:val="28"/>
          <w:szCs w:val="28"/>
          <w:highlight w:val="none"/>
        </w:rPr>
        <w:t>营业执照</w:t>
      </w:r>
      <w:bookmarkEnd w:id="103"/>
      <w:bookmarkEnd w:id="104"/>
      <w:bookmarkEnd w:id="105"/>
      <w:bookmarkEnd w:id="106"/>
      <w:bookmarkEnd w:id="107"/>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08" w:name="_Toc26141"/>
      <w:r>
        <w:rPr>
          <w:rFonts w:hint="eastAsia" w:ascii="宋体" w:hAnsi="宋体" w:eastAsia="宋体"/>
          <w:color w:val="auto"/>
          <w:sz w:val="21"/>
          <w:szCs w:val="21"/>
          <w:highlight w:val="none"/>
        </w:rPr>
        <w:t>附件9.相关资质证明文件</w:t>
      </w:r>
      <w:bookmarkEnd w:id="108"/>
    </w:p>
    <w:p>
      <w:pPr>
        <w:rPr>
          <w:color w:val="auto"/>
          <w:highlight w:val="none"/>
        </w:rPr>
      </w:pPr>
    </w:p>
    <w:p>
      <w:pPr>
        <w:jc w:val="center"/>
        <w:rPr>
          <w:rFonts w:ascii="黑体" w:eastAsia="黑体"/>
          <w:color w:val="auto"/>
          <w:sz w:val="28"/>
          <w:szCs w:val="28"/>
          <w:highlight w:val="none"/>
        </w:rPr>
      </w:pPr>
      <w:bookmarkStart w:id="109" w:name="_Toc30307"/>
      <w:bookmarkStart w:id="110" w:name="_Toc16233"/>
      <w:bookmarkStart w:id="111" w:name="_Toc9592"/>
      <w:bookmarkStart w:id="112" w:name="_Toc13458"/>
      <w:bookmarkStart w:id="113" w:name="_Toc16698"/>
      <w:r>
        <w:rPr>
          <w:rFonts w:hint="eastAsia" w:ascii="黑体" w:eastAsia="黑体"/>
          <w:color w:val="auto"/>
          <w:sz w:val="28"/>
          <w:szCs w:val="28"/>
          <w:highlight w:val="none"/>
        </w:rPr>
        <w:t>相关资质证明文件</w:t>
      </w:r>
      <w:bookmarkEnd w:id="100"/>
      <w:bookmarkEnd w:id="109"/>
      <w:bookmarkEnd w:id="110"/>
      <w:bookmarkEnd w:id="111"/>
      <w:bookmarkEnd w:id="112"/>
      <w:bookmarkEnd w:id="113"/>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14" w:name="_Toc17618"/>
      <w:r>
        <w:rPr>
          <w:rFonts w:hint="eastAsia" w:ascii="宋体" w:hAnsi="宋体" w:eastAsia="宋体"/>
          <w:color w:val="auto"/>
          <w:sz w:val="21"/>
          <w:szCs w:val="21"/>
          <w:highlight w:val="none"/>
        </w:rPr>
        <w:t>附件10. 商务条款偏离表格式</w:t>
      </w:r>
      <w:bookmarkEnd w:id="114"/>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商务条款偏离表</w:t>
      </w:r>
    </w:p>
    <w:tbl>
      <w:tblPr>
        <w:tblStyle w:val="21"/>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62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服务项目名称</w:t>
            </w:r>
          </w:p>
        </w:tc>
        <w:tc>
          <w:tcPr>
            <w:tcW w:w="136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587"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133"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73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p>
    <w:p>
      <w:pPr>
        <w:ind w:left="718" w:hanging="718" w:hangingChars="342"/>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1、投标人应对照招标文件商务要求，说明已对招标文件的商务内容做出了实质性的响应。</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2、商务条款包括但不限于合格投标人资格、付款方式、履约保证金、完工期、售后服务、检验及验收等要求。</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3、若文件有具体要求的，应按照文件要求进行逐一响应，并提供相应的证明材料。</w:t>
      </w: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15" w:name="_Toc32183"/>
      <w:r>
        <w:rPr>
          <w:rFonts w:hint="eastAsia" w:ascii="宋体" w:hAnsi="宋体" w:eastAsia="宋体"/>
          <w:color w:val="auto"/>
          <w:sz w:val="21"/>
          <w:szCs w:val="21"/>
          <w:highlight w:val="none"/>
        </w:rPr>
        <w:t>附件11. 技术规格偏离表格式</w:t>
      </w:r>
      <w:bookmarkEnd w:id="115"/>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技术规格偏离表</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90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技术规格</w:t>
            </w:r>
          </w:p>
        </w:tc>
        <w:tc>
          <w:tcPr>
            <w:tcW w:w="137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62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23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544"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ind w:firstLine="178" w:firstLineChars="85"/>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1、偏离项中填写“正”、“负”或“无”，说明项中填写原因。</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2、投标人应对照招标文件技术规格，说明所提供服务已对招标文件的技术规格做出实质性的响应，并申明与技术规格条文的偏差和例外。特别对有具体参数要求的指标，投标人必须提供所投设备的具体参数值。</w:t>
      </w:r>
    </w:p>
    <w:p>
      <w:pPr>
        <w:spacing w:after="0" w:line="360" w:lineRule="auto"/>
        <w:rPr>
          <w:rFonts w:ascii="宋体" w:hAnsi="宋体" w:eastAsia="宋体"/>
          <w:color w:val="auto"/>
          <w:sz w:val="21"/>
          <w:szCs w:val="21"/>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rPr>
          <w:rFonts w:ascii="宋体" w:hAnsi="宋体" w:eastAsia="宋体"/>
          <w:color w:val="auto"/>
          <w:sz w:val="21"/>
          <w:szCs w:val="21"/>
          <w:highlight w:val="none"/>
        </w:rPr>
      </w:pPr>
      <w:bookmarkStart w:id="116" w:name="_Toc17691"/>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s="Times New Roman"/>
          <w:b w:val="0"/>
          <w:bCs w:val="0"/>
          <w:color w:val="auto"/>
          <w:sz w:val="32"/>
          <w:szCs w:val="32"/>
          <w:highlight w:val="none"/>
        </w:rPr>
      </w:pPr>
      <w:bookmarkStart w:id="117" w:name="_Toc29613"/>
      <w:r>
        <w:rPr>
          <w:rFonts w:hint="eastAsia" w:ascii="宋体" w:hAnsi="宋体" w:eastAsia="宋体"/>
          <w:color w:val="auto"/>
          <w:sz w:val="21"/>
          <w:szCs w:val="21"/>
          <w:highlight w:val="none"/>
        </w:rPr>
        <w:t>附件12.重要技术参数（▲）响应表</w:t>
      </w:r>
      <w:bookmarkEnd w:id="116"/>
      <w:bookmarkEnd w:id="117"/>
    </w:p>
    <w:p>
      <w:pPr>
        <w:jc w:val="center"/>
        <w:rPr>
          <w:rFonts w:ascii="黑体" w:eastAsia="黑体"/>
          <w:color w:val="auto"/>
          <w:sz w:val="28"/>
          <w:szCs w:val="28"/>
          <w:highlight w:val="none"/>
        </w:rPr>
      </w:pPr>
      <w:bookmarkStart w:id="118" w:name="_Toc26078"/>
      <w:bookmarkStart w:id="119" w:name="_Toc4827"/>
      <w:bookmarkStart w:id="120" w:name="_Toc1274"/>
      <w:bookmarkStart w:id="121" w:name="_Toc6080"/>
      <w:bookmarkStart w:id="122" w:name="_Toc18668"/>
      <w:bookmarkStart w:id="123" w:name="_Toc4464"/>
    </w:p>
    <w:p>
      <w:pPr>
        <w:jc w:val="center"/>
        <w:rPr>
          <w:rFonts w:ascii="黑体" w:eastAsia="黑体"/>
          <w:color w:val="auto"/>
          <w:sz w:val="28"/>
          <w:szCs w:val="28"/>
          <w:highlight w:val="none"/>
        </w:rPr>
      </w:pPr>
      <w:r>
        <w:rPr>
          <w:rFonts w:hint="eastAsia" w:ascii="黑体" w:eastAsia="黑体"/>
          <w:color w:val="auto"/>
          <w:sz w:val="28"/>
          <w:szCs w:val="28"/>
          <w:highlight w:val="none"/>
        </w:rPr>
        <w:t>重要技术参数（▲）响应表</w:t>
      </w:r>
      <w:bookmarkEnd w:id="118"/>
      <w:bookmarkEnd w:id="119"/>
      <w:bookmarkEnd w:id="120"/>
      <w:bookmarkEnd w:id="121"/>
      <w:bookmarkEnd w:id="122"/>
      <w:bookmarkEnd w:id="123"/>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2"/>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bookmarkStart w:id="124" w:name="_Toc15903"/>
            <w:bookmarkStart w:id="125" w:name="_Toc27090"/>
            <w:bookmarkStart w:id="126" w:name="_Toc2700"/>
            <w:bookmarkStart w:id="127" w:name="_Toc21739"/>
            <w:bookmarkStart w:id="128" w:name="_Toc22448"/>
            <w:bookmarkStart w:id="129" w:name="_Toc12049"/>
            <w:bookmarkStart w:id="130" w:name="_Toc4304"/>
            <w:bookmarkStart w:id="131" w:name="_Toc16872"/>
            <w:bookmarkStart w:id="132" w:name="_Toc10045"/>
            <w:bookmarkStart w:id="133" w:name="_Toc14815"/>
            <w:r>
              <w:rPr>
                <w:rFonts w:hint="eastAsia" w:ascii="宋体" w:hAnsi="宋体" w:eastAsia="宋体" w:cs="Times New Roman"/>
                <w:color w:val="auto"/>
                <w:sz w:val="21"/>
                <w:szCs w:val="21"/>
                <w:highlight w:val="none"/>
              </w:rPr>
              <w:t>技术参数（▲）</w:t>
            </w:r>
            <w:bookmarkEnd w:id="124"/>
            <w:bookmarkEnd w:id="125"/>
            <w:bookmarkEnd w:id="126"/>
            <w:bookmarkEnd w:id="127"/>
            <w:bookmarkEnd w:id="128"/>
            <w:bookmarkEnd w:id="129"/>
            <w:bookmarkEnd w:id="130"/>
            <w:bookmarkEnd w:id="131"/>
            <w:bookmarkEnd w:id="132"/>
            <w:bookmarkEnd w:id="133"/>
          </w:p>
        </w:tc>
        <w:tc>
          <w:tcPr>
            <w:tcW w:w="2842"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bookmarkStart w:id="134" w:name="_Toc19251"/>
            <w:bookmarkStart w:id="135" w:name="_Toc32531"/>
            <w:bookmarkStart w:id="136" w:name="_Toc8490"/>
            <w:bookmarkStart w:id="137" w:name="_Toc27442"/>
            <w:bookmarkStart w:id="138" w:name="_Toc22917"/>
            <w:bookmarkStart w:id="139" w:name="_Toc7333"/>
            <w:bookmarkStart w:id="140" w:name="_Toc22879"/>
            <w:bookmarkStart w:id="141" w:name="_Toc8312"/>
            <w:bookmarkStart w:id="142" w:name="_Toc21809"/>
            <w:bookmarkStart w:id="143" w:name="_Toc24662"/>
            <w:r>
              <w:rPr>
                <w:rFonts w:hint="eastAsia" w:ascii="宋体" w:hAnsi="宋体" w:eastAsia="宋体" w:cs="Times New Roman"/>
                <w:color w:val="auto"/>
                <w:sz w:val="21"/>
                <w:szCs w:val="21"/>
                <w:highlight w:val="none"/>
              </w:rPr>
              <w:t>是否响应</w:t>
            </w:r>
            <w:bookmarkEnd w:id="134"/>
            <w:bookmarkEnd w:id="135"/>
            <w:bookmarkEnd w:id="136"/>
            <w:bookmarkEnd w:id="137"/>
            <w:bookmarkEnd w:id="138"/>
            <w:bookmarkEnd w:id="139"/>
            <w:bookmarkEnd w:id="140"/>
            <w:bookmarkEnd w:id="141"/>
            <w:bookmarkEnd w:id="142"/>
            <w:bookmarkEnd w:id="143"/>
          </w:p>
        </w:tc>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bookmarkStart w:id="144" w:name="_Toc5563"/>
            <w:bookmarkStart w:id="145" w:name="_Toc20139"/>
            <w:bookmarkStart w:id="146" w:name="_Toc3701"/>
            <w:bookmarkStart w:id="147" w:name="_Toc5992"/>
            <w:bookmarkStart w:id="148" w:name="_Toc17296"/>
            <w:bookmarkStart w:id="149" w:name="_Toc1330"/>
            <w:bookmarkStart w:id="150" w:name="_Toc20820"/>
            <w:bookmarkStart w:id="151" w:name="_Toc1912"/>
            <w:bookmarkStart w:id="152" w:name="_Toc27185"/>
            <w:bookmarkStart w:id="153" w:name="_Toc17642"/>
            <w:r>
              <w:rPr>
                <w:rFonts w:hint="eastAsia" w:ascii="宋体" w:hAnsi="宋体" w:eastAsia="宋体" w:cs="Times New Roman"/>
                <w:color w:val="auto"/>
                <w:sz w:val="21"/>
                <w:szCs w:val="21"/>
                <w:highlight w:val="none"/>
              </w:rPr>
              <w:t>页码范围</w:t>
            </w:r>
            <w:bookmarkEnd w:id="144"/>
            <w:bookmarkEnd w:id="145"/>
            <w:bookmarkEnd w:id="146"/>
            <w:bookmarkEnd w:id="147"/>
            <w:bookmarkEnd w:id="148"/>
            <w:bookmarkEnd w:id="149"/>
            <w:bookmarkEnd w:id="150"/>
            <w:bookmarkEnd w:id="151"/>
            <w:bookmarkEnd w:id="152"/>
            <w:bookmarkEnd w:id="1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rPr>
                <w:rFonts w:ascii="宋体" w:hAnsi="宋体" w:eastAsia="宋体" w:cs="Times New Roman"/>
                <w:color w:val="auto"/>
                <w:sz w:val="21"/>
                <w:szCs w:val="21"/>
                <w:highlight w:val="none"/>
              </w:rPr>
            </w:pPr>
          </w:p>
        </w:tc>
      </w:tr>
    </w:tbl>
    <w:p>
      <w:pPr>
        <w:pStyle w:val="31"/>
        <w:spacing w:after="0" w:line="360" w:lineRule="auto"/>
        <w:rPr>
          <w:rFonts w:ascii="宋体" w:hAnsi="宋体" w:eastAsia="宋体"/>
          <w:color w:val="auto"/>
          <w:sz w:val="21"/>
          <w:szCs w:val="21"/>
          <w:highlight w:val="none"/>
        </w:rPr>
      </w:pPr>
    </w:p>
    <w:p>
      <w:pPr>
        <w:pStyle w:val="31"/>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31"/>
        <w:numPr>
          <w:ilvl w:val="0"/>
          <w:numId w:val="12"/>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31"/>
        <w:numPr>
          <w:ilvl w:val="0"/>
          <w:numId w:val="12"/>
        </w:numPr>
        <w:spacing w:after="0" w:line="360" w:lineRule="auto"/>
        <w:ind w:firstLine="422"/>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投标人可按项目的实际需要提供本表格。招标文件内未涉及▲参数的，此表可以不用提供。</w:t>
      </w:r>
    </w:p>
    <w:p>
      <w:pPr>
        <w:pStyle w:val="31"/>
        <w:numPr>
          <w:ilvl w:val="0"/>
          <w:numId w:val="12"/>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响应表所列出的材料应为真实准确的，若文件需要，应提供相关证明材料复印件加盖公章。请勿提供虚假、过期材料，否则将依据相关规定严肃处理</w:t>
      </w:r>
    </w:p>
    <w:p>
      <w:pPr>
        <w:pStyle w:val="31"/>
        <w:numPr>
          <w:ilvl w:val="0"/>
          <w:numId w:val="12"/>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若招标文件有需求，投标文件未提供重要技术参数（</w:t>
      </w:r>
      <w:r>
        <w:rPr>
          <w:rFonts w:hint="eastAsia" w:ascii="宋体" w:hAnsi="宋体" w:eastAsia="宋体" w:cs="Times New Roman"/>
          <w:color w:val="auto"/>
          <w:sz w:val="21"/>
          <w:szCs w:val="21"/>
          <w:highlight w:val="none"/>
        </w:rPr>
        <w:t>▲</w:t>
      </w:r>
      <w:r>
        <w:rPr>
          <w:rFonts w:hint="eastAsia" w:ascii="宋体" w:hAnsi="宋体" w:eastAsia="宋体"/>
          <w:color w:val="auto"/>
          <w:sz w:val="21"/>
          <w:szCs w:val="21"/>
          <w:highlight w:val="none"/>
        </w:rPr>
        <w:t>）响应表对投标人投标产生负面影响的，投标人自行承担后果。</w:t>
      </w:r>
    </w:p>
    <w:p>
      <w:pPr>
        <w:pStyle w:val="31"/>
        <w:numPr>
          <w:ilvl w:val="0"/>
          <w:numId w:val="12"/>
        </w:num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30"/>
          <w:szCs w:val="30"/>
          <w:highlight w:val="none"/>
        </w:rPr>
      </w:pPr>
      <w:bookmarkStart w:id="154" w:name="_Toc27674"/>
      <w:r>
        <w:rPr>
          <w:rFonts w:hint="eastAsia" w:ascii="宋体" w:hAnsi="宋体" w:eastAsia="宋体"/>
          <w:color w:val="auto"/>
          <w:sz w:val="21"/>
          <w:szCs w:val="21"/>
          <w:highlight w:val="none"/>
        </w:rPr>
        <w:t>附件13.业绩表</w:t>
      </w:r>
      <w:bookmarkEnd w:id="154"/>
    </w:p>
    <w:p>
      <w:pPr>
        <w:jc w:val="center"/>
        <w:rPr>
          <w:rFonts w:ascii="黑体" w:eastAsia="黑体"/>
          <w:color w:val="auto"/>
          <w:sz w:val="28"/>
          <w:szCs w:val="28"/>
          <w:highlight w:val="none"/>
        </w:rPr>
      </w:pPr>
      <w:r>
        <w:rPr>
          <w:rFonts w:hint="eastAsia" w:ascii="黑体" w:eastAsia="黑体"/>
          <w:color w:val="auto"/>
          <w:sz w:val="28"/>
          <w:szCs w:val="28"/>
          <w:highlight w:val="none"/>
        </w:rPr>
        <w:t>业绩表</w:t>
      </w:r>
    </w:p>
    <w:tbl>
      <w:tblPr>
        <w:tblStyle w:val="22"/>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1706"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项目金额</w:t>
            </w:r>
          </w:p>
        </w:tc>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项目合同签订时间</w:t>
            </w:r>
          </w:p>
        </w:tc>
        <w:tc>
          <w:tcPr>
            <w:tcW w:w="1697"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color w:val="auto"/>
                <w:sz w:val="21"/>
                <w:szCs w:val="21"/>
                <w:highlight w:val="none"/>
              </w:rPr>
            </w:pPr>
          </w:p>
        </w:tc>
        <w:tc>
          <w:tcPr>
            <w:tcW w:w="1705" w:type="dxa"/>
            <w:vAlign w:val="center"/>
          </w:tcPr>
          <w:p>
            <w:pPr>
              <w:adjustRightInd/>
              <w:snapToGrid/>
              <w:spacing w:after="0"/>
              <w:jc w:val="center"/>
              <w:rPr>
                <w:rFonts w:ascii="宋体" w:hAnsi="宋体" w:eastAsia="宋体"/>
                <w:color w:val="auto"/>
                <w:sz w:val="21"/>
                <w:szCs w:val="21"/>
                <w:highlight w:val="none"/>
              </w:rPr>
            </w:pPr>
          </w:p>
        </w:tc>
        <w:tc>
          <w:tcPr>
            <w:tcW w:w="1706" w:type="dxa"/>
            <w:vAlign w:val="center"/>
          </w:tcPr>
          <w:p>
            <w:pPr>
              <w:adjustRightInd/>
              <w:snapToGrid/>
              <w:spacing w:after="0"/>
              <w:jc w:val="center"/>
              <w:rPr>
                <w:rFonts w:ascii="宋体" w:hAnsi="宋体" w:eastAsia="宋体"/>
                <w:color w:val="auto"/>
                <w:sz w:val="21"/>
                <w:szCs w:val="21"/>
                <w:highlight w:val="none"/>
              </w:rPr>
            </w:pPr>
          </w:p>
        </w:tc>
        <w:tc>
          <w:tcPr>
            <w:tcW w:w="1705" w:type="dxa"/>
            <w:vAlign w:val="center"/>
          </w:tcPr>
          <w:p>
            <w:pPr>
              <w:adjustRightInd/>
              <w:snapToGrid/>
              <w:spacing w:after="0"/>
              <w:jc w:val="center"/>
              <w:rPr>
                <w:rFonts w:ascii="宋体" w:hAnsi="宋体" w:eastAsia="宋体"/>
                <w:color w:val="auto"/>
                <w:sz w:val="21"/>
                <w:szCs w:val="21"/>
                <w:highlight w:val="none"/>
              </w:rPr>
            </w:pPr>
          </w:p>
        </w:tc>
        <w:tc>
          <w:tcPr>
            <w:tcW w:w="1697" w:type="dxa"/>
            <w:vAlign w:val="center"/>
          </w:tcPr>
          <w:p>
            <w:pPr>
              <w:adjustRightInd/>
              <w:snapToGrid/>
              <w:spacing w:after="0"/>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bl>
    <w:p>
      <w:pPr>
        <w:pStyle w:val="31"/>
        <w:spacing w:after="0"/>
        <w:rPr>
          <w:rFonts w:ascii="宋体" w:hAnsi="宋体" w:eastAsia="宋体"/>
          <w:color w:val="auto"/>
          <w:sz w:val="21"/>
          <w:szCs w:val="21"/>
          <w:highlight w:val="none"/>
        </w:rPr>
      </w:pPr>
    </w:p>
    <w:p>
      <w:pPr>
        <w:pStyle w:val="31"/>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31"/>
        <w:numPr>
          <w:ilvl w:val="0"/>
          <w:numId w:val="13"/>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31"/>
        <w:numPr>
          <w:ilvl w:val="0"/>
          <w:numId w:val="13"/>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业绩表所列出的材料应为真实准确的，并应提供相关证明材料复印件加盖公章。请勿提供虚假、过期材料，否则将依据相关规定严肃处理。</w:t>
      </w:r>
    </w:p>
    <w:p>
      <w:pPr>
        <w:pStyle w:val="31"/>
        <w:numPr>
          <w:ilvl w:val="0"/>
          <w:numId w:val="13"/>
        </w:num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55" w:name="_Toc7860"/>
      <w:r>
        <w:rPr>
          <w:rFonts w:hint="eastAsia" w:ascii="宋体" w:hAnsi="宋体" w:eastAsia="宋体"/>
          <w:color w:val="auto"/>
          <w:sz w:val="21"/>
          <w:szCs w:val="21"/>
          <w:highlight w:val="none"/>
        </w:rPr>
        <w:t>附件14. 项目实施方案格式</w:t>
      </w:r>
      <w:bookmarkEnd w:id="155"/>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项目实施方案</w:t>
      </w:r>
    </w:p>
    <w:p>
      <w:pPr>
        <w:jc w:val="center"/>
        <w:rPr>
          <w:rFonts w:ascii="黑体" w:eastAsia="黑体"/>
          <w:color w:val="auto"/>
          <w:sz w:val="32"/>
          <w:szCs w:val="32"/>
          <w:highlight w:val="none"/>
        </w:rPr>
      </w:pP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1、为完成本项目投标人临时投入的设备</w:t>
      </w: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2、为完成本项目投标人投入的人员以及具体工作安排</w:t>
      </w: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3、投标人为本项目制定的具体项目实施方案与项目实施流程</w:t>
      </w: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4、售后服务方案</w:t>
      </w: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5、..........</w:t>
      </w:r>
    </w:p>
    <w:p>
      <w:pPr>
        <w:spacing w:after="0" w:line="360" w:lineRule="auto"/>
        <w:ind w:left="718" w:leftChars="200" w:hanging="298" w:hangingChars="142"/>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自行编写。</w:t>
      </w:r>
    </w:p>
    <w:p>
      <w:pPr>
        <w:spacing w:after="0" w:line="360" w:lineRule="auto"/>
        <w:ind w:left="718" w:leftChars="200" w:hanging="298" w:hangingChars="142"/>
        <w:rPr>
          <w:rFonts w:ascii="宋体" w:hAnsi="宋体" w:eastAsia="宋体"/>
          <w:color w:val="auto"/>
          <w:sz w:val="21"/>
          <w:szCs w:val="21"/>
          <w:highlight w:val="none"/>
        </w:rPr>
      </w:pPr>
    </w:p>
    <w:p>
      <w:pPr>
        <w:spacing w:after="0" w:line="360" w:lineRule="auto"/>
        <w:ind w:left="718" w:leftChars="200" w:hanging="298" w:hangingChars="142"/>
        <w:rPr>
          <w:rFonts w:ascii="宋体" w:hAnsi="宋体" w:eastAsia="宋体"/>
          <w:color w:val="auto"/>
          <w:sz w:val="21"/>
          <w:szCs w:val="21"/>
          <w:highlight w:val="none"/>
        </w:rPr>
      </w:pP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56" w:name="_Toc8596"/>
      <w:r>
        <w:rPr>
          <w:rFonts w:hint="eastAsia" w:ascii="宋体" w:hAnsi="宋体" w:eastAsia="宋体"/>
          <w:color w:val="auto"/>
          <w:sz w:val="21"/>
          <w:szCs w:val="21"/>
          <w:highlight w:val="none"/>
        </w:rPr>
        <w:t>附件15. 实施本项目的有关人员资料表格式</w:t>
      </w:r>
      <w:bookmarkEnd w:id="156"/>
    </w:p>
    <w:p>
      <w:pPr>
        <w:jc w:val="center"/>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实施本项目的有关人员资料表</w:t>
      </w:r>
    </w:p>
    <w:tbl>
      <w:tblPr>
        <w:tblStyle w:val="21"/>
        <w:tblW w:w="7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22"/>
        <w:gridCol w:w="1392"/>
        <w:gridCol w:w="763"/>
        <w:gridCol w:w="708"/>
        <w:gridCol w:w="851"/>
        <w:gridCol w:w="850"/>
        <w:gridCol w:w="78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82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姓名</w:t>
            </w:r>
          </w:p>
        </w:tc>
        <w:tc>
          <w:tcPr>
            <w:tcW w:w="139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本项目拟任岗位</w:t>
            </w:r>
          </w:p>
        </w:tc>
        <w:tc>
          <w:tcPr>
            <w:tcW w:w="763"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性别</w:t>
            </w:r>
          </w:p>
        </w:tc>
        <w:tc>
          <w:tcPr>
            <w:tcW w:w="70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年龄</w:t>
            </w:r>
          </w:p>
        </w:tc>
        <w:tc>
          <w:tcPr>
            <w:tcW w:w="851"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技术职称</w:t>
            </w:r>
          </w:p>
        </w:tc>
        <w:tc>
          <w:tcPr>
            <w:tcW w:w="85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专 业</w:t>
            </w:r>
          </w:p>
        </w:tc>
        <w:tc>
          <w:tcPr>
            <w:tcW w:w="78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资质证书</w:t>
            </w:r>
          </w:p>
        </w:tc>
        <w:tc>
          <w:tcPr>
            <w:tcW w:w="1090" w:type="dxa"/>
            <w:tcBorders>
              <w:right w:val="single" w:color="auto" w:sz="6" w:space="0"/>
            </w:tcBorders>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bl>
    <w:p>
      <w:pPr>
        <w:ind w:firstLine="178" w:firstLineChars="85"/>
        <w:rPr>
          <w:rFonts w:ascii="宋体" w:hAnsi="宋体" w:eastAsia="宋体"/>
          <w:color w:val="auto"/>
          <w:sz w:val="21"/>
          <w:szCs w:val="21"/>
          <w:highlight w:val="none"/>
        </w:rPr>
      </w:pP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附有关证明文件（复印件加盖公章）</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31"/>
        <w:numPr>
          <w:ilvl w:val="0"/>
          <w:numId w:val="14"/>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投标人可按项目的实际需要或招标文件的要求提供本表格。</w:t>
      </w:r>
    </w:p>
    <w:p>
      <w:pPr>
        <w:pStyle w:val="31"/>
        <w:numPr>
          <w:ilvl w:val="0"/>
          <w:numId w:val="14"/>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31"/>
        <w:numPr>
          <w:ilvl w:val="0"/>
          <w:numId w:val="14"/>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如本项目不涉及此表内容，则无需提供此表。</w:t>
      </w: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57" w:name="_Toc21598"/>
      <w:r>
        <w:rPr>
          <w:rFonts w:hint="eastAsia" w:ascii="宋体" w:hAnsi="宋体" w:eastAsia="宋体"/>
          <w:color w:val="auto"/>
          <w:sz w:val="21"/>
          <w:szCs w:val="21"/>
          <w:highlight w:val="none"/>
        </w:rPr>
        <w:t>附件16.投标货物说明一览表格式</w:t>
      </w:r>
      <w:bookmarkEnd w:id="157"/>
    </w:p>
    <w:p>
      <w:pPr>
        <w:jc w:val="center"/>
        <w:rPr>
          <w:rFonts w:ascii="黑体" w:eastAsia="黑体"/>
          <w:color w:val="auto"/>
          <w:sz w:val="28"/>
          <w:szCs w:val="28"/>
          <w:highlight w:val="none"/>
        </w:rPr>
      </w:pPr>
    </w:p>
    <w:p>
      <w:pPr>
        <w:jc w:val="center"/>
        <w:rPr>
          <w:rFonts w:ascii="黑体" w:eastAsia="黑体" w:cs="Times New Roman"/>
          <w:color w:val="auto"/>
          <w:sz w:val="28"/>
          <w:szCs w:val="28"/>
          <w:highlight w:val="none"/>
        </w:rPr>
      </w:pPr>
      <w:r>
        <w:rPr>
          <w:rFonts w:hint="eastAsia" w:ascii="黑体" w:eastAsia="黑体" w:cs="Times New Roman"/>
          <w:color w:val="auto"/>
          <w:sz w:val="28"/>
          <w:szCs w:val="28"/>
          <w:highlight w:val="none"/>
        </w:rPr>
        <w:t>投标货物说明一览表</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775"/>
        <w:gridCol w:w="1618"/>
        <w:gridCol w:w="1217"/>
        <w:gridCol w:w="1656"/>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序号</w:t>
            </w:r>
          </w:p>
        </w:tc>
        <w:tc>
          <w:tcPr>
            <w:tcW w:w="1775"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货物名称</w:t>
            </w:r>
          </w:p>
        </w:tc>
        <w:tc>
          <w:tcPr>
            <w:tcW w:w="1618"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规格型号</w:t>
            </w:r>
          </w:p>
        </w:tc>
        <w:tc>
          <w:tcPr>
            <w:tcW w:w="1217"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数量</w:t>
            </w:r>
          </w:p>
        </w:tc>
        <w:tc>
          <w:tcPr>
            <w:tcW w:w="1656"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单价</w:t>
            </w:r>
          </w:p>
        </w:tc>
        <w:tc>
          <w:tcPr>
            <w:tcW w:w="1305"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bl>
    <w:p>
      <w:pPr>
        <w:spacing w:after="0"/>
        <w:rPr>
          <w:rFonts w:ascii="宋体" w:hAnsi="宋体" w:eastAsia="宋体" w:cs="Times New Roman"/>
          <w:color w:val="auto"/>
          <w:sz w:val="21"/>
          <w:szCs w:val="21"/>
          <w:highlight w:val="none"/>
        </w:rPr>
      </w:pP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投标人代表签字：</w:t>
      </w: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投标人盖章：</w:t>
      </w:r>
    </w:p>
    <w:p>
      <w:pPr>
        <w:rPr>
          <w:rFonts w:ascii="宋体" w:hAnsi="宋体" w:eastAsia="宋体" w:cs="Times New Roman"/>
          <w:color w:val="auto"/>
          <w:sz w:val="21"/>
          <w:szCs w:val="21"/>
          <w:highlight w:val="none"/>
        </w:rPr>
      </w:pP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注：</w:t>
      </w:r>
    </w:p>
    <w:p>
      <w:pPr>
        <w:pStyle w:val="31"/>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1、投标人可按项目的实际需要提供本表格。</w:t>
      </w:r>
    </w:p>
    <w:p>
      <w:pPr>
        <w:pStyle w:val="31"/>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2、该表格为参考格式，投标人可按实际情况自行制订。</w:t>
      </w:r>
    </w:p>
    <w:p>
      <w:pPr>
        <w:pStyle w:val="31"/>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3、如本项目不涉及此表内容，则无需提供此表。</w:t>
      </w: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楷体_GB2312" w:eastAsia="楷体_GB2312"/>
          <w:color w:val="auto"/>
          <w:sz w:val="24"/>
          <w:highlight w:val="none"/>
        </w:rPr>
      </w:pPr>
      <w:bookmarkStart w:id="158" w:name="_Toc10094"/>
      <w:bookmarkStart w:id="159" w:name="_Toc21223"/>
      <w:bookmarkStart w:id="160" w:name="_Toc417907703"/>
      <w:r>
        <w:rPr>
          <w:rFonts w:hint="eastAsia" w:ascii="宋体" w:hAnsi="宋体" w:eastAsia="宋体"/>
          <w:color w:val="auto"/>
          <w:sz w:val="21"/>
          <w:szCs w:val="21"/>
          <w:highlight w:val="none"/>
        </w:rPr>
        <w:t>附件17.在经营活动中没有重大违法记录的书面声明格式</w:t>
      </w:r>
      <w:bookmarkEnd w:id="158"/>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投标人在参与政府采购活动前三年未有重大违法记录、没有不良信用记录的声明函</w:t>
      </w:r>
    </w:p>
    <w:p>
      <w:pPr>
        <w:spacing w:after="0" w:line="360" w:lineRule="auto"/>
        <w:ind w:firstLine="420" w:firstLineChars="200"/>
        <w:rPr>
          <w:rFonts w:ascii="宋体" w:hAnsi="宋体" w:eastAsia="宋体" w:cs="宋体"/>
          <w:color w:val="auto"/>
          <w:sz w:val="21"/>
          <w:szCs w:val="21"/>
          <w:highlight w:val="none"/>
        </w:rPr>
      </w:pP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广东政通招标有限公司</w:t>
      </w:r>
      <w:r>
        <w:rPr>
          <w:rFonts w:hint="eastAsia" w:ascii="宋体" w:hAnsi="宋体" w:eastAsia="宋体" w:cs="宋体"/>
          <w:color w:val="auto"/>
          <w:sz w:val="21"/>
          <w:szCs w:val="21"/>
          <w:highlight w:val="none"/>
        </w:rPr>
        <w:t>：</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 xml:space="preserve">       （采购项目名称）</w:t>
      </w:r>
      <w:r>
        <w:rPr>
          <w:rFonts w:hint="eastAsia" w:ascii="宋体" w:hAnsi="宋体" w:eastAsia="宋体" w:cs="宋体"/>
          <w:color w:val="auto"/>
          <w:sz w:val="21"/>
          <w:szCs w:val="21"/>
          <w:highlight w:val="none"/>
        </w:rPr>
        <w:t>” （项目编号:）政府采购活动前三年内（设立不满三年的从设立之日计算），在经营活动中没有重大违法记录；至本项目提交投标文件截止时间止未被列入“信用中国”网站及“中国政府采购网”失信被执行人、重大税收违法案件当事人名单、政府采购严重违法失信行为记录名单。</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pPr>
        <w:spacing w:after="0" w:line="360" w:lineRule="auto"/>
        <w:ind w:firstLine="420" w:firstLineChars="200"/>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5"/>
        <w:widowControl w:val="0"/>
        <w:overflowPunct w:val="0"/>
        <w:spacing w:before="0" w:after="0" w:line="240" w:lineRule="auto"/>
        <w:rPr>
          <w:color w:val="auto"/>
          <w:highlight w:val="none"/>
        </w:rPr>
      </w:pPr>
      <w:r>
        <w:rPr>
          <w:rFonts w:hint="eastAsia" w:ascii="宋体" w:hAnsi="宋体" w:eastAsia="宋体"/>
          <w:color w:val="auto"/>
          <w:sz w:val="21"/>
          <w:szCs w:val="21"/>
          <w:highlight w:val="none"/>
        </w:rPr>
        <w:t>附件18. 中小企业声明函（投标人为中小企业时适用）</w:t>
      </w:r>
      <w:bookmarkEnd w:id="159"/>
      <w:bookmarkEnd w:id="160"/>
    </w:p>
    <w:p>
      <w:pPr>
        <w:jc w:val="center"/>
        <w:rPr>
          <w:rFonts w:ascii="微软雅黑" w:hAnsi="微软雅黑" w:cs="微软雅黑"/>
          <w:b/>
          <w:color w:val="auto"/>
          <w:sz w:val="28"/>
          <w:szCs w:val="28"/>
          <w:highlight w:val="none"/>
        </w:rPr>
      </w:pPr>
    </w:p>
    <w:p>
      <w:pPr>
        <w:jc w:val="center"/>
        <w:rPr>
          <w:rFonts w:hint="eastAsia" w:ascii="黑体" w:eastAsia="黑体"/>
          <w:color w:val="auto"/>
          <w:sz w:val="28"/>
          <w:szCs w:val="28"/>
          <w:highlight w:val="none"/>
          <w:lang w:eastAsia="zh-CN"/>
        </w:rPr>
      </w:pPr>
      <w:r>
        <w:rPr>
          <w:rFonts w:hint="eastAsia" w:ascii="黑体" w:eastAsia="黑体"/>
          <w:color w:val="auto"/>
          <w:sz w:val="28"/>
          <w:szCs w:val="28"/>
          <w:highlight w:val="none"/>
        </w:rPr>
        <w:t>中小企业声明函</w:t>
      </w:r>
      <w:r>
        <w:rPr>
          <w:rFonts w:hint="eastAsia" w:ascii="黑体" w:eastAsia="黑体"/>
          <w:color w:val="auto"/>
          <w:sz w:val="28"/>
          <w:szCs w:val="28"/>
          <w:highlight w:val="none"/>
          <w:lang w:eastAsia="zh-CN"/>
        </w:rPr>
        <w:t>（货物）</w:t>
      </w:r>
    </w:p>
    <w:p>
      <w:pPr>
        <w:keepNext w:val="0"/>
        <w:keepLines w:val="0"/>
        <w:pageBreakBefore w:val="0"/>
        <w:widowControl/>
        <w:kinsoku/>
        <w:wordWrap/>
        <w:overflowPunct/>
        <w:topLinePunct w:val="0"/>
        <w:autoSpaceDE/>
        <w:autoSpaceDN/>
        <w:bidi w:val="0"/>
        <w:adjustRightInd w:val="0"/>
        <w:snapToGrid w:val="0"/>
        <w:spacing w:line="360" w:lineRule="auto"/>
        <w:ind w:firstLine="630" w:firstLineChars="3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lang w:val="en-US" w:eastAsia="zh-CN"/>
        </w:rPr>
        <w:t>（单位名称）</w:t>
      </w:r>
      <w:r>
        <w:rPr>
          <w:rFonts w:hint="eastAsia" w:asciiTheme="minorEastAsia" w:hAnsiTheme="minorEastAsia" w:eastAsiaTheme="minorEastAsia" w:cstheme="minorEastAsia"/>
          <w:color w:val="auto"/>
          <w:sz w:val="21"/>
          <w:szCs w:val="21"/>
          <w:highlight w:val="none"/>
          <w:u w:val="none"/>
          <w:lang w:val="en-US" w:eastAsia="zh-CN"/>
        </w:rPr>
        <w:t>的</w:t>
      </w:r>
      <w:r>
        <w:rPr>
          <w:rFonts w:hint="eastAsia" w:asciiTheme="minorEastAsia" w:hAnsiTheme="minorEastAsia" w:eastAsiaTheme="minorEastAsia" w:cstheme="minorEastAsia"/>
          <w:color w:val="auto"/>
          <w:sz w:val="21"/>
          <w:szCs w:val="21"/>
          <w:highlight w:val="none"/>
          <w:u w:val="single"/>
          <w:lang w:val="en-US" w:eastAsia="zh-CN"/>
        </w:rPr>
        <w:t>（项目名称）</w:t>
      </w:r>
      <w:r>
        <w:rPr>
          <w:rFonts w:hint="eastAsia" w:asciiTheme="minorEastAsia" w:hAnsiTheme="minorEastAsia" w:eastAsiaTheme="minorEastAsia" w:cstheme="minorEastAsia"/>
          <w:color w:val="auto"/>
          <w:sz w:val="21"/>
          <w:szCs w:val="21"/>
          <w:highlight w:val="none"/>
          <w:u w:val="none"/>
          <w:lang w:val="en-US" w:eastAsia="zh-CN"/>
        </w:rPr>
        <w:t>采购活动，提供的货物全部由符合政策要求的中小企业制造。相关企业</w:t>
      </w:r>
      <w:r>
        <w:rPr>
          <w:rFonts w:hint="eastAsia" w:asciiTheme="minorEastAsia" w:hAnsiTheme="minorEastAsia" w:eastAsiaTheme="minorEastAsia" w:cstheme="minorEastAsia"/>
          <w:color w:val="auto"/>
          <w:sz w:val="21"/>
          <w:szCs w:val="21"/>
          <w:highlight w:val="none"/>
          <w:u w:val="single"/>
          <w:lang w:val="en-US" w:eastAsia="zh-CN"/>
        </w:rPr>
        <w:t>（含联合体中的中小企业、签订分包意向协议的中小企业）</w:t>
      </w:r>
      <w:r>
        <w:rPr>
          <w:rFonts w:hint="eastAsia" w:asciiTheme="minorEastAsia" w:hAnsiTheme="minorEastAsia" w:eastAsiaTheme="minorEastAsia" w:cstheme="minorEastAsia"/>
          <w:color w:val="auto"/>
          <w:sz w:val="21"/>
          <w:szCs w:val="21"/>
          <w:highlight w:val="none"/>
          <w:u w:val="none"/>
          <w:lang w:val="en-US" w:eastAsia="zh-CN"/>
        </w:rPr>
        <w:t>的具体情况如下：</w:t>
      </w:r>
    </w:p>
    <w:p>
      <w:pPr>
        <w:pStyle w:val="9"/>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1.</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；制造商为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w:t>
      </w:r>
      <w:r>
        <w:rPr>
          <w:rStyle w:val="27"/>
          <w:rFonts w:hint="eastAsia" w:asciiTheme="minorEastAsia" w:hAnsiTheme="minorEastAsia" w:eastAsiaTheme="minorEastAsia" w:cstheme="minorEastAsia"/>
          <w:color w:val="auto"/>
          <w:sz w:val="21"/>
          <w:szCs w:val="21"/>
          <w:highlight w:val="none"/>
          <w:u w:val="none"/>
          <w:lang w:val="en-US" w:eastAsia="zh-CN"/>
        </w:rPr>
        <w:footnoteReference w:id="0"/>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9"/>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2.</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；制造商为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9"/>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w:t>
      </w:r>
    </w:p>
    <w:p>
      <w:pPr>
        <w:pStyle w:val="9"/>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以上企业，不属于大企业的分支机构，不存在控股股东为大企业的情形，也不存在与大企业的负责人为同一人的情形。</w:t>
      </w:r>
    </w:p>
    <w:p>
      <w:pPr>
        <w:pStyle w:val="9"/>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本企业对上诉声明内容的真实性负责。如有虚假，将依法承担相应责任。</w:t>
      </w:r>
    </w:p>
    <w:p>
      <w:pPr>
        <w:pStyle w:val="9"/>
        <w:keepNext w:val="0"/>
        <w:keepLines w:val="0"/>
        <w:pageBreakBefore w:val="0"/>
        <w:widowControl/>
        <w:kinsoku/>
        <w:wordWrap w:val="0"/>
        <w:overflowPunct/>
        <w:topLinePunct w:val="0"/>
        <w:autoSpaceDE/>
        <w:autoSpaceDN/>
        <w:bidi w:val="0"/>
        <w:adjustRightInd w:val="0"/>
        <w:snapToGrid w:val="0"/>
        <w:spacing w:line="360" w:lineRule="auto"/>
        <w:ind w:left="0" w:leftChars="0" w:firstLine="480" w:firstLineChars="0"/>
        <w:jc w:val="right"/>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w:t>
      </w:r>
    </w:p>
    <w:p>
      <w:pPr>
        <w:pStyle w:val="9"/>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企业名称（盖章）：</w:t>
      </w:r>
    </w:p>
    <w:p>
      <w:pPr>
        <w:pStyle w:val="9"/>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color w:val="auto"/>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日期：</w:t>
      </w:r>
    </w:p>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br w:type="page"/>
      </w:r>
    </w:p>
    <w:p>
      <w:pPr>
        <w:jc w:val="center"/>
        <w:rPr>
          <w:rFonts w:hint="eastAsia" w:ascii="黑体" w:eastAsia="黑体"/>
          <w:color w:val="auto"/>
          <w:sz w:val="28"/>
          <w:szCs w:val="28"/>
          <w:highlight w:val="none"/>
          <w:lang w:eastAsia="zh-CN"/>
        </w:rPr>
      </w:pPr>
      <w:r>
        <w:rPr>
          <w:rFonts w:hint="eastAsia" w:ascii="黑体" w:eastAsia="黑体"/>
          <w:color w:val="auto"/>
          <w:sz w:val="28"/>
          <w:szCs w:val="28"/>
          <w:highlight w:val="none"/>
        </w:rPr>
        <w:t>中小企业声明函</w:t>
      </w:r>
      <w:r>
        <w:rPr>
          <w:rFonts w:hint="eastAsia" w:ascii="黑体" w:eastAsia="黑体"/>
          <w:color w:val="auto"/>
          <w:sz w:val="28"/>
          <w:szCs w:val="28"/>
          <w:highlight w:val="none"/>
          <w:lang w:eastAsia="zh-CN"/>
        </w:rPr>
        <w:t>（工程、服务）</w:t>
      </w:r>
    </w:p>
    <w:p>
      <w:pPr>
        <w:keepNext w:val="0"/>
        <w:keepLines w:val="0"/>
        <w:pageBreakBefore w:val="0"/>
        <w:widowControl/>
        <w:kinsoku/>
        <w:wordWrap/>
        <w:overflowPunct/>
        <w:topLinePunct w:val="0"/>
        <w:autoSpaceDE/>
        <w:autoSpaceDN/>
        <w:bidi w:val="0"/>
        <w:adjustRightInd w:val="0"/>
        <w:snapToGrid w:val="0"/>
        <w:spacing w:line="360" w:lineRule="auto"/>
        <w:ind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eastAsiaTheme="minorEastAsia"/>
          <w:color w:val="auto"/>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lang w:val="en-US" w:eastAsia="zh-CN"/>
        </w:rPr>
        <w:t>（单位名称）</w:t>
      </w:r>
      <w:r>
        <w:rPr>
          <w:rFonts w:hint="eastAsia" w:asciiTheme="minorEastAsia" w:hAnsiTheme="minorEastAsia" w:eastAsiaTheme="minorEastAsia" w:cstheme="minorEastAsia"/>
          <w:color w:val="auto"/>
          <w:sz w:val="21"/>
          <w:szCs w:val="21"/>
          <w:highlight w:val="none"/>
          <w:u w:val="none"/>
          <w:lang w:val="en-US" w:eastAsia="zh-CN"/>
        </w:rPr>
        <w:t>的</w:t>
      </w:r>
      <w:r>
        <w:rPr>
          <w:rFonts w:hint="eastAsia" w:asciiTheme="minorEastAsia" w:hAnsiTheme="minorEastAsia" w:eastAsiaTheme="minorEastAsia" w:cstheme="minorEastAsia"/>
          <w:color w:val="auto"/>
          <w:sz w:val="21"/>
          <w:szCs w:val="21"/>
          <w:highlight w:val="none"/>
          <w:u w:val="single"/>
          <w:lang w:val="en-US" w:eastAsia="zh-CN"/>
        </w:rPr>
        <w:t>（项目名称）</w:t>
      </w:r>
      <w:r>
        <w:rPr>
          <w:rFonts w:hint="eastAsia" w:asciiTheme="minorEastAsia" w:hAnsiTheme="minorEastAsia" w:eastAsiaTheme="minorEastAsia" w:cstheme="minorEastAsia"/>
          <w:color w:val="auto"/>
          <w:sz w:val="21"/>
          <w:szCs w:val="21"/>
          <w:highlight w:val="none"/>
          <w:u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pStyle w:val="9"/>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1.</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；承建（承接）企业为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w:t>
      </w:r>
      <w:r>
        <w:rPr>
          <w:rStyle w:val="27"/>
          <w:rFonts w:hint="eastAsia" w:asciiTheme="minorEastAsia" w:hAnsiTheme="minorEastAsia" w:eastAsiaTheme="minorEastAsia" w:cstheme="minorEastAsia"/>
          <w:color w:val="auto"/>
          <w:sz w:val="21"/>
          <w:szCs w:val="21"/>
          <w:highlight w:val="none"/>
          <w:u w:val="none"/>
          <w:lang w:val="en-US" w:eastAsia="zh-CN"/>
        </w:rPr>
        <w:footnoteReference w:id="1"/>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9"/>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2.</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；承建（承接）企业为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9"/>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w:t>
      </w:r>
    </w:p>
    <w:p>
      <w:pPr>
        <w:pStyle w:val="9"/>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以上企业，不属于大企业的分支机构，不存在控股股东为大企业的情形，也不存在与大企业的负责人为同一人的情形。</w:t>
      </w:r>
    </w:p>
    <w:p>
      <w:pPr>
        <w:pStyle w:val="9"/>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本企业对上诉声明内容的真实性负责。如有虚假，将依法承担相应责任。</w:t>
      </w:r>
    </w:p>
    <w:p>
      <w:pPr>
        <w:pStyle w:val="9"/>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left"/>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w:t>
      </w:r>
    </w:p>
    <w:p>
      <w:pPr>
        <w:pStyle w:val="9"/>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企业名称（盖章）：</w:t>
      </w:r>
    </w:p>
    <w:p>
      <w:pPr>
        <w:pStyle w:val="9"/>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color w:val="auto"/>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日期：</w:t>
      </w:r>
    </w:p>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br w:type="page"/>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1、投标人应根据</w:t>
      </w:r>
      <w:r>
        <w:rPr>
          <w:rFonts w:hint="eastAsia" w:ascii="宋体" w:hAnsi="宋体" w:eastAsia="宋体"/>
          <w:color w:val="auto"/>
          <w:sz w:val="21"/>
          <w:szCs w:val="21"/>
          <w:highlight w:val="none"/>
          <w:lang w:eastAsia="zh-CN"/>
        </w:rPr>
        <w:t>《政府采购促进中小企业发展管理办法》的通知（财库〔2020〕46号）</w:t>
      </w:r>
      <w:r>
        <w:rPr>
          <w:rFonts w:hint="eastAsia" w:ascii="宋体" w:hAnsi="宋体" w:eastAsia="宋体"/>
          <w:color w:val="auto"/>
          <w:sz w:val="21"/>
          <w:szCs w:val="21"/>
          <w:highlight w:val="none"/>
        </w:rPr>
        <w:t>的有关规定如实填写此表。（监狱企业视同小型、微型企业，监狱企业参加政府采购活动时，应当提供由省级以上监狱管理局、戒毒管理局(含新疆生产建设兵团)出具的属于监狱企业的证明文件）</w:t>
      </w:r>
    </w:p>
    <w:p>
      <w:pPr>
        <w:spacing w:after="0" w:line="480" w:lineRule="auto"/>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2、若投标人不属于规定的中小企业范围，或提供的产品不是中小企业制造的，则无需提供此表。</w:t>
      </w:r>
    </w:p>
    <w:p>
      <w:pPr>
        <w:spacing w:after="0" w:line="480" w:lineRule="auto"/>
        <w:ind w:firstLine="420" w:firstLineChars="200"/>
        <w:rPr>
          <w:rFonts w:ascii="楷体_GB2312" w:eastAsia="楷体_GB2312"/>
          <w:color w:val="auto"/>
          <w:sz w:val="24"/>
          <w:highlight w:val="none"/>
        </w:rPr>
      </w:pPr>
      <w:r>
        <w:rPr>
          <w:rFonts w:hint="eastAsia" w:ascii="宋体" w:hAnsi="宋体" w:eastAsia="宋体"/>
          <w:color w:val="auto"/>
          <w:sz w:val="21"/>
          <w:szCs w:val="21"/>
          <w:highlight w:val="none"/>
        </w:rPr>
        <w:t>3、投标人应该在《报价明细表》中单独列明属于小型和微型企业产品（货物、承担的工程或者服务）的报价，若投标人只提供《中小企业声明函》但未列明小型或微型企业产品的，在计算价格得分时不予以相应的扣除。</w:t>
      </w:r>
    </w:p>
    <w:p>
      <w:pPr>
        <w:rPr>
          <w:rFonts w:ascii="楷体_GB2312" w:eastAsia="楷体_GB2312"/>
          <w:color w:val="auto"/>
          <w:sz w:val="24"/>
          <w:highlight w:val="none"/>
        </w:rPr>
      </w:pP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5"/>
        <w:widowControl w:val="0"/>
        <w:overflowPunct w:val="0"/>
        <w:spacing w:before="0" w:after="0" w:line="240" w:lineRule="auto"/>
        <w:rPr>
          <w:rFonts w:ascii="楷体_GB2312" w:eastAsia="楷体_GB2312"/>
          <w:color w:val="auto"/>
          <w:sz w:val="24"/>
          <w:highlight w:val="none"/>
        </w:rPr>
      </w:pPr>
      <w:bookmarkStart w:id="161" w:name="_Toc28081"/>
      <w:r>
        <w:rPr>
          <w:rFonts w:hint="eastAsia" w:ascii="宋体" w:hAnsi="宋体" w:eastAsia="宋体"/>
          <w:color w:val="auto"/>
          <w:sz w:val="21"/>
          <w:szCs w:val="21"/>
          <w:highlight w:val="none"/>
        </w:rPr>
        <w:t>附件19.《残疾人福利性单位声明函》（残疾人福利性单位适用）</w:t>
      </w:r>
      <w:bookmarkEnd w:id="161"/>
    </w:p>
    <w:p>
      <w:pPr>
        <w:jc w:val="cente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残疾人福利性单位声明函</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本单位对上述声明的真实性负责。如有虚假，将依法承担相应责任。</w:t>
      </w:r>
    </w:p>
    <w:p>
      <w:pPr>
        <w:spacing w:after="0" w:line="480" w:lineRule="auto"/>
        <w:jc w:val="right"/>
        <w:rPr>
          <w:rFonts w:ascii="宋体" w:hAnsi="宋体" w:eastAsia="宋体"/>
          <w:color w:val="auto"/>
          <w:sz w:val="21"/>
          <w:szCs w:val="21"/>
          <w:highlight w:val="none"/>
        </w:rPr>
      </w:pP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单位名称（盖章）：</w:t>
      </w:r>
      <w:bookmarkStart w:id="162" w:name="_Toc17761"/>
      <w:bookmarkStart w:id="163" w:name="_Toc508960153"/>
      <w:bookmarkStart w:id="164" w:name="_Toc510171693"/>
      <w:bookmarkStart w:id="165" w:name="_Toc22970"/>
      <w:bookmarkStart w:id="166" w:name="_Toc20910"/>
      <w:bookmarkStart w:id="167" w:name="_Toc509844825"/>
      <w:bookmarkStart w:id="168" w:name="_Toc30277"/>
      <w:bookmarkStart w:id="169" w:name="_Toc508898066"/>
      <w:bookmarkStart w:id="170" w:name="_Toc508958703"/>
      <w:bookmarkStart w:id="171" w:name="_Toc30247"/>
      <w:bookmarkStart w:id="172" w:name="_Toc509927455"/>
      <w:bookmarkStart w:id="173" w:name="_Toc509479530"/>
    </w:p>
    <w:p>
      <w:pPr>
        <w:spacing w:after="0" w:line="480" w:lineRule="auto"/>
        <w:jc w:val="right"/>
        <w:rPr>
          <w:rFonts w:ascii="宋体" w:hAnsi="宋体" w:eastAsia="宋体"/>
          <w:color w:val="auto"/>
          <w:sz w:val="21"/>
          <w:szCs w:val="21"/>
          <w:highlight w:val="none"/>
        </w:rPr>
      </w:pP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日  期：</w:t>
      </w:r>
      <w:bookmarkEnd w:id="162"/>
      <w:bookmarkEnd w:id="163"/>
      <w:bookmarkEnd w:id="164"/>
      <w:bookmarkEnd w:id="165"/>
      <w:bookmarkEnd w:id="166"/>
      <w:bookmarkEnd w:id="167"/>
      <w:bookmarkEnd w:id="168"/>
      <w:bookmarkEnd w:id="169"/>
      <w:bookmarkEnd w:id="170"/>
      <w:bookmarkEnd w:id="171"/>
      <w:bookmarkEnd w:id="172"/>
      <w:bookmarkEnd w:id="173"/>
    </w:p>
    <w:p>
      <w:pPr>
        <w:pStyle w:val="9"/>
        <w:rPr>
          <w:color w:val="auto"/>
          <w:highlight w:val="none"/>
        </w:rPr>
      </w:pPr>
    </w:p>
    <w:p>
      <w:pPr>
        <w:spacing w:after="0" w:line="480" w:lineRule="auto"/>
        <w:ind w:firstLine="420" w:firstLineChars="200"/>
        <w:rPr>
          <w:rFonts w:ascii="宋体" w:hAnsi="宋体" w:eastAsia="宋体"/>
          <w:color w:val="auto"/>
          <w:sz w:val="21"/>
          <w:szCs w:val="21"/>
          <w:highlight w:val="none"/>
        </w:rPr>
      </w:pPr>
      <w:bookmarkStart w:id="174" w:name="_Toc508960154"/>
      <w:bookmarkStart w:id="175" w:name="_Toc509479531"/>
      <w:bookmarkStart w:id="176" w:name="_Toc31520"/>
      <w:bookmarkStart w:id="177" w:name="_Toc21053"/>
      <w:bookmarkStart w:id="178" w:name="_Toc510171694"/>
      <w:bookmarkStart w:id="179" w:name="_Toc508898067"/>
      <w:bookmarkStart w:id="180" w:name="_Toc508958704"/>
      <w:bookmarkStart w:id="181" w:name="_Toc28527"/>
      <w:bookmarkStart w:id="182" w:name="_Toc509927456"/>
      <w:bookmarkStart w:id="183" w:name="_Toc26216"/>
      <w:bookmarkStart w:id="184" w:name="_Toc5447"/>
      <w:bookmarkStart w:id="185" w:name="_Toc509844826"/>
      <w:r>
        <w:rPr>
          <w:rFonts w:hint="eastAsia" w:ascii="宋体" w:hAnsi="宋体" w:eastAsia="宋体"/>
          <w:color w:val="auto"/>
          <w:sz w:val="21"/>
          <w:szCs w:val="21"/>
          <w:highlight w:val="none"/>
        </w:rPr>
        <w:t>注：（1）符合《财政部 民政部 中国残疾人联合会关于促进残疾人就业政府采购政策的通知》（财库〔2017〕 141号）规定条件的残疾人福利性单位应当提供《残疾人福利性单位声明函》。</w:t>
      </w:r>
      <w:bookmarkEnd w:id="174"/>
      <w:bookmarkEnd w:id="175"/>
      <w:bookmarkEnd w:id="176"/>
      <w:bookmarkEnd w:id="177"/>
      <w:bookmarkEnd w:id="178"/>
      <w:bookmarkEnd w:id="179"/>
      <w:bookmarkEnd w:id="180"/>
      <w:bookmarkEnd w:id="181"/>
      <w:bookmarkEnd w:id="182"/>
      <w:bookmarkEnd w:id="183"/>
      <w:bookmarkEnd w:id="184"/>
      <w:bookmarkEnd w:id="185"/>
    </w:p>
    <w:p>
      <w:pPr>
        <w:spacing w:after="0" w:line="480" w:lineRule="auto"/>
        <w:ind w:firstLine="420" w:firstLineChars="200"/>
        <w:rPr>
          <w:rFonts w:ascii="宋体" w:hAnsi="宋体" w:eastAsia="宋体"/>
          <w:color w:val="auto"/>
          <w:sz w:val="21"/>
          <w:szCs w:val="21"/>
          <w:highlight w:val="none"/>
        </w:rPr>
      </w:pPr>
      <w:bookmarkStart w:id="186" w:name="_Toc509479532"/>
      <w:bookmarkStart w:id="187" w:name="_Toc28626"/>
      <w:bookmarkStart w:id="188" w:name="_Toc28126"/>
      <w:bookmarkStart w:id="189" w:name="_Toc510171695"/>
      <w:bookmarkStart w:id="190" w:name="_Toc9148"/>
      <w:bookmarkStart w:id="191" w:name="_Toc509844827"/>
      <w:bookmarkStart w:id="192" w:name="_Toc508958705"/>
      <w:bookmarkStart w:id="193" w:name="_Toc508898068"/>
      <w:bookmarkStart w:id="194" w:name="_Toc24848"/>
      <w:bookmarkStart w:id="195" w:name="_Toc508960155"/>
      <w:bookmarkStart w:id="196" w:name="_Toc14653"/>
      <w:bookmarkStart w:id="197" w:name="_Toc509927457"/>
      <w:r>
        <w:rPr>
          <w:rFonts w:hint="eastAsia" w:ascii="宋体" w:hAnsi="宋体" w:eastAsia="宋体"/>
          <w:color w:val="auto"/>
          <w:sz w:val="21"/>
          <w:szCs w:val="21"/>
          <w:highlight w:val="none"/>
        </w:rPr>
        <w:t>（2）中标人为残疾人福利性单位的，采购代理机构将随中标结果同时公告其《残疾人福利性单位声明函》，接受社会监督。</w:t>
      </w:r>
      <w:bookmarkEnd w:id="186"/>
      <w:bookmarkEnd w:id="187"/>
      <w:bookmarkEnd w:id="188"/>
      <w:bookmarkEnd w:id="189"/>
      <w:bookmarkEnd w:id="190"/>
      <w:bookmarkEnd w:id="191"/>
      <w:bookmarkEnd w:id="192"/>
      <w:bookmarkEnd w:id="193"/>
      <w:bookmarkEnd w:id="194"/>
      <w:bookmarkEnd w:id="195"/>
      <w:bookmarkEnd w:id="196"/>
      <w:bookmarkEnd w:id="197"/>
    </w:p>
    <w:p>
      <w:pPr>
        <w:spacing w:after="0" w:line="480" w:lineRule="auto"/>
        <w:ind w:firstLine="420" w:firstLineChars="200"/>
        <w:rPr>
          <w:rFonts w:ascii="宋体" w:hAnsi="宋体" w:eastAsia="宋体"/>
          <w:color w:val="auto"/>
          <w:sz w:val="21"/>
          <w:szCs w:val="21"/>
          <w:highlight w:val="none"/>
        </w:rPr>
      </w:pPr>
      <w:bookmarkStart w:id="198" w:name="_Toc28044"/>
      <w:bookmarkStart w:id="199" w:name="_Toc9837"/>
      <w:bookmarkStart w:id="200" w:name="_Toc508898069"/>
      <w:bookmarkStart w:id="201" w:name="_Toc509479533"/>
      <w:bookmarkStart w:id="202" w:name="_Toc508960156"/>
      <w:bookmarkStart w:id="203" w:name="_Toc7858"/>
      <w:bookmarkStart w:id="204" w:name="_Toc509844828"/>
      <w:bookmarkStart w:id="205" w:name="_Toc22981"/>
      <w:bookmarkStart w:id="206" w:name="_Toc510171696"/>
      <w:bookmarkStart w:id="207" w:name="_Toc28686"/>
      <w:bookmarkStart w:id="208" w:name="_Toc508958706"/>
      <w:bookmarkStart w:id="209" w:name="_Toc509927458"/>
      <w:r>
        <w:rPr>
          <w:rFonts w:hint="eastAsia" w:ascii="宋体" w:hAnsi="宋体" w:eastAsia="宋体"/>
          <w:color w:val="auto"/>
          <w:sz w:val="21"/>
          <w:szCs w:val="21"/>
          <w:highlight w:val="none"/>
        </w:rPr>
        <w:t>（3）投标人提供的《残疾人福利性单位声明函》与事实不符的，依照《政府采购法》第七十七条第一款的规定追究法律责任。</w:t>
      </w:r>
      <w:bookmarkEnd w:id="198"/>
      <w:bookmarkEnd w:id="199"/>
      <w:bookmarkEnd w:id="200"/>
      <w:bookmarkEnd w:id="201"/>
      <w:bookmarkEnd w:id="202"/>
      <w:bookmarkEnd w:id="203"/>
      <w:bookmarkEnd w:id="204"/>
      <w:bookmarkEnd w:id="205"/>
      <w:bookmarkEnd w:id="206"/>
      <w:bookmarkEnd w:id="207"/>
      <w:bookmarkEnd w:id="208"/>
      <w:bookmarkEnd w:id="209"/>
    </w:p>
    <w:p>
      <w:pPr>
        <w:spacing w:after="0" w:line="480" w:lineRule="auto"/>
        <w:ind w:firstLine="420" w:firstLineChars="200"/>
        <w:rPr>
          <w:rFonts w:ascii="宋体" w:hAnsi="宋体" w:eastAsia="宋体"/>
          <w:color w:val="auto"/>
          <w:sz w:val="21"/>
          <w:szCs w:val="21"/>
          <w:highlight w:val="none"/>
        </w:rPr>
      </w:pPr>
      <w:bookmarkStart w:id="210" w:name="_Toc509844829"/>
      <w:bookmarkStart w:id="211" w:name="_Toc509927459"/>
      <w:bookmarkStart w:id="212" w:name="_Toc510171697"/>
      <w:bookmarkStart w:id="213" w:name="_Toc508960157"/>
      <w:bookmarkStart w:id="214" w:name="_Toc508898070"/>
      <w:bookmarkStart w:id="215" w:name="_Toc509479534"/>
      <w:bookmarkStart w:id="216" w:name="_Toc508958707"/>
      <w:bookmarkStart w:id="217" w:name="_Toc5289"/>
      <w:bookmarkStart w:id="218" w:name="_Toc18843"/>
      <w:r>
        <w:rPr>
          <w:rFonts w:hint="eastAsia" w:ascii="宋体" w:hAnsi="宋体" w:eastAsia="宋体"/>
          <w:color w:val="auto"/>
          <w:sz w:val="21"/>
          <w:szCs w:val="21"/>
          <w:highlight w:val="none"/>
        </w:rPr>
        <w:t>（4）残疾人福利性单位视同小型、微型企业，享受评审中价格扣除。残疾人福利性单位属于小型、微型企业的，不重复享受政策。</w:t>
      </w:r>
      <w:bookmarkEnd w:id="210"/>
      <w:bookmarkEnd w:id="211"/>
      <w:bookmarkEnd w:id="212"/>
      <w:bookmarkEnd w:id="213"/>
      <w:bookmarkEnd w:id="214"/>
      <w:bookmarkEnd w:id="215"/>
      <w:bookmarkEnd w:id="216"/>
      <w:bookmarkEnd w:id="217"/>
      <w:bookmarkEnd w:id="218"/>
    </w:p>
    <w:p>
      <w:pPr>
        <w:spacing w:after="0" w:line="480" w:lineRule="auto"/>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（5）若投标人不属于规定的残疾人福利性单位，或提供的产品不是残疾人福利单位制造的，则无需提供此表。</w:t>
      </w:r>
    </w:p>
    <w:p>
      <w:pPr>
        <w:adjustRightInd/>
        <w:snapToGrid/>
        <w:spacing w:line="276"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br w:type="page"/>
      </w:r>
    </w:p>
    <w:p>
      <w:pPr>
        <w:pStyle w:val="5"/>
        <w:widowControl w:val="0"/>
        <w:overflowPunct w:val="0"/>
        <w:spacing w:before="0" w:after="0" w:line="240" w:lineRule="auto"/>
        <w:rPr>
          <w:color w:val="auto"/>
          <w:highlight w:val="none"/>
        </w:rPr>
      </w:pPr>
      <w:bookmarkStart w:id="219" w:name="_Toc25634"/>
      <w:r>
        <w:rPr>
          <w:rFonts w:hint="eastAsia" w:ascii="宋体" w:hAnsi="宋体" w:eastAsia="宋体"/>
          <w:color w:val="auto"/>
          <w:sz w:val="21"/>
          <w:szCs w:val="21"/>
          <w:highlight w:val="none"/>
        </w:rPr>
        <w:t>附件20. 投标保证金汇入情况说明格式</w:t>
      </w:r>
      <w:bookmarkEnd w:id="219"/>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投标保证金汇入情况说明</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color w:val="auto"/>
          <w:sz w:val="21"/>
          <w:szCs w:val="21"/>
          <w:highlight w:val="none"/>
          <w:lang w:eastAsia="zh-CN"/>
        </w:rPr>
        <w:t>广东政通招标有限公司</w:t>
      </w:r>
      <w:r>
        <w:rPr>
          <w:rFonts w:hint="eastAsia" w:ascii="宋体" w:hAnsi="宋体" w:eastAsia="宋体"/>
          <w:color w:val="auto"/>
          <w:sz w:val="21"/>
          <w:szCs w:val="21"/>
          <w:highlight w:val="none"/>
        </w:rPr>
        <w:t>：</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本单位已按项目包（采购项目编号：）的招标文件要求，于年月日前以</w:t>
      </w:r>
      <w:r>
        <w:rPr>
          <w:rFonts w:hint="eastAsia" w:ascii="宋体" w:hAnsi="宋体" w:eastAsia="宋体"/>
          <w:color w:val="auto"/>
          <w:sz w:val="21"/>
          <w:szCs w:val="21"/>
          <w:highlight w:val="none"/>
          <w:u w:val="single"/>
        </w:rPr>
        <w:t xml:space="preserve">           （付款形式）</w:t>
      </w:r>
      <w:r>
        <w:rPr>
          <w:rFonts w:hint="eastAsia" w:ascii="宋体" w:hAnsi="宋体" w:eastAsia="宋体"/>
          <w:color w:val="auto"/>
          <w:sz w:val="21"/>
          <w:szCs w:val="21"/>
          <w:highlight w:val="none"/>
        </w:rPr>
        <w:t>方式汇入指定帐户（帐户名称：，帐号： ,开户银行：）。</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本单位投标保证金的汇款情况：（详见附件－投标保证金进帐单）</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汇出时间：年月日；</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汇款金额：（大写）人民币元（小写：￥元），</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汇款帐户名称：</w:t>
      </w:r>
      <w:r>
        <w:rPr>
          <w:rFonts w:hint="eastAsia" w:ascii="宋体" w:hAnsi="宋体" w:eastAsia="宋体"/>
          <w:color w:val="auto"/>
          <w:sz w:val="21"/>
          <w:szCs w:val="21"/>
          <w:highlight w:val="none"/>
          <w:u w:val="single"/>
        </w:rPr>
        <w:t xml:space="preserve">  （必须是投标时使用的帐户名）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帐        号：</w:t>
      </w:r>
      <w:r>
        <w:rPr>
          <w:rFonts w:hint="eastAsia" w:ascii="宋体" w:hAnsi="宋体" w:eastAsia="宋体"/>
          <w:color w:val="auto"/>
          <w:sz w:val="21"/>
          <w:szCs w:val="21"/>
          <w:highlight w:val="none"/>
          <w:u w:val="single"/>
        </w:rPr>
        <w:t xml:space="preserve">  （必须是投标时使用的帐号）     </w:t>
      </w:r>
    </w:p>
    <w:p>
      <w:pPr>
        <w:spacing w:after="0" w:line="480" w:lineRule="auto"/>
        <w:ind w:firstLine="420" w:firstLineChars="200"/>
        <w:rPr>
          <w:rFonts w:ascii="宋体" w:hAnsi="宋体" w:eastAsia="宋体"/>
          <w:color w:val="auto"/>
          <w:sz w:val="21"/>
          <w:szCs w:val="21"/>
          <w:highlight w:val="none"/>
          <w:u w:val="single"/>
        </w:rPr>
      </w:pPr>
      <w:r>
        <w:rPr>
          <w:rFonts w:hint="eastAsia" w:ascii="宋体" w:hAnsi="宋体" w:eastAsia="宋体"/>
          <w:color w:val="auto"/>
          <w:sz w:val="21"/>
          <w:szCs w:val="21"/>
          <w:highlight w:val="none"/>
        </w:rPr>
        <w:t>开 户  银 行：</w:t>
      </w:r>
      <w:r>
        <w:rPr>
          <w:rFonts w:hint="eastAsia" w:ascii="宋体" w:hAnsi="宋体" w:eastAsia="宋体"/>
          <w:color w:val="auto"/>
          <w:sz w:val="21"/>
          <w:szCs w:val="21"/>
          <w:highlight w:val="none"/>
          <w:u w:val="single"/>
        </w:rPr>
        <w:t xml:space="preserve">  （      银行   分行  支行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本单位谨承诺上述资料是正确、真实的，如因上述证明与事实不符导致的一切损失，本单位保证承担赔偿等一切法律责任。</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投标保证金退回时，请按上述资料退回。</w:t>
      </w:r>
    </w:p>
    <w:p>
      <w:pPr>
        <w:spacing w:after="0" w:line="480" w:lineRule="auto"/>
        <w:ind w:right="844" w:rightChars="402"/>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（单位公章）</w:t>
      </w:r>
    </w:p>
    <w:p>
      <w:pPr>
        <w:spacing w:after="0" w:line="480" w:lineRule="auto"/>
        <w:ind w:right="628" w:rightChars="299"/>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单位名称：</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单位地址：</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联系人：</w:t>
      </w:r>
    </w:p>
    <w:p>
      <w:pPr>
        <w:spacing w:after="0" w:line="48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单位电话： </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联系人手机：</w:t>
      </w:r>
    </w:p>
    <w:p>
      <w:pPr>
        <w:spacing w:after="0"/>
        <w:rPr>
          <w:rFonts w:ascii="宋体" w:hAnsi="宋体" w:eastAsia="宋体"/>
          <w:color w:val="auto"/>
          <w:sz w:val="21"/>
          <w:szCs w:val="21"/>
          <w:highlight w:val="none"/>
        </w:rPr>
      </w:pP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附：我方投标保证金汇款凭证</w:t>
      </w:r>
    </w:p>
    <w:tbl>
      <w:tblPr>
        <w:tblStyle w:val="2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pPr>
              <w:tabs>
                <w:tab w:val="left" w:pos="3885"/>
              </w:tabs>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（粘贴汇款单或转账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复印件，并在骑缝上加盖投标人公章，或是直接把转账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复印到此张纸上）</w:t>
            </w:r>
          </w:p>
        </w:tc>
      </w:tr>
    </w:tbl>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注：此表既要装订在投标文件中，又要按投标人须知的规定与开标一览表、投标保证金汇款底单复印件及授权委托书一同密封装入开标文件，开标文件单独提交。</w:t>
      </w:r>
    </w:p>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220" w:name="_Toc4363"/>
      <w:r>
        <w:rPr>
          <w:rFonts w:hint="eastAsia" w:ascii="宋体" w:hAnsi="宋体" w:eastAsia="宋体"/>
          <w:color w:val="auto"/>
          <w:sz w:val="21"/>
          <w:szCs w:val="21"/>
          <w:highlight w:val="none"/>
        </w:rPr>
        <w:t>附件21.政府采购投标担保函</w:t>
      </w:r>
      <w:bookmarkEnd w:id="220"/>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政府采购投标担保函</w:t>
      </w:r>
    </w:p>
    <w:p>
      <w:pPr>
        <w:wordWrap w:val="0"/>
        <w:jc w:val="right"/>
        <w:rPr>
          <w:rFonts w:ascii="仿宋_GB2312" w:eastAsia="仿宋_GB2312"/>
          <w:color w:val="auto"/>
          <w:sz w:val="32"/>
          <w:szCs w:val="32"/>
          <w:highlight w:val="none"/>
        </w:rPr>
      </w:pPr>
      <w:r>
        <w:rPr>
          <w:rFonts w:hint="eastAsia" w:ascii="黑体" w:eastAsia="黑体"/>
          <w:color w:val="auto"/>
          <w:sz w:val="28"/>
          <w:szCs w:val="28"/>
          <w:highlight w:val="none"/>
        </w:rPr>
        <w:t xml:space="preserve"> 编号：</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（采购人或采购代理机构）：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鉴于（以下简称“投标人”）拟参加编号为</w:t>
      </w:r>
      <w:r>
        <w:rPr>
          <w:rFonts w:hint="eastAsia" w:ascii="宋体" w:hAnsi="宋体" w:eastAsia="宋体" w:cs="宋体"/>
          <w:color w:val="auto"/>
          <w:sz w:val="21"/>
          <w:szCs w:val="21"/>
          <w:highlight w:val="none"/>
          <w:u w:val="single"/>
        </w:rPr>
        <w:t xml:space="preserve">            的</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spacing w:after="0" w:line="48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（一）在投标人出现下列情形之一时，我方承担保证责任：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1．中标后投标人无正当理由不与采购人或者采购代理机构签订《政府采购合同》；</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2．招标文件规定的投标人应当缴纳保证金的其他情形。</w:t>
      </w:r>
    </w:p>
    <w:p>
      <w:pPr>
        <w:spacing w:after="0" w:line="48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（二）我方承担保证责任的最高金额为人民币元（大写），即本项目的投标保证金金额。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我方的保证期间为：自本保函生效之日起个月止。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2．我方在收到索赔通知及相关证明材料后，在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个工作日内进行审查，符合应承担保证责任情形的，我方应按照你方的要求代投标人向你方支付投标保证金。</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2．我方按照本保函向你贵方履行了保证责任后，自我方向你贵方支付款项（支付款项从我方账户划出）之日起，保证责任终止。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3．按照法律法规的规定或出现我方保证责任终止的其它情形的，我方在本保函项下的保证责任亦终止。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1．依照法律规定或你方与投标人的另行约定，全部或者部分免除投标人投标保证金义务时，我方亦免除相应的保证责任。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2．因你方原因致使投标人发生本保函第一条第（一）款约定情形的，我方不承担保证责任。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3．因不可抗力造成投标人发生本保函第一条约定情形的，我方不承担保证责任。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4．你方或其他有权机关对招标文件进行任何澄清或修改，加重我方保证责任的，我方对加重部分不承担保证责任，但该澄清或修改经我方事先书面同意的除外。</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因本保函发生的纠纷，由你我双方协商解决，协商不成的，通过诉讼程序解决，诉讼管辖地法院为法院。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spacing w:after="0" w:line="480" w:lineRule="auto"/>
        <w:jc w:val="right"/>
        <w:rPr>
          <w:rFonts w:ascii="宋体" w:hAnsi="宋体" w:eastAsia="宋体" w:cs="宋体"/>
          <w:color w:val="auto"/>
          <w:sz w:val="21"/>
          <w:szCs w:val="21"/>
          <w:highlight w:val="none"/>
        </w:rPr>
      </w:pP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spacing w:after="0"/>
        <w:rPr>
          <w:rFonts w:ascii="宋体" w:hAnsi="宋体" w:eastAsia="宋体"/>
          <w:color w:val="auto"/>
          <w:sz w:val="21"/>
          <w:szCs w:val="21"/>
          <w:highlight w:val="none"/>
        </w:rPr>
      </w:pP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（1）若投标人不以投标担保函形式提交投标保证金，则无需在投标文件中提供此格式。</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（2）若投标人以投标担保函形式提交投标保证金，则应将投标担保函原件交予采购代理机构。</w:t>
      </w:r>
    </w:p>
    <w:p>
      <w:pPr>
        <w:spacing w:after="0"/>
        <w:rPr>
          <w:rFonts w:ascii="黑体" w:eastAsia="黑体"/>
          <w:color w:val="auto"/>
          <w:sz w:val="30"/>
          <w:szCs w:val="30"/>
          <w:highlight w:val="none"/>
        </w:rPr>
      </w:pPr>
      <w:r>
        <w:rPr>
          <w:rFonts w:hint="eastAsia" w:ascii="宋体" w:hAnsi="宋体" w:eastAsia="宋体"/>
          <w:color w:val="auto"/>
          <w:sz w:val="21"/>
          <w:szCs w:val="21"/>
          <w:highlight w:val="none"/>
        </w:rPr>
        <w:br w:type="page"/>
      </w:r>
      <w:bookmarkStart w:id="221" w:name="_Toc27534"/>
      <w:r>
        <w:rPr>
          <w:rStyle w:val="32"/>
          <w:rFonts w:hint="eastAsia" w:ascii="宋体" w:hAnsi="宋体" w:eastAsia="宋体" w:cs="宋体"/>
          <w:color w:val="auto"/>
          <w:sz w:val="21"/>
          <w:szCs w:val="21"/>
          <w:highlight w:val="none"/>
        </w:rPr>
        <w:t>附件22.政府采购履约担保函</w:t>
      </w:r>
      <w:bookmarkEnd w:id="221"/>
    </w:p>
    <w:p>
      <w:pPr>
        <w:jc w:val="center"/>
        <w:rPr>
          <w:rFonts w:ascii="黑体" w:eastAsia="黑体"/>
          <w:color w:val="auto"/>
          <w:sz w:val="28"/>
          <w:szCs w:val="28"/>
          <w:highlight w:val="none"/>
        </w:rPr>
      </w:pPr>
      <w:r>
        <w:rPr>
          <w:rFonts w:hint="eastAsia" w:ascii="黑体" w:eastAsia="黑体"/>
          <w:color w:val="auto"/>
          <w:sz w:val="28"/>
          <w:szCs w:val="28"/>
          <w:highlight w:val="none"/>
        </w:rPr>
        <w:t>政府采购履约担保函</w:t>
      </w:r>
    </w:p>
    <w:p>
      <w:pPr>
        <w:wordWrap w:val="0"/>
        <w:jc w:val="right"/>
        <w:rPr>
          <w:rFonts w:ascii="仿宋_GB2312" w:eastAsia="仿宋_GB2312"/>
          <w:color w:val="auto"/>
          <w:sz w:val="32"/>
          <w:szCs w:val="32"/>
          <w:highlight w:val="none"/>
        </w:rPr>
      </w:pPr>
      <w:r>
        <w:rPr>
          <w:rFonts w:hint="eastAsia" w:ascii="黑体" w:eastAsia="黑体"/>
          <w:color w:val="auto"/>
          <w:sz w:val="28"/>
          <w:szCs w:val="28"/>
          <w:highlight w:val="none"/>
        </w:rPr>
        <w:t xml:space="preserve">编号：  </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鉴于你方与（以下简称供应商）于年月日签定编号为   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（一）在供应商出现下列情形之一时，我方承担保证责任：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1．将中标项目转让给他人，或者在投标文件中未说明，且未经采购招标机构人同意，将中标项目分包给他人的；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2．主合同约定的应当缴纳履约保证金的情形: </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（1）未按主合同约定的质量、数量和期限供应货物/提供服务/完成工程的；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pPr>
        <w:spacing w:after="0" w:line="480" w:lineRule="auto"/>
        <w:ind w:right="-1233" w:rightChars="-587"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（二）我方的保证范围是主合同约定的合同价款总额</w:t>
      </w:r>
    </w:p>
    <w:p>
      <w:pPr>
        <w:spacing w:after="0" w:line="480" w:lineRule="auto"/>
        <w:ind w:right="25" w:rightChars="1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%数额为元（大写），为。（即主合同履约保证金金额）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我方保证的期间为：自本合同生效之日起至供应商按照主合同约定的供货/完工期限届满后日内。</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如果供应商未按主合同约定向贵方供应货物/提供服务/完成工程的，由我方在保证金额内向你方支付上述款项。</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1．你方要求我方承担保证责任的，应在本保函保证期间内向我方发出书面索赔通知。索赔通知应写明要求索赔的金额，支付款项应到达的帐号。并附有证明供应商违约事实的证明材料。</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如果你方与供应商因货物质量问题产生争议，你方还需同时提供部门出具的质量检测报告，或经诉讼（仲裁）程序裁决后的裁决书、调解书，本保证人即按照检测结果或裁决书、调解书决定是否承担保证责任。</w:t>
      </w:r>
    </w:p>
    <w:p>
      <w:pPr>
        <w:spacing w:after="0" w:line="480" w:lineRule="auto"/>
        <w:ind w:right="-693" w:rightChars="-330"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2．我方收到你方的书面索赔通知及相应证明材料，在</w:t>
      </w:r>
    </w:p>
    <w:p>
      <w:pPr>
        <w:spacing w:after="0" w:line="480" w:lineRule="auto"/>
        <w:ind w:right="-693" w:rightChars="-33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工作日内进行核定后按照本保函的承诺承担保证责任。</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2．我方按照本保函向你方履行了保证责任后，自我方向你方支付款项（支付款项从我方账户划出）之日起，保证责任即终止。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3．按照法律法规的规定或出现应终止我方保证责任的其它情形的，我方在本保函项下的保证责任亦终止。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1．因你方违反主合同约定致使供应商不能履行义务的，我方不承担保证责任。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2．依照法律法规的规定或你方与供应商的另行约定，全部或者部分免除供应商应缴纳的保证金义务的，我方亦免除相应的保证责任。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3．因不可抗力造成供应商不能履行供货义务的，我方不承担保证责任。</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因本保函发生的纠纷，由你我双方协商解决，协商不成的，通过诉讼程序解决，诉讼管辖地法院为法院。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spacing w:after="0" w:line="480" w:lineRule="auto"/>
        <w:rPr>
          <w:rFonts w:ascii="宋体" w:hAnsi="宋体" w:eastAsia="宋体" w:cs="宋体"/>
          <w:color w:val="auto"/>
          <w:sz w:val="21"/>
          <w:szCs w:val="21"/>
          <w:highlight w:val="none"/>
        </w:rPr>
      </w:pPr>
    </w:p>
    <w:p>
      <w:pPr>
        <w:spacing w:after="0" w:line="480" w:lineRule="auto"/>
        <w:rPr>
          <w:rFonts w:ascii="宋体" w:hAnsi="宋体" w:eastAsia="宋体" w:cs="宋体"/>
          <w:color w:val="auto"/>
          <w:sz w:val="21"/>
          <w:szCs w:val="21"/>
          <w:highlight w:val="none"/>
        </w:rPr>
      </w:pP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（1）此格式为履约担保函格式，无需在投标文件中提供此格式。</w:t>
      </w:r>
    </w:p>
    <w:p>
      <w:pPr>
        <w:pStyle w:val="9"/>
        <w:rPr>
          <w:color w:val="auto"/>
          <w:highlight w:val="none"/>
        </w:rPr>
      </w:pPr>
    </w:p>
    <w:p>
      <w:pPr>
        <w:pStyle w:val="3"/>
        <w:spacing w:before="0" w:after="0" w:line="24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br w:type="page"/>
      </w:r>
    </w:p>
    <w:p>
      <w:pPr>
        <w:pStyle w:val="5"/>
        <w:spacing w:before="0" w:after="0" w:line="240" w:lineRule="auto"/>
        <w:rPr>
          <w:rFonts w:ascii="黑体" w:hAnsi="宋体"/>
          <w:color w:val="auto"/>
          <w:sz w:val="44"/>
          <w:szCs w:val="44"/>
          <w:highlight w:val="none"/>
        </w:rPr>
      </w:pPr>
      <w:bookmarkStart w:id="222" w:name="_Toc17023"/>
      <w:r>
        <w:rPr>
          <w:rFonts w:hint="eastAsia" w:ascii="宋体" w:hAnsi="宋体" w:eastAsia="宋体" w:cs="宋体"/>
          <w:color w:val="auto"/>
          <w:sz w:val="21"/>
          <w:szCs w:val="21"/>
          <w:highlight w:val="none"/>
        </w:rPr>
        <w:t>附件23.获取招标文件登记表</w:t>
      </w:r>
      <w:bookmarkEnd w:id="222"/>
      <w:bookmarkStart w:id="223" w:name="_Toc1968"/>
    </w:p>
    <w:p>
      <w:pPr>
        <w:spacing w:after="0"/>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获取招标文件登记表</w:t>
      </w:r>
      <w:bookmarkEnd w:id="223"/>
    </w:p>
    <w:tbl>
      <w:tblPr>
        <w:tblStyle w:val="22"/>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30"/>
        <w:gridCol w:w="58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获取招标文件时间</w:t>
            </w:r>
          </w:p>
        </w:tc>
        <w:tc>
          <w:tcPr>
            <w:tcW w:w="5898"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202</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t>年    月    日    时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拟投标项目名称</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供应商联系人</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电话</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手机</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传真</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电子邮箱</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单位地址及邮编</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76"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备注</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招标文件领取人签名</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招标文件发售人签名</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招标文件售价</w:t>
            </w:r>
          </w:p>
        </w:tc>
        <w:tc>
          <w:tcPr>
            <w:tcW w:w="5898"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人民币150元/份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8528" w:type="dxa"/>
            <w:gridSpan w:val="2"/>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注：开完发票后请把报名表格交还至前台</w:t>
            </w:r>
          </w:p>
        </w:tc>
      </w:tr>
    </w:tbl>
    <w:p>
      <w:pPr>
        <w:rPr>
          <w:rFonts w:ascii="宋体" w:hAnsi="宋体" w:eastAsia="宋体" w:cs="宋体"/>
          <w:color w:val="auto"/>
          <w:sz w:val="21"/>
          <w:szCs w:val="21"/>
          <w:highlight w:val="none"/>
        </w:rPr>
      </w:pPr>
    </w:p>
    <w:p>
      <w:pPr>
        <w:rPr>
          <w:color w:val="auto"/>
          <w:highlight w:val="none"/>
        </w:rPr>
      </w:pPr>
      <w:r>
        <w:rPr>
          <w:color w:val="auto"/>
          <w:highlight w:val="none"/>
        </w:rPr>
        <w:br w:type="page"/>
      </w:r>
    </w:p>
    <w:p>
      <w:pPr>
        <w:pStyle w:val="5"/>
        <w:spacing w:before="0" w:after="0" w:line="240" w:lineRule="auto"/>
        <w:rPr>
          <w:rFonts w:ascii="宋体" w:hAnsi="宋体" w:eastAsia="宋体" w:cs="宋体"/>
          <w:color w:val="auto"/>
          <w:sz w:val="21"/>
          <w:szCs w:val="21"/>
          <w:highlight w:val="none"/>
        </w:rPr>
      </w:pPr>
      <w:bookmarkStart w:id="224" w:name="_Toc11182"/>
      <w:r>
        <w:rPr>
          <w:rFonts w:hint="eastAsia" w:ascii="宋体" w:hAnsi="宋体" w:eastAsia="宋体" w:cs="宋体"/>
          <w:color w:val="auto"/>
          <w:sz w:val="21"/>
          <w:szCs w:val="21"/>
          <w:highlight w:val="none"/>
        </w:rPr>
        <w:t>附件 24.质疑函范本</w:t>
      </w:r>
      <w:bookmarkEnd w:id="224"/>
    </w:p>
    <w:p>
      <w:pPr>
        <w:spacing w:after="0" w:line="360" w:lineRule="auto"/>
        <w:jc w:val="center"/>
        <w:rPr>
          <w:rFonts w:ascii="宋体" w:hAnsi="宋体" w:eastAsia="宋体" w:cs="宋体"/>
          <w:color w:val="auto"/>
          <w:sz w:val="21"/>
          <w:szCs w:val="21"/>
          <w:highlight w:val="none"/>
        </w:rPr>
      </w:pPr>
    </w:p>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1.质疑函</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一、质疑供应商基本信息</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质疑供应商：</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地址：邮编：</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联系人：联系电话：</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授权代表：</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联系电话：</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地址：邮编：</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二、质疑项目基本情况</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质疑项目的名称：</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质疑项目的编号：包号：</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采购人名称：</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采购文件获取日期：</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三、质疑事项具体内容</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质疑事项1：</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事实依据：</w:t>
      </w:r>
    </w:p>
    <w:p>
      <w:pPr>
        <w:spacing w:after="0" w:line="360" w:lineRule="auto"/>
        <w:rPr>
          <w:rFonts w:ascii="宋体" w:hAnsi="宋体" w:eastAsia="宋体" w:cs="宋体"/>
          <w:color w:val="auto"/>
          <w:sz w:val="21"/>
          <w:szCs w:val="21"/>
          <w:highlight w:val="none"/>
          <w:u w:val="single"/>
        </w:rPr>
      </w:pP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法律依据：</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质疑事项2</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四、与质疑事项相关的质疑请求</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请求：</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质疑函制作说明：</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质疑供应商提交质疑函时须提供质疑函、法人或者非法人组织的营业执照等证明文件或自然人的身份证复印件（质疑供应商为自然人）。如不是法定代表人或主要负责人提交质疑函的，应同时提供法定代表人或主要负责人有效的授权委托书。</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8.质疑函递交地址为采购代理机构办公地址，详细地址详见投标邀请书。</w:t>
      </w:r>
    </w:p>
    <w:p>
      <w:pPr>
        <w:pStyle w:val="9"/>
        <w:rPr>
          <w:color w:val="auto"/>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2.询问函、质疑函授权书参考格式</w:t>
      </w:r>
    </w:p>
    <w:p>
      <w:pPr>
        <w:spacing w:after="0" w:line="360" w:lineRule="auto"/>
        <w:rPr>
          <w:rFonts w:ascii="宋体" w:hAnsi="宋体" w:eastAsia="宋体" w:cs="宋体"/>
          <w:color w:val="auto"/>
          <w:sz w:val="21"/>
          <w:szCs w:val="21"/>
          <w:highlight w:val="none"/>
        </w:rPr>
      </w:pPr>
    </w:p>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法定代表人或负责人授权委托书</w:t>
      </w: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本委托书声明：在下面签字的</w:t>
      </w:r>
      <w:r>
        <w:rPr>
          <w:rFonts w:hint="eastAsia" w:ascii="宋体" w:hAnsi="宋体" w:eastAsia="宋体" w:cs="宋体"/>
          <w:color w:val="auto"/>
          <w:sz w:val="21"/>
          <w:szCs w:val="21"/>
          <w:highlight w:val="none"/>
          <w:u w:val="single"/>
        </w:rPr>
        <w:t xml:space="preserve">           （法定代表人或负责人姓名、职务）</w:t>
      </w:r>
      <w:r>
        <w:rPr>
          <w:rFonts w:hint="eastAsia" w:ascii="宋体" w:hAnsi="宋体" w:eastAsia="宋体" w:cs="宋体"/>
          <w:color w:val="auto"/>
          <w:sz w:val="21"/>
          <w:szCs w:val="21"/>
          <w:highlight w:val="none"/>
        </w:rPr>
        <w:t xml:space="preserve">代表 </w:t>
      </w:r>
      <w:r>
        <w:rPr>
          <w:rFonts w:hint="eastAsia" w:ascii="宋体" w:hAnsi="宋体" w:eastAsia="宋体" w:cs="宋体"/>
          <w:color w:val="auto"/>
          <w:sz w:val="21"/>
          <w:szCs w:val="21"/>
          <w:highlight w:val="none"/>
          <w:u w:val="single"/>
        </w:rPr>
        <w:t xml:space="preserve">            （供应商名称）</w:t>
      </w:r>
      <w:r>
        <w:rPr>
          <w:rFonts w:hint="eastAsia" w:ascii="宋体" w:hAnsi="宋体" w:eastAsia="宋体" w:cs="宋体"/>
          <w:color w:val="auto"/>
          <w:sz w:val="21"/>
          <w:szCs w:val="21"/>
          <w:highlight w:val="none"/>
        </w:rPr>
        <w:t>委托在下面签字的</w:t>
      </w:r>
      <w:r>
        <w:rPr>
          <w:rFonts w:hint="eastAsia" w:ascii="宋体" w:hAnsi="宋体" w:eastAsia="宋体" w:cs="宋体"/>
          <w:color w:val="auto"/>
          <w:sz w:val="21"/>
          <w:szCs w:val="21"/>
          <w:highlight w:val="none"/>
          <w:u w:val="single"/>
        </w:rPr>
        <w:t xml:space="preserve">          （授权代表的姓名、职务）</w:t>
      </w:r>
      <w:r>
        <w:rPr>
          <w:rFonts w:hint="eastAsia" w:ascii="宋体" w:hAnsi="宋体" w:eastAsia="宋体" w:cs="宋体"/>
          <w:color w:val="auto"/>
          <w:sz w:val="21"/>
          <w:szCs w:val="21"/>
          <w:highlight w:val="none"/>
        </w:rPr>
        <w:t>为本公司的合法代表人，就采购项目（采购编号：</w:t>
      </w:r>
      <w:r>
        <w:rPr>
          <w:rFonts w:hint="eastAsia" w:ascii="宋体" w:hAnsi="宋体" w:eastAsia="宋体" w:cs="宋体"/>
          <w:color w:val="auto"/>
          <w:sz w:val="21"/>
          <w:szCs w:val="21"/>
          <w:highlight w:val="none"/>
          <w:u w:val="single"/>
        </w:rPr>
        <w:t xml:space="preserve">          ）             （填写授权内容）</w:t>
      </w:r>
      <w:r>
        <w:rPr>
          <w:rFonts w:hint="eastAsia" w:ascii="宋体" w:hAnsi="宋体" w:eastAsia="宋体" w:cs="宋体"/>
          <w:color w:val="auto"/>
          <w:sz w:val="21"/>
          <w:szCs w:val="21"/>
          <w:highlight w:val="none"/>
        </w:rPr>
        <w:t>，以本公司的名义处理一切与之有关的事宜</w:t>
      </w:r>
      <w:r>
        <w:rPr>
          <w:rFonts w:hint="eastAsia" w:ascii="宋体" w:hAnsi="宋体" w:eastAsia="宋体" w:cs="宋体"/>
          <w:color w:val="auto"/>
          <w:sz w:val="21"/>
          <w:szCs w:val="21"/>
          <w:highlight w:val="none"/>
          <w:u w:val="single"/>
        </w:rPr>
        <w:t>（须提供法定代表人或负责人、授权代表身份证复印件）。</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本委托书于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日签字生效。</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供应商名称（加盖公章）：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法定代表人或负责人（签名或盖私章）：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授权代表（签名或盖私章）：</w:t>
      </w:r>
    </w:p>
    <w:p>
      <w:pPr>
        <w:spacing w:after="0" w:line="360" w:lineRule="auto"/>
        <w:rPr>
          <w:rFonts w:ascii="仿宋" w:hAnsi="仿宋" w:eastAsia="仿宋"/>
          <w:color w:val="auto"/>
          <w:sz w:val="24"/>
          <w:highlight w:val="none"/>
        </w:rPr>
      </w:pPr>
      <w:r>
        <w:rPr>
          <w:rFonts w:hint="eastAsia" w:ascii="宋体" w:hAnsi="宋体" w:eastAsia="宋体" w:cs="宋体"/>
          <w:color w:val="auto"/>
          <w:sz w:val="21"/>
          <w:szCs w:val="21"/>
          <w:highlight w:val="none"/>
        </w:rPr>
        <w:t>日期：</w:t>
      </w:r>
    </w:p>
    <w:p>
      <w:pPr>
        <w:rPr>
          <w:color w:val="auto"/>
          <w:highlight w:val="none"/>
        </w:rPr>
      </w:pPr>
    </w:p>
    <w:sectPr>
      <w:footerReference r:id="rId7" w:type="first"/>
      <w:footerReference r:id="rId6" w:type="default"/>
      <w:pgSz w:w="11906" w:h="16838"/>
      <w:pgMar w:top="1440" w:right="1800" w:bottom="1440" w:left="1800" w:header="708" w:footer="708" w:gutter="0"/>
      <w:pgNumType w:start="1"/>
      <w:cols w:space="708" w:num="1"/>
      <w:titlePg/>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68</w:instrText>
                          </w:r>
                          <w:r>
                            <w:fldChar w:fldCharType="end"/>
                          </w:r>
                          <w:r>
                            <w:rPr>
                              <w:rFonts w:hint="eastAsia"/>
                            </w:rPr>
                            <w:instrText xml:space="preserve">-1</w:instrText>
                          </w:r>
                          <w:r>
                            <w:fldChar w:fldCharType="separate"/>
                          </w:r>
                          <w:r>
                            <w:t>67</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w3v+V0gEAAKcDAAAOAAAAAAAAAAEAIAAAAB4BAABk&#10;cnMvZTJvRG9jLnhtbFBLBQYAAAAABgAGAFkBAABiBQAAAAA=&#10;">
              <v:fill on="f" focussize="0,0"/>
              <v:stroke on="f"/>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68</w:instrText>
                    </w:r>
                    <w:r>
                      <w:fldChar w:fldCharType="end"/>
                    </w:r>
                    <w:r>
                      <w:rPr>
                        <w:rFonts w:hint="eastAsia"/>
                      </w:rPr>
                      <w:instrText xml:space="preserve">-1</w:instrText>
                    </w:r>
                    <w:r>
                      <w:fldChar w:fldCharType="separate"/>
                    </w:r>
                    <w:r>
                      <w:t>67</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4</w:instrText>
                          </w:r>
                          <w:r>
                            <w:fldChar w:fldCharType="end"/>
                          </w:r>
                          <w:r>
                            <w:rPr>
                              <w:rFonts w:hint="eastAsia"/>
                            </w:rPr>
                            <w:instrText xml:space="preserve">-1</w:instrText>
                          </w:r>
                          <w:r>
                            <w:fldChar w:fldCharType="separate"/>
                          </w:r>
                          <w:r>
                            <w:t>3</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Vi3kDRAQAApwMAAA4AAAAAAAAAAQAgAAAAHgEAAGRy&#10;cy9lMm9Eb2MueG1sUEsFBgAAAAAGAAYAWQEAAGEFAAAAAA==&#10;">
              <v:fill on="f" focussize="0,0"/>
              <v:stroke on="f"/>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4</w:instrText>
                    </w:r>
                    <w:r>
                      <w:fldChar w:fldCharType="end"/>
                    </w:r>
                    <w:r>
                      <w:rPr>
                        <w:rFonts w:hint="eastAsia"/>
                      </w:rPr>
                      <w:instrText xml:space="preserve">-1</w:instrText>
                    </w:r>
                    <w:r>
                      <w:fldChar w:fldCharType="separate"/>
                    </w:r>
                    <w:r>
                      <w:t>3</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pPr>
      <w:r>
        <w:separator/>
      </w:r>
    </w:p>
  </w:footnote>
  <w:footnote w:type="continuationSeparator" w:id="5">
    <w:p>
      <w:pPr>
        <w:spacing w:line="240" w:lineRule="auto"/>
      </w:pPr>
      <w:r>
        <w:continuationSeparator/>
      </w:r>
    </w:p>
  </w:footnote>
  <w:footnote w:id="0">
    <w:p>
      <w:pPr>
        <w:pStyle w:val="17"/>
        <w:snapToGrid w:val="0"/>
        <w:rPr>
          <w:rFonts w:hint="eastAsia" w:eastAsia="微软雅黑"/>
          <w:lang w:eastAsia="zh-CN"/>
        </w:rPr>
      </w:pPr>
      <w:r>
        <w:rPr>
          <w:rStyle w:val="27"/>
        </w:rPr>
        <w:footnoteRef/>
      </w:r>
      <w:r>
        <w:t xml:space="preserve"> </w:t>
      </w:r>
      <w:r>
        <w:rPr>
          <w:rFonts w:hint="eastAsia"/>
          <w:lang w:eastAsia="zh-CN"/>
        </w:rPr>
        <w:t>从业人员、营业人员、资产总额填报上一年度数据，无上一年度数据的新成立企业可不填报。</w:t>
      </w:r>
    </w:p>
  </w:footnote>
  <w:footnote w:id="1">
    <w:p>
      <w:pPr>
        <w:pStyle w:val="17"/>
        <w:snapToGrid w:val="0"/>
      </w:pPr>
      <w:r>
        <w:rPr>
          <w:rStyle w:val="27"/>
        </w:rPr>
        <w:footnoteRef/>
      </w:r>
      <w:r>
        <w:t xml:space="preserve">  </w:t>
      </w:r>
      <w:r>
        <w:rPr>
          <w:rFonts w:hint="eastAsia"/>
          <w:lang w:eastAsia="zh-CN"/>
        </w:rPr>
        <w:t>从业人员、营业人员、资产总额填报上一年度数据，无上一年度数据的新成立企业可不填报。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rPr>
      <w:t>东莞市政府采购公开招标文件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87489"/>
    <w:multiLevelType w:val="singleLevel"/>
    <w:tmpl w:val="93587489"/>
    <w:lvl w:ilvl="0" w:tentative="0">
      <w:start w:val="1"/>
      <w:numFmt w:val="decimal"/>
      <w:suff w:val="nothing"/>
      <w:lvlText w:val="%1、"/>
      <w:lvlJc w:val="left"/>
    </w:lvl>
  </w:abstractNum>
  <w:abstractNum w:abstractNumId="1">
    <w:nsid w:val="BAA12ADA"/>
    <w:multiLevelType w:val="singleLevel"/>
    <w:tmpl w:val="BAA12ADA"/>
    <w:lvl w:ilvl="0" w:tentative="0">
      <w:start w:val="1"/>
      <w:numFmt w:val="decimal"/>
      <w:suff w:val="nothing"/>
      <w:lvlText w:val="（%1）"/>
      <w:lvlJc w:val="left"/>
    </w:lvl>
  </w:abstractNum>
  <w:abstractNum w:abstractNumId="2">
    <w:nsid w:val="CFF174A5"/>
    <w:multiLevelType w:val="singleLevel"/>
    <w:tmpl w:val="CFF174A5"/>
    <w:lvl w:ilvl="0" w:tentative="0">
      <w:start w:val="1"/>
      <w:numFmt w:val="decimal"/>
      <w:suff w:val="nothing"/>
      <w:lvlText w:val="%1、"/>
      <w:lvlJc w:val="left"/>
    </w:lvl>
  </w:abstractNum>
  <w:abstractNum w:abstractNumId="3">
    <w:nsid w:val="D0047B7E"/>
    <w:multiLevelType w:val="singleLevel"/>
    <w:tmpl w:val="D0047B7E"/>
    <w:lvl w:ilvl="0" w:tentative="0">
      <w:start w:val="1"/>
      <w:numFmt w:val="decimal"/>
      <w:suff w:val="nothing"/>
      <w:lvlText w:val="%1、"/>
      <w:lvlJc w:val="left"/>
    </w:lvl>
  </w:abstractNum>
  <w:abstractNum w:abstractNumId="4">
    <w:nsid w:val="E09EF6E1"/>
    <w:multiLevelType w:val="singleLevel"/>
    <w:tmpl w:val="E09EF6E1"/>
    <w:lvl w:ilvl="0" w:tentative="0">
      <w:start w:val="1"/>
      <w:numFmt w:val="decimal"/>
      <w:suff w:val="nothing"/>
      <w:lvlText w:val="（%1）"/>
      <w:lvlJc w:val="left"/>
    </w:lvl>
  </w:abstractNum>
  <w:abstractNum w:abstractNumId="5">
    <w:nsid w:val="F73DC5D7"/>
    <w:multiLevelType w:val="singleLevel"/>
    <w:tmpl w:val="F73DC5D7"/>
    <w:lvl w:ilvl="0" w:tentative="0">
      <w:start w:val="1"/>
      <w:numFmt w:val="decimal"/>
      <w:suff w:val="nothing"/>
      <w:lvlText w:val="（%1）"/>
      <w:lvlJc w:val="left"/>
    </w:lvl>
  </w:abstractNum>
  <w:abstractNum w:abstractNumId="6">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5203BA9"/>
    <w:multiLevelType w:val="multilevel"/>
    <w:tmpl w:val="05203BA9"/>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206CABF7"/>
    <w:multiLevelType w:val="singleLevel"/>
    <w:tmpl w:val="206CABF7"/>
    <w:lvl w:ilvl="0" w:tentative="0">
      <w:start w:val="1"/>
      <w:numFmt w:val="decimal"/>
      <w:suff w:val="nothing"/>
      <w:lvlText w:val="（%1）"/>
      <w:lvlJc w:val="left"/>
    </w:lvl>
  </w:abstractNum>
  <w:abstractNum w:abstractNumId="10">
    <w:nsid w:val="30C47A82"/>
    <w:multiLevelType w:val="multilevel"/>
    <w:tmpl w:val="30C47A82"/>
    <w:lvl w:ilvl="0" w:tentative="0">
      <w:start w:val="1"/>
      <w:numFmt w:val="decimal"/>
      <w:pStyle w:val="2"/>
      <w:suff w:val="space"/>
      <w:lvlText w:val="第%1章"/>
      <w:lvlJc w:val="left"/>
      <w:pPr>
        <w:ind w:left="0" w:firstLine="0"/>
      </w:pPr>
      <w:rPr>
        <w:rFonts w:hint="default" w:ascii="楷体" w:hAnsi="楷体" w:eastAsia="楷体"/>
        <w:b/>
        <w:i w:val="0"/>
        <w:sz w:val="36"/>
      </w:rPr>
    </w:lvl>
    <w:lvl w:ilvl="1" w:tentative="0">
      <w:start w:val="1"/>
      <w:numFmt w:val="decimal"/>
      <w:isLgl/>
      <w:suff w:val="space"/>
      <w:lvlText w:val="%1.%2"/>
      <w:lvlJc w:val="left"/>
      <w:pPr>
        <w:ind w:left="0" w:firstLine="0"/>
      </w:pPr>
      <w:rPr>
        <w:rFonts w:hint="eastAsia" w:eastAsia="宋体" w:asciiTheme="majorEastAsia" w:hAnsiTheme="majorEastAsia"/>
        <w:b/>
        <w:i w:val="0"/>
        <w:sz w:val="32"/>
        <w:szCs w:val="32"/>
      </w:rPr>
    </w:lvl>
    <w:lvl w:ilvl="2" w:tentative="0">
      <w:start w:val="1"/>
      <w:numFmt w:val="decimal"/>
      <w:isLgl/>
      <w:suff w:val="space"/>
      <w:lvlText w:val="%1.%2.%3"/>
      <w:lvlJc w:val="left"/>
      <w:pPr>
        <w:ind w:left="0" w:firstLine="0"/>
      </w:pPr>
      <w:rPr>
        <w:rFonts w:hint="eastAsia" w:ascii="宋体" w:eastAsia="宋体"/>
        <w:b/>
        <w:i w:val="0"/>
        <w:sz w:val="30"/>
      </w:rPr>
    </w:lvl>
    <w:lvl w:ilvl="3" w:tentative="0">
      <w:start w:val="1"/>
      <w:numFmt w:val="decimal"/>
      <w:isLgl/>
      <w:suff w:val="space"/>
      <w:lvlText w:val="%1.%2.%3.%4"/>
      <w:lvlJc w:val="left"/>
      <w:pPr>
        <w:ind w:left="0" w:firstLine="0"/>
      </w:pPr>
      <w:rPr>
        <w:rFonts w:hint="eastAsia" w:eastAsia="宋体" w:asciiTheme="majorEastAsia" w:hAnsiTheme="majorEastAsia"/>
        <w:b/>
        <w:i w:val="0"/>
        <w:sz w:val="28"/>
        <w:szCs w:val="28"/>
      </w:rPr>
    </w:lvl>
    <w:lvl w:ilvl="4" w:tentative="0">
      <w:start w:val="1"/>
      <w:numFmt w:val="decimal"/>
      <w:isLgl/>
      <w:suff w:val="space"/>
      <w:lvlText w:val="%1.%2.%3.%4.%5"/>
      <w:lvlJc w:val="left"/>
      <w:pPr>
        <w:ind w:left="0" w:firstLine="0"/>
      </w:pPr>
      <w:rPr>
        <w:rFonts w:hint="eastAsia" w:eastAsia="宋体" w:asciiTheme="majorEastAsia" w:hAnsiTheme="majorEastAsia"/>
        <w:b/>
        <w:i w:val="0"/>
        <w:sz w:val="24"/>
      </w:rPr>
    </w:lvl>
    <w:lvl w:ilvl="5" w:tentative="0">
      <w:start w:val="1"/>
      <w:numFmt w:val="decimal"/>
      <w:isLgl/>
      <w:suff w:val="space"/>
      <w:lvlText w:val="%1.%2.%3.%4.%5.%6"/>
      <w:lvlJc w:val="left"/>
      <w:pPr>
        <w:ind w:left="0" w:firstLine="0"/>
      </w:pPr>
      <w:rPr>
        <w:rFonts w:hint="eastAsia" w:eastAsia="宋体" w:asciiTheme="majorEastAsia" w:hAnsiTheme="majorEastAsia"/>
        <w:b/>
        <w:i w:val="0"/>
        <w:sz w:val="24"/>
      </w:rPr>
    </w:lvl>
    <w:lvl w:ilvl="6" w:tentative="0">
      <w:start w:val="1"/>
      <w:numFmt w:val="decimal"/>
      <w:isLgl/>
      <w:suff w:val="space"/>
      <w:lvlText w:val="%1.%2.%3.%4.%5.%6.%7"/>
      <w:lvlJc w:val="left"/>
      <w:pPr>
        <w:ind w:left="0" w:firstLine="0"/>
      </w:pPr>
      <w:rPr>
        <w:rFonts w:hint="default" w:eastAsia="宋体" w:asciiTheme="majorEastAsia"/>
        <w:b/>
        <w:i w:val="0"/>
        <w:sz w:val="24"/>
      </w:rPr>
    </w:lvl>
    <w:lvl w:ilvl="7" w:tentative="0">
      <w:start w:val="1"/>
      <w:numFmt w:val="decimal"/>
      <w:isLgl/>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abstractNum w:abstractNumId="11">
    <w:nsid w:val="3F88662E"/>
    <w:multiLevelType w:val="singleLevel"/>
    <w:tmpl w:val="3F88662E"/>
    <w:lvl w:ilvl="0" w:tentative="0">
      <w:start w:val="1"/>
      <w:numFmt w:val="decimal"/>
      <w:suff w:val="space"/>
      <w:lvlText w:val="%1)"/>
      <w:lvlJc w:val="left"/>
    </w:lvl>
  </w:abstractNum>
  <w:abstractNum w:abstractNumId="12">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7"/>
  </w:num>
  <w:num w:numId="3">
    <w:abstractNumId w:val="12"/>
  </w:num>
  <w:num w:numId="4">
    <w:abstractNumId w:val="8"/>
  </w:num>
  <w:num w:numId="5">
    <w:abstractNumId w:val="11"/>
  </w:num>
  <w:num w:numId="6">
    <w:abstractNumId w:val="9"/>
  </w:num>
  <w:num w:numId="7">
    <w:abstractNumId w:val="4"/>
  </w:num>
  <w:num w:numId="8">
    <w:abstractNumId w:val="5"/>
  </w:num>
  <w:num w:numId="9">
    <w:abstractNumId w:val="1"/>
  </w:num>
  <w:num w:numId="10">
    <w:abstractNumId w:val="2"/>
  </w:num>
  <w:num w:numId="11">
    <w:abstractNumId w:val="6"/>
  </w:num>
  <w:num w:numId="12">
    <w:abstractNumId w:val="0"/>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3"/>
    </o:shapelayout>
  </w:hdrShapeDefaults>
  <w:footnotePr>
    <w:footnote w:id="4"/>
    <w:footnote w:id="5"/>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6B"/>
    <w:rsid w:val="00006462"/>
    <w:rsid w:val="000300E4"/>
    <w:rsid w:val="0003307E"/>
    <w:rsid w:val="000336BA"/>
    <w:rsid w:val="000359A1"/>
    <w:rsid w:val="0007500F"/>
    <w:rsid w:val="0008282E"/>
    <w:rsid w:val="000A363F"/>
    <w:rsid w:val="000A42A8"/>
    <w:rsid w:val="000A5063"/>
    <w:rsid w:val="000A5DBD"/>
    <w:rsid w:val="000C4524"/>
    <w:rsid w:val="000D44A6"/>
    <w:rsid w:val="000D5273"/>
    <w:rsid w:val="000F09D9"/>
    <w:rsid w:val="000F0E98"/>
    <w:rsid w:val="001049A5"/>
    <w:rsid w:val="001242F3"/>
    <w:rsid w:val="00134CAD"/>
    <w:rsid w:val="0013730B"/>
    <w:rsid w:val="00137853"/>
    <w:rsid w:val="00137E1C"/>
    <w:rsid w:val="00147012"/>
    <w:rsid w:val="00153E0B"/>
    <w:rsid w:val="00173126"/>
    <w:rsid w:val="00173905"/>
    <w:rsid w:val="00173E04"/>
    <w:rsid w:val="00175D29"/>
    <w:rsid w:val="001844F4"/>
    <w:rsid w:val="00185039"/>
    <w:rsid w:val="001A06D8"/>
    <w:rsid w:val="001A2D42"/>
    <w:rsid w:val="001A2EF7"/>
    <w:rsid w:val="001B41CF"/>
    <w:rsid w:val="001B5860"/>
    <w:rsid w:val="001C1135"/>
    <w:rsid w:val="001C15AE"/>
    <w:rsid w:val="001C4661"/>
    <w:rsid w:val="001C5689"/>
    <w:rsid w:val="001C6E4B"/>
    <w:rsid w:val="001F0070"/>
    <w:rsid w:val="001F4B02"/>
    <w:rsid w:val="002065A7"/>
    <w:rsid w:val="0021149E"/>
    <w:rsid w:val="00213021"/>
    <w:rsid w:val="00216BE9"/>
    <w:rsid w:val="0022503E"/>
    <w:rsid w:val="00225BB4"/>
    <w:rsid w:val="00226313"/>
    <w:rsid w:val="00240F5F"/>
    <w:rsid w:val="00244C00"/>
    <w:rsid w:val="00247AE0"/>
    <w:rsid w:val="002504F8"/>
    <w:rsid w:val="00260AC1"/>
    <w:rsid w:val="0026312D"/>
    <w:rsid w:val="0027078E"/>
    <w:rsid w:val="00284156"/>
    <w:rsid w:val="00285643"/>
    <w:rsid w:val="002867A1"/>
    <w:rsid w:val="002901F8"/>
    <w:rsid w:val="002A540A"/>
    <w:rsid w:val="002B4087"/>
    <w:rsid w:val="002B5F6C"/>
    <w:rsid w:val="002C165E"/>
    <w:rsid w:val="002C6C78"/>
    <w:rsid w:val="002D1594"/>
    <w:rsid w:val="002D3F9C"/>
    <w:rsid w:val="002D503C"/>
    <w:rsid w:val="002D7E27"/>
    <w:rsid w:val="002E17E5"/>
    <w:rsid w:val="002E6B7E"/>
    <w:rsid w:val="0030669E"/>
    <w:rsid w:val="00320CEA"/>
    <w:rsid w:val="00323B43"/>
    <w:rsid w:val="00326831"/>
    <w:rsid w:val="003274CE"/>
    <w:rsid w:val="003430F6"/>
    <w:rsid w:val="0038564C"/>
    <w:rsid w:val="00393B1D"/>
    <w:rsid w:val="003A1D97"/>
    <w:rsid w:val="003C3B19"/>
    <w:rsid w:val="003C412B"/>
    <w:rsid w:val="003C415C"/>
    <w:rsid w:val="003D36FB"/>
    <w:rsid w:val="003D37D8"/>
    <w:rsid w:val="003E2B8C"/>
    <w:rsid w:val="003F4822"/>
    <w:rsid w:val="00401CC0"/>
    <w:rsid w:val="00410F11"/>
    <w:rsid w:val="004203B9"/>
    <w:rsid w:val="00421BCF"/>
    <w:rsid w:val="004322A2"/>
    <w:rsid w:val="004358AB"/>
    <w:rsid w:val="00451EB4"/>
    <w:rsid w:val="00453AD3"/>
    <w:rsid w:val="00460B31"/>
    <w:rsid w:val="00462105"/>
    <w:rsid w:val="00475A80"/>
    <w:rsid w:val="00490B9E"/>
    <w:rsid w:val="00497577"/>
    <w:rsid w:val="004A05D7"/>
    <w:rsid w:val="004A2B28"/>
    <w:rsid w:val="004A69F1"/>
    <w:rsid w:val="004B3550"/>
    <w:rsid w:val="004D51A2"/>
    <w:rsid w:val="004D5AFB"/>
    <w:rsid w:val="004E04FD"/>
    <w:rsid w:val="004F1BB7"/>
    <w:rsid w:val="0050759C"/>
    <w:rsid w:val="005269A9"/>
    <w:rsid w:val="00546A42"/>
    <w:rsid w:val="0055408D"/>
    <w:rsid w:val="0057492D"/>
    <w:rsid w:val="00590819"/>
    <w:rsid w:val="00593D68"/>
    <w:rsid w:val="005A208B"/>
    <w:rsid w:val="005A7612"/>
    <w:rsid w:val="005C702E"/>
    <w:rsid w:val="005D01B8"/>
    <w:rsid w:val="005D066B"/>
    <w:rsid w:val="005F573A"/>
    <w:rsid w:val="005F7EB1"/>
    <w:rsid w:val="00604B81"/>
    <w:rsid w:val="00613417"/>
    <w:rsid w:val="0061545F"/>
    <w:rsid w:val="006175DE"/>
    <w:rsid w:val="006215AC"/>
    <w:rsid w:val="00621821"/>
    <w:rsid w:val="00622362"/>
    <w:rsid w:val="00622497"/>
    <w:rsid w:val="006276AD"/>
    <w:rsid w:val="006378D4"/>
    <w:rsid w:val="0064416A"/>
    <w:rsid w:val="0065365D"/>
    <w:rsid w:val="0065543F"/>
    <w:rsid w:val="006578CD"/>
    <w:rsid w:val="00664F6B"/>
    <w:rsid w:val="006731D2"/>
    <w:rsid w:val="00682986"/>
    <w:rsid w:val="006913C9"/>
    <w:rsid w:val="00691701"/>
    <w:rsid w:val="00691AE0"/>
    <w:rsid w:val="0069491E"/>
    <w:rsid w:val="006B7878"/>
    <w:rsid w:val="006C14BD"/>
    <w:rsid w:val="006C28E5"/>
    <w:rsid w:val="006D08E0"/>
    <w:rsid w:val="006D1BA8"/>
    <w:rsid w:val="006D393E"/>
    <w:rsid w:val="006D4AD8"/>
    <w:rsid w:val="006E0B58"/>
    <w:rsid w:val="006E0C4B"/>
    <w:rsid w:val="007110BA"/>
    <w:rsid w:val="00711465"/>
    <w:rsid w:val="0072310A"/>
    <w:rsid w:val="00723B11"/>
    <w:rsid w:val="007343A7"/>
    <w:rsid w:val="00734BB2"/>
    <w:rsid w:val="0075028E"/>
    <w:rsid w:val="007608B9"/>
    <w:rsid w:val="00761AAB"/>
    <w:rsid w:val="007724B4"/>
    <w:rsid w:val="007818FB"/>
    <w:rsid w:val="007916E7"/>
    <w:rsid w:val="00797C5D"/>
    <w:rsid w:val="00797D2F"/>
    <w:rsid w:val="007A34B9"/>
    <w:rsid w:val="007A6F47"/>
    <w:rsid w:val="007C4F46"/>
    <w:rsid w:val="007C7297"/>
    <w:rsid w:val="007C7A38"/>
    <w:rsid w:val="007D1B4F"/>
    <w:rsid w:val="007D2F9E"/>
    <w:rsid w:val="007D3175"/>
    <w:rsid w:val="007D48BF"/>
    <w:rsid w:val="007D5C45"/>
    <w:rsid w:val="007E2543"/>
    <w:rsid w:val="007E4A26"/>
    <w:rsid w:val="007F01B0"/>
    <w:rsid w:val="007F2CD8"/>
    <w:rsid w:val="007F4DC5"/>
    <w:rsid w:val="00806380"/>
    <w:rsid w:val="0081104F"/>
    <w:rsid w:val="00822299"/>
    <w:rsid w:val="00833E43"/>
    <w:rsid w:val="0083486A"/>
    <w:rsid w:val="00841378"/>
    <w:rsid w:val="00842B87"/>
    <w:rsid w:val="00845BEB"/>
    <w:rsid w:val="008472E6"/>
    <w:rsid w:val="00853463"/>
    <w:rsid w:val="0086026F"/>
    <w:rsid w:val="008640F5"/>
    <w:rsid w:val="008907DA"/>
    <w:rsid w:val="008A0587"/>
    <w:rsid w:val="008B7726"/>
    <w:rsid w:val="008D429E"/>
    <w:rsid w:val="008D5A10"/>
    <w:rsid w:val="008E319F"/>
    <w:rsid w:val="008E4452"/>
    <w:rsid w:val="008E619C"/>
    <w:rsid w:val="008F6E0E"/>
    <w:rsid w:val="008F79E1"/>
    <w:rsid w:val="00906F49"/>
    <w:rsid w:val="009108BB"/>
    <w:rsid w:val="00914604"/>
    <w:rsid w:val="00923533"/>
    <w:rsid w:val="00930A38"/>
    <w:rsid w:val="00934170"/>
    <w:rsid w:val="00942948"/>
    <w:rsid w:val="009474B5"/>
    <w:rsid w:val="00972D86"/>
    <w:rsid w:val="009736BF"/>
    <w:rsid w:val="0097392B"/>
    <w:rsid w:val="00976066"/>
    <w:rsid w:val="00980A66"/>
    <w:rsid w:val="009904F7"/>
    <w:rsid w:val="009910F6"/>
    <w:rsid w:val="009A7058"/>
    <w:rsid w:val="009C6AD9"/>
    <w:rsid w:val="009D55C3"/>
    <w:rsid w:val="009E398C"/>
    <w:rsid w:val="009E6F05"/>
    <w:rsid w:val="00A10906"/>
    <w:rsid w:val="00A14EEF"/>
    <w:rsid w:val="00A25E78"/>
    <w:rsid w:val="00A61230"/>
    <w:rsid w:val="00A813C5"/>
    <w:rsid w:val="00A824E6"/>
    <w:rsid w:val="00A858DC"/>
    <w:rsid w:val="00A94D14"/>
    <w:rsid w:val="00AB19CE"/>
    <w:rsid w:val="00AB3969"/>
    <w:rsid w:val="00AC187B"/>
    <w:rsid w:val="00AC5C21"/>
    <w:rsid w:val="00AE310E"/>
    <w:rsid w:val="00AE4FC5"/>
    <w:rsid w:val="00AF5796"/>
    <w:rsid w:val="00AF5F1F"/>
    <w:rsid w:val="00B027A4"/>
    <w:rsid w:val="00B236B3"/>
    <w:rsid w:val="00B26534"/>
    <w:rsid w:val="00B26806"/>
    <w:rsid w:val="00B31B24"/>
    <w:rsid w:val="00B4287F"/>
    <w:rsid w:val="00B4315F"/>
    <w:rsid w:val="00B60DAB"/>
    <w:rsid w:val="00B7194E"/>
    <w:rsid w:val="00B763B0"/>
    <w:rsid w:val="00B93045"/>
    <w:rsid w:val="00BA4130"/>
    <w:rsid w:val="00BB2CAF"/>
    <w:rsid w:val="00BC3E74"/>
    <w:rsid w:val="00BD630F"/>
    <w:rsid w:val="00BD7C1B"/>
    <w:rsid w:val="00BF17FD"/>
    <w:rsid w:val="00BF41D4"/>
    <w:rsid w:val="00BF5AFB"/>
    <w:rsid w:val="00C16734"/>
    <w:rsid w:val="00C17B47"/>
    <w:rsid w:val="00C25C77"/>
    <w:rsid w:val="00C303E7"/>
    <w:rsid w:val="00C319C2"/>
    <w:rsid w:val="00C62E44"/>
    <w:rsid w:val="00C63BD8"/>
    <w:rsid w:val="00C65954"/>
    <w:rsid w:val="00C7126B"/>
    <w:rsid w:val="00C72C24"/>
    <w:rsid w:val="00C73468"/>
    <w:rsid w:val="00C80EC4"/>
    <w:rsid w:val="00C8568E"/>
    <w:rsid w:val="00CB7EF0"/>
    <w:rsid w:val="00CC584A"/>
    <w:rsid w:val="00CC5E4E"/>
    <w:rsid w:val="00CD0979"/>
    <w:rsid w:val="00CD0EAB"/>
    <w:rsid w:val="00CE2AF3"/>
    <w:rsid w:val="00CE621D"/>
    <w:rsid w:val="00CE66E8"/>
    <w:rsid w:val="00D05388"/>
    <w:rsid w:val="00D114CD"/>
    <w:rsid w:val="00D14476"/>
    <w:rsid w:val="00D232FF"/>
    <w:rsid w:val="00D279AA"/>
    <w:rsid w:val="00D34544"/>
    <w:rsid w:val="00D44A97"/>
    <w:rsid w:val="00D45C0C"/>
    <w:rsid w:val="00D508A5"/>
    <w:rsid w:val="00D5104B"/>
    <w:rsid w:val="00D555D8"/>
    <w:rsid w:val="00D60778"/>
    <w:rsid w:val="00D64D28"/>
    <w:rsid w:val="00D6604D"/>
    <w:rsid w:val="00D677F1"/>
    <w:rsid w:val="00D74601"/>
    <w:rsid w:val="00D83E46"/>
    <w:rsid w:val="00D847B6"/>
    <w:rsid w:val="00DA6169"/>
    <w:rsid w:val="00DB5480"/>
    <w:rsid w:val="00DB6317"/>
    <w:rsid w:val="00DC5AD9"/>
    <w:rsid w:val="00DC691F"/>
    <w:rsid w:val="00DD02DE"/>
    <w:rsid w:val="00DD07B7"/>
    <w:rsid w:val="00DD113C"/>
    <w:rsid w:val="00DE0BEB"/>
    <w:rsid w:val="00DE4856"/>
    <w:rsid w:val="00DF485B"/>
    <w:rsid w:val="00E21B77"/>
    <w:rsid w:val="00E40CAD"/>
    <w:rsid w:val="00E44530"/>
    <w:rsid w:val="00E61D2E"/>
    <w:rsid w:val="00E62B7F"/>
    <w:rsid w:val="00E726BC"/>
    <w:rsid w:val="00E72821"/>
    <w:rsid w:val="00E81DDC"/>
    <w:rsid w:val="00E81F67"/>
    <w:rsid w:val="00E83650"/>
    <w:rsid w:val="00E83A31"/>
    <w:rsid w:val="00E93E51"/>
    <w:rsid w:val="00E97CC0"/>
    <w:rsid w:val="00EA2524"/>
    <w:rsid w:val="00EC092D"/>
    <w:rsid w:val="00EC0DF8"/>
    <w:rsid w:val="00ED378B"/>
    <w:rsid w:val="00EE08F9"/>
    <w:rsid w:val="00EE5B3F"/>
    <w:rsid w:val="00EF728A"/>
    <w:rsid w:val="00EF7D0D"/>
    <w:rsid w:val="00F00FF7"/>
    <w:rsid w:val="00F02093"/>
    <w:rsid w:val="00F068E3"/>
    <w:rsid w:val="00F10B5F"/>
    <w:rsid w:val="00F218C1"/>
    <w:rsid w:val="00F321EB"/>
    <w:rsid w:val="00F346CF"/>
    <w:rsid w:val="00F3610C"/>
    <w:rsid w:val="00F52A5F"/>
    <w:rsid w:val="00F55954"/>
    <w:rsid w:val="00F61962"/>
    <w:rsid w:val="00F62865"/>
    <w:rsid w:val="00F64022"/>
    <w:rsid w:val="00F64660"/>
    <w:rsid w:val="00F97062"/>
    <w:rsid w:val="00F9745D"/>
    <w:rsid w:val="00FC7B53"/>
    <w:rsid w:val="00FD48CC"/>
    <w:rsid w:val="00FE62D1"/>
    <w:rsid w:val="00FF26BF"/>
    <w:rsid w:val="018023CE"/>
    <w:rsid w:val="01881AD6"/>
    <w:rsid w:val="01B938AA"/>
    <w:rsid w:val="02126CDB"/>
    <w:rsid w:val="021832B7"/>
    <w:rsid w:val="024E2E49"/>
    <w:rsid w:val="02A741FD"/>
    <w:rsid w:val="02AA55CF"/>
    <w:rsid w:val="02C16E5D"/>
    <w:rsid w:val="02D964CF"/>
    <w:rsid w:val="0340787C"/>
    <w:rsid w:val="03707410"/>
    <w:rsid w:val="037F03E3"/>
    <w:rsid w:val="03A0770F"/>
    <w:rsid w:val="03A27BF9"/>
    <w:rsid w:val="03A448B8"/>
    <w:rsid w:val="03AD071E"/>
    <w:rsid w:val="04DF1036"/>
    <w:rsid w:val="05A97DEC"/>
    <w:rsid w:val="05C81981"/>
    <w:rsid w:val="05DF6F62"/>
    <w:rsid w:val="06BC41F2"/>
    <w:rsid w:val="07197D08"/>
    <w:rsid w:val="071C2CFD"/>
    <w:rsid w:val="071E5C55"/>
    <w:rsid w:val="073F7319"/>
    <w:rsid w:val="07536A42"/>
    <w:rsid w:val="07595F41"/>
    <w:rsid w:val="07615EC0"/>
    <w:rsid w:val="077005AB"/>
    <w:rsid w:val="078F4581"/>
    <w:rsid w:val="07995C5E"/>
    <w:rsid w:val="07BE179A"/>
    <w:rsid w:val="07BF027F"/>
    <w:rsid w:val="08031A31"/>
    <w:rsid w:val="081A5CC7"/>
    <w:rsid w:val="08A276E5"/>
    <w:rsid w:val="09061A75"/>
    <w:rsid w:val="09182241"/>
    <w:rsid w:val="093C069F"/>
    <w:rsid w:val="09855177"/>
    <w:rsid w:val="09870F93"/>
    <w:rsid w:val="09F1637C"/>
    <w:rsid w:val="0A25628F"/>
    <w:rsid w:val="0A2C35E9"/>
    <w:rsid w:val="0AA534D5"/>
    <w:rsid w:val="0AA650EB"/>
    <w:rsid w:val="0AB8066A"/>
    <w:rsid w:val="0AEA355C"/>
    <w:rsid w:val="0AF47339"/>
    <w:rsid w:val="0B22594B"/>
    <w:rsid w:val="0B4A6D35"/>
    <w:rsid w:val="0B5A39C2"/>
    <w:rsid w:val="0B797387"/>
    <w:rsid w:val="0BC044BE"/>
    <w:rsid w:val="0BDF26F7"/>
    <w:rsid w:val="0C264099"/>
    <w:rsid w:val="0C2B4952"/>
    <w:rsid w:val="0C7B2220"/>
    <w:rsid w:val="0D890E47"/>
    <w:rsid w:val="0DC64A00"/>
    <w:rsid w:val="0DF83514"/>
    <w:rsid w:val="0DFC60BA"/>
    <w:rsid w:val="0E4249F1"/>
    <w:rsid w:val="0EDA7F08"/>
    <w:rsid w:val="0F7C5FF6"/>
    <w:rsid w:val="0FC63FBD"/>
    <w:rsid w:val="106C564D"/>
    <w:rsid w:val="107B7B8F"/>
    <w:rsid w:val="107C67CE"/>
    <w:rsid w:val="109D68CB"/>
    <w:rsid w:val="10A949B8"/>
    <w:rsid w:val="11200D07"/>
    <w:rsid w:val="116630C8"/>
    <w:rsid w:val="11DA73AF"/>
    <w:rsid w:val="12C60D80"/>
    <w:rsid w:val="131F7A3A"/>
    <w:rsid w:val="132645D0"/>
    <w:rsid w:val="13455ABC"/>
    <w:rsid w:val="1370322B"/>
    <w:rsid w:val="13B27845"/>
    <w:rsid w:val="141A03E1"/>
    <w:rsid w:val="143B2E0B"/>
    <w:rsid w:val="14672B11"/>
    <w:rsid w:val="14892735"/>
    <w:rsid w:val="14CC769D"/>
    <w:rsid w:val="15D359D7"/>
    <w:rsid w:val="15D81E0F"/>
    <w:rsid w:val="161D3F63"/>
    <w:rsid w:val="163C77BE"/>
    <w:rsid w:val="1679588C"/>
    <w:rsid w:val="16994962"/>
    <w:rsid w:val="16A71041"/>
    <w:rsid w:val="16AA24BF"/>
    <w:rsid w:val="16F72341"/>
    <w:rsid w:val="17680CAB"/>
    <w:rsid w:val="176E4128"/>
    <w:rsid w:val="1783371F"/>
    <w:rsid w:val="17E62B67"/>
    <w:rsid w:val="180F4499"/>
    <w:rsid w:val="18221ECE"/>
    <w:rsid w:val="19A2789F"/>
    <w:rsid w:val="1A460CF5"/>
    <w:rsid w:val="1A7C5DB5"/>
    <w:rsid w:val="1A7F297D"/>
    <w:rsid w:val="1AB16AC1"/>
    <w:rsid w:val="1B034A52"/>
    <w:rsid w:val="1B1F34AD"/>
    <w:rsid w:val="1B8D5DC6"/>
    <w:rsid w:val="1BFE1D3B"/>
    <w:rsid w:val="1C2775EC"/>
    <w:rsid w:val="1C750ECE"/>
    <w:rsid w:val="1D0836D7"/>
    <w:rsid w:val="1D196139"/>
    <w:rsid w:val="1DB85900"/>
    <w:rsid w:val="1DDC6984"/>
    <w:rsid w:val="1E010AF7"/>
    <w:rsid w:val="1E0178EB"/>
    <w:rsid w:val="1E301173"/>
    <w:rsid w:val="1E38333E"/>
    <w:rsid w:val="1E720AC5"/>
    <w:rsid w:val="1EA40BB4"/>
    <w:rsid w:val="1EAD7858"/>
    <w:rsid w:val="1F43381C"/>
    <w:rsid w:val="1FA4148D"/>
    <w:rsid w:val="1FB80A59"/>
    <w:rsid w:val="200E04A1"/>
    <w:rsid w:val="20121621"/>
    <w:rsid w:val="201A421D"/>
    <w:rsid w:val="204E554F"/>
    <w:rsid w:val="20590035"/>
    <w:rsid w:val="20FC799E"/>
    <w:rsid w:val="21C30BB7"/>
    <w:rsid w:val="22154DDD"/>
    <w:rsid w:val="22213E42"/>
    <w:rsid w:val="22336873"/>
    <w:rsid w:val="22C90AD3"/>
    <w:rsid w:val="238C2182"/>
    <w:rsid w:val="239015D1"/>
    <w:rsid w:val="23BB4E7D"/>
    <w:rsid w:val="23C172D6"/>
    <w:rsid w:val="23F04F64"/>
    <w:rsid w:val="24814CBE"/>
    <w:rsid w:val="24AC168B"/>
    <w:rsid w:val="25150C35"/>
    <w:rsid w:val="258C3BEC"/>
    <w:rsid w:val="260E3862"/>
    <w:rsid w:val="262018E8"/>
    <w:rsid w:val="262569FC"/>
    <w:rsid w:val="26344C98"/>
    <w:rsid w:val="26F56CE2"/>
    <w:rsid w:val="27435D49"/>
    <w:rsid w:val="275B42FE"/>
    <w:rsid w:val="27A34F71"/>
    <w:rsid w:val="27B36A67"/>
    <w:rsid w:val="27EB0D9B"/>
    <w:rsid w:val="286602C8"/>
    <w:rsid w:val="28665C95"/>
    <w:rsid w:val="290B3EB9"/>
    <w:rsid w:val="291418C2"/>
    <w:rsid w:val="2950768C"/>
    <w:rsid w:val="297A5FC4"/>
    <w:rsid w:val="29AC10A3"/>
    <w:rsid w:val="2A1113BC"/>
    <w:rsid w:val="2A8D4F8F"/>
    <w:rsid w:val="2A911082"/>
    <w:rsid w:val="2A917B34"/>
    <w:rsid w:val="2AE3766F"/>
    <w:rsid w:val="2B7E4054"/>
    <w:rsid w:val="2BF22742"/>
    <w:rsid w:val="2C7D7B4B"/>
    <w:rsid w:val="2C987C56"/>
    <w:rsid w:val="2CFF149A"/>
    <w:rsid w:val="2D201865"/>
    <w:rsid w:val="2D4B5CEA"/>
    <w:rsid w:val="2D652658"/>
    <w:rsid w:val="2DC80C49"/>
    <w:rsid w:val="2DCA6355"/>
    <w:rsid w:val="2DF0699F"/>
    <w:rsid w:val="2E166748"/>
    <w:rsid w:val="2E556F01"/>
    <w:rsid w:val="2E8E20B4"/>
    <w:rsid w:val="2ED06066"/>
    <w:rsid w:val="2ED1223D"/>
    <w:rsid w:val="2EE470F7"/>
    <w:rsid w:val="2F000139"/>
    <w:rsid w:val="2F561B8A"/>
    <w:rsid w:val="2F9F42DC"/>
    <w:rsid w:val="2FF37AB3"/>
    <w:rsid w:val="30FF27D2"/>
    <w:rsid w:val="31170995"/>
    <w:rsid w:val="31264A30"/>
    <w:rsid w:val="31884E67"/>
    <w:rsid w:val="31A0275E"/>
    <w:rsid w:val="31B7357A"/>
    <w:rsid w:val="31ED6B08"/>
    <w:rsid w:val="328464CE"/>
    <w:rsid w:val="32AB70C5"/>
    <w:rsid w:val="32DC33E0"/>
    <w:rsid w:val="335D0AF5"/>
    <w:rsid w:val="3370088C"/>
    <w:rsid w:val="33A3154A"/>
    <w:rsid w:val="33DC2F78"/>
    <w:rsid w:val="33E94AF0"/>
    <w:rsid w:val="3428227C"/>
    <w:rsid w:val="34B535A2"/>
    <w:rsid w:val="35260F83"/>
    <w:rsid w:val="35602226"/>
    <w:rsid w:val="356B72E7"/>
    <w:rsid w:val="3572424F"/>
    <w:rsid w:val="35FC3844"/>
    <w:rsid w:val="36AD519D"/>
    <w:rsid w:val="36B57705"/>
    <w:rsid w:val="36D16B11"/>
    <w:rsid w:val="37A103ED"/>
    <w:rsid w:val="37EA5E6E"/>
    <w:rsid w:val="37FF016F"/>
    <w:rsid w:val="38427C0B"/>
    <w:rsid w:val="387C5ABE"/>
    <w:rsid w:val="389B3A1E"/>
    <w:rsid w:val="38EB6119"/>
    <w:rsid w:val="39FE0BE9"/>
    <w:rsid w:val="3A3C1AAF"/>
    <w:rsid w:val="3A51228C"/>
    <w:rsid w:val="3A552E60"/>
    <w:rsid w:val="3A5D642F"/>
    <w:rsid w:val="3AB210FC"/>
    <w:rsid w:val="3AD95C13"/>
    <w:rsid w:val="3B261E51"/>
    <w:rsid w:val="3BCD72F7"/>
    <w:rsid w:val="3C414142"/>
    <w:rsid w:val="3C885552"/>
    <w:rsid w:val="3CF737A2"/>
    <w:rsid w:val="3D10295A"/>
    <w:rsid w:val="3E0572FD"/>
    <w:rsid w:val="3E1A5292"/>
    <w:rsid w:val="3E5A7FE7"/>
    <w:rsid w:val="3EC8179E"/>
    <w:rsid w:val="3EF66B2E"/>
    <w:rsid w:val="3F217914"/>
    <w:rsid w:val="3FD70BB0"/>
    <w:rsid w:val="3FFB55AC"/>
    <w:rsid w:val="401C5F9D"/>
    <w:rsid w:val="401C690C"/>
    <w:rsid w:val="401D7195"/>
    <w:rsid w:val="40CE3DC0"/>
    <w:rsid w:val="40D7455A"/>
    <w:rsid w:val="40E743E5"/>
    <w:rsid w:val="4110038E"/>
    <w:rsid w:val="41734CBA"/>
    <w:rsid w:val="41DD7057"/>
    <w:rsid w:val="420F7A65"/>
    <w:rsid w:val="4216611A"/>
    <w:rsid w:val="423E300F"/>
    <w:rsid w:val="425656C8"/>
    <w:rsid w:val="4257273C"/>
    <w:rsid w:val="425D7213"/>
    <w:rsid w:val="42677B61"/>
    <w:rsid w:val="42756DB0"/>
    <w:rsid w:val="42B21AD2"/>
    <w:rsid w:val="42FD694D"/>
    <w:rsid w:val="434A6D8F"/>
    <w:rsid w:val="43CC79F7"/>
    <w:rsid w:val="43FA5777"/>
    <w:rsid w:val="44044D92"/>
    <w:rsid w:val="441C1611"/>
    <w:rsid w:val="443C440B"/>
    <w:rsid w:val="443F7DBF"/>
    <w:rsid w:val="44514F52"/>
    <w:rsid w:val="448965CB"/>
    <w:rsid w:val="44FA2D53"/>
    <w:rsid w:val="4571374F"/>
    <w:rsid w:val="458B1BB0"/>
    <w:rsid w:val="4611075B"/>
    <w:rsid w:val="46214818"/>
    <w:rsid w:val="467A0297"/>
    <w:rsid w:val="468B7125"/>
    <w:rsid w:val="46C4691F"/>
    <w:rsid w:val="479D1D34"/>
    <w:rsid w:val="47B609C0"/>
    <w:rsid w:val="482D31EA"/>
    <w:rsid w:val="485970A0"/>
    <w:rsid w:val="48A41906"/>
    <w:rsid w:val="48B65C71"/>
    <w:rsid w:val="48F303D7"/>
    <w:rsid w:val="492837FF"/>
    <w:rsid w:val="492E6A57"/>
    <w:rsid w:val="4A0030EE"/>
    <w:rsid w:val="4A8573E0"/>
    <w:rsid w:val="4AA97B2E"/>
    <w:rsid w:val="4AC36065"/>
    <w:rsid w:val="4B7501F5"/>
    <w:rsid w:val="4B8C2DEB"/>
    <w:rsid w:val="4BFA3C9F"/>
    <w:rsid w:val="4C0E3379"/>
    <w:rsid w:val="4C107F48"/>
    <w:rsid w:val="4C3277BC"/>
    <w:rsid w:val="4C4E402D"/>
    <w:rsid w:val="4CC353EB"/>
    <w:rsid w:val="4CF36F3C"/>
    <w:rsid w:val="4D4F67BA"/>
    <w:rsid w:val="4D603399"/>
    <w:rsid w:val="4D867EE1"/>
    <w:rsid w:val="4DBC4C65"/>
    <w:rsid w:val="4DF6568D"/>
    <w:rsid w:val="4E550010"/>
    <w:rsid w:val="4E5F14CB"/>
    <w:rsid w:val="4F3705F8"/>
    <w:rsid w:val="4FAC3540"/>
    <w:rsid w:val="4FBB12F4"/>
    <w:rsid w:val="4FCF1583"/>
    <w:rsid w:val="4FFA7625"/>
    <w:rsid w:val="501B0BF9"/>
    <w:rsid w:val="507D2599"/>
    <w:rsid w:val="5096229D"/>
    <w:rsid w:val="50D63279"/>
    <w:rsid w:val="50DC4184"/>
    <w:rsid w:val="51475B39"/>
    <w:rsid w:val="514C3EA7"/>
    <w:rsid w:val="519849E5"/>
    <w:rsid w:val="51B36892"/>
    <w:rsid w:val="51EE0F39"/>
    <w:rsid w:val="52506DA7"/>
    <w:rsid w:val="533B2B84"/>
    <w:rsid w:val="537A7243"/>
    <w:rsid w:val="539C1B81"/>
    <w:rsid w:val="53AE750F"/>
    <w:rsid w:val="53F263AD"/>
    <w:rsid w:val="54693932"/>
    <w:rsid w:val="548B0C6C"/>
    <w:rsid w:val="549A6BFA"/>
    <w:rsid w:val="54AE2011"/>
    <w:rsid w:val="54E72921"/>
    <w:rsid w:val="55653C2D"/>
    <w:rsid w:val="55806F07"/>
    <w:rsid w:val="55FA2961"/>
    <w:rsid w:val="565E7F4F"/>
    <w:rsid w:val="56775789"/>
    <w:rsid w:val="56857D06"/>
    <w:rsid w:val="56914056"/>
    <w:rsid w:val="56DB613D"/>
    <w:rsid w:val="5768623B"/>
    <w:rsid w:val="57F67A70"/>
    <w:rsid w:val="57FC2169"/>
    <w:rsid w:val="58096275"/>
    <w:rsid w:val="581C04F1"/>
    <w:rsid w:val="582E6EF7"/>
    <w:rsid w:val="58434392"/>
    <w:rsid w:val="584E30E6"/>
    <w:rsid w:val="58D73C60"/>
    <w:rsid w:val="59014D02"/>
    <w:rsid w:val="597A3F48"/>
    <w:rsid w:val="597B384D"/>
    <w:rsid w:val="59996DA8"/>
    <w:rsid w:val="59C30F1B"/>
    <w:rsid w:val="5A0D5854"/>
    <w:rsid w:val="5A20156F"/>
    <w:rsid w:val="5AC7121C"/>
    <w:rsid w:val="5AD90B8D"/>
    <w:rsid w:val="5AE12927"/>
    <w:rsid w:val="5B2243E9"/>
    <w:rsid w:val="5B4E1A44"/>
    <w:rsid w:val="5B666742"/>
    <w:rsid w:val="5B873201"/>
    <w:rsid w:val="5B89551D"/>
    <w:rsid w:val="5B967767"/>
    <w:rsid w:val="5B9E55DE"/>
    <w:rsid w:val="5BA27F83"/>
    <w:rsid w:val="5C286807"/>
    <w:rsid w:val="5C446BC8"/>
    <w:rsid w:val="5C4C687B"/>
    <w:rsid w:val="5C7C2768"/>
    <w:rsid w:val="5CB23AE6"/>
    <w:rsid w:val="5CF55792"/>
    <w:rsid w:val="5CFD533A"/>
    <w:rsid w:val="5D893B14"/>
    <w:rsid w:val="5E2B7D62"/>
    <w:rsid w:val="5EA06921"/>
    <w:rsid w:val="5ED5006A"/>
    <w:rsid w:val="5F576E4B"/>
    <w:rsid w:val="5F7A2C30"/>
    <w:rsid w:val="5FB25A93"/>
    <w:rsid w:val="5FBE370A"/>
    <w:rsid w:val="5FFC44F7"/>
    <w:rsid w:val="60292845"/>
    <w:rsid w:val="612E1A5D"/>
    <w:rsid w:val="61816046"/>
    <w:rsid w:val="62391564"/>
    <w:rsid w:val="62816669"/>
    <w:rsid w:val="62BA0953"/>
    <w:rsid w:val="62D03A7C"/>
    <w:rsid w:val="62F16BCB"/>
    <w:rsid w:val="62F648FE"/>
    <w:rsid w:val="63341DB1"/>
    <w:rsid w:val="63732BE0"/>
    <w:rsid w:val="63A10995"/>
    <w:rsid w:val="63C23EFA"/>
    <w:rsid w:val="643A070A"/>
    <w:rsid w:val="644C573D"/>
    <w:rsid w:val="648667A7"/>
    <w:rsid w:val="64DB383A"/>
    <w:rsid w:val="65032F85"/>
    <w:rsid w:val="65136B50"/>
    <w:rsid w:val="657E2A35"/>
    <w:rsid w:val="65A94E9D"/>
    <w:rsid w:val="65C60A92"/>
    <w:rsid w:val="662203DD"/>
    <w:rsid w:val="66DD6702"/>
    <w:rsid w:val="679406CB"/>
    <w:rsid w:val="67C35C0B"/>
    <w:rsid w:val="68652AB3"/>
    <w:rsid w:val="68AD17BB"/>
    <w:rsid w:val="68D94D22"/>
    <w:rsid w:val="692B2E4A"/>
    <w:rsid w:val="694303FB"/>
    <w:rsid w:val="696A0B34"/>
    <w:rsid w:val="698D6A17"/>
    <w:rsid w:val="69EE3535"/>
    <w:rsid w:val="69F954C1"/>
    <w:rsid w:val="6A2031B6"/>
    <w:rsid w:val="6A440C53"/>
    <w:rsid w:val="6AC61F6F"/>
    <w:rsid w:val="6ADE74F0"/>
    <w:rsid w:val="6B1002C0"/>
    <w:rsid w:val="6B723594"/>
    <w:rsid w:val="6B805156"/>
    <w:rsid w:val="6BD50977"/>
    <w:rsid w:val="6BEA2A9B"/>
    <w:rsid w:val="6C9C0875"/>
    <w:rsid w:val="6CAA3931"/>
    <w:rsid w:val="6D3933CA"/>
    <w:rsid w:val="6D7B61EC"/>
    <w:rsid w:val="6DD049FF"/>
    <w:rsid w:val="6E09491E"/>
    <w:rsid w:val="6E0D3655"/>
    <w:rsid w:val="6E5F4465"/>
    <w:rsid w:val="6E8C54DA"/>
    <w:rsid w:val="6EF11E03"/>
    <w:rsid w:val="6F111C62"/>
    <w:rsid w:val="6F2176E5"/>
    <w:rsid w:val="6F3053CA"/>
    <w:rsid w:val="6F592303"/>
    <w:rsid w:val="6F5F5B74"/>
    <w:rsid w:val="6F9B1C65"/>
    <w:rsid w:val="6FA450F5"/>
    <w:rsid w:val="6FD47A25"/>
    <w:rsid w:val="6FFB146E"/>
    <w:rsid w:val="701A5C74"/>
    <w:rsid w:val="702B0E01"/>
    <w:rsid w:val="706516C3"/>
    <w:rsid w:val="70896E68"/>
    <w:rsid w:val="70F4587B"/>
    <w:rsid w:val="715B60E9"/>
    <w:rsid w:val="71EA1FED"/>
    <w:rsid w:val="72C16204"/>
    <w:rsid w:val="730313F6"/>
    <w:rsid w:val="731E1007"/>
    <w:rsid w:val="73370D24"/>
    <w:rsid w:val="734B1ED3"/>
    <w:rsid w:val="7359268C"/>
    <w:rsid w:val="736A1C3F"/>
    <w:rsid w:val="738A05A4"/>
    <w:rsid w:val="739503EB"/>
    <w:rsid w:val="73A05B28"/>
    <w:rsid w:val="73C07D69"/>
    <w:rsid w:val="73DC72CC"/>
    <w:rsid w:val="743069B6"/>
    <w:rsid w:val="74B42AE4"/>
    <w:rsid w:val="750A429D"/>
    <w:rsid w:val="755D38A7"/>
    <w:rsid w:val="75614792"/>
    <w:rsid w:val="75784473"/>
    <w:rsid w:val="757E044C"/>
    <w:rsid w:val="75977BC3"/>
    <w:rsid w:val="75B161B3"/>
    <w:rsid w:val="75E470E3"/>
    <w:rsid w:val="76736B32"/>
    <w:rsid w:val="76E3765E"/>
    <w:rsid w:val="76FC2AFA"/>
    <w:rsid w:val="77653671"/>
    <w:rsid w:val="778546CC"/>
    <w:rsid w:val="77A269AC"/>
    <w:rsid w:val="77B56730"/>
    <w:rsid w:val="77B76785"/>
    <w:rsid w:val="77C04A8B"/>
    <w:rsid w:val="77D85DB3"/>
    <w:rsid w:val="780252A0"/>
    <w:rsid w:val="78027772"/>
    <w:rsid w:val="78A50513"/>
    <w:rsid w:val="796518DD"/>
    <w:rsid w:val="796E0C55"/>
    <w:rsid w:val="79AA0532"/>
    <w:rsid w:val="79FE1DDD"/>
    <w:rsid w:val="7A075767"/>
    <w:rsid w:val="7A212062"/>
    <w:rsid w:val="7A282A11"/>
    <w:rsid w:val="7AC21562"/>
    <w:rsid w:val="7AD474A4"/>
    <w:rsid w:val="7B5350AD"/>
    <w:rsid w:val="7B697C89"/>
    <w:rsid w:val="7B8D34C3"/>
    <w:rsid w:val="7B971D84"/>
    <w:rsid w:val="7BF32F03"/>
    <w:rsid w:val="7C1724A5"/>
    <w:rsid w:val="7C3009E4"/>
    <w:rsid w:val="7C8E3CCF"/>
    <w:rsid w:val="7CA54112"/>
    <w:rsid w:val="7CE50CE4"/>
    <w:rsid w:val="7D2E5ABF"/>
    <w:rsid w:val="7DCA05F2"/>
    <w:rsid w:val="7E2142A2"/>
    <w:rsid w:val="7E4F5384"/>
    <w:rsid w:val="7E5A6DFA"/>
    <w:rsid w:val="7E7B0BF2"/>
    <w:rsid w:val="7E8D75B6"/>
    <w:rsid w:val="7EB2417D"/>
    <w:rsid w:val="7EF760EE"/>
    <w:rsid w:val="7F2A21E7"/>
    <w:rsid w:val="7F5F41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ind w:firstLine="0" w:firstLineChars="0"/>
    </w:pPr>
    <w:rPr>
      <w:rFonts w:ascii="Tahoma" w:hAnsi="Tahoma" w:eastAsia="宋体" w:cstheme="minorBidi"/>
      <w:sz w:val="21"/>
      <w:szCs w:val="22"/>
      <w:lang w:val="en-US" w:eastAsia="zh-CN" w:bidi="ar-SA"/>
    </w:rPr>
  </w:style>
  <w:style w:type="paragraph" w:styleId="2">
    <w:name w:val="heading 1"/>
    <w:basedOn w:val="1"/>
    <w:next w:val="1"/>
    <w:qFormat/>
    <w:uiPriority w:val="0"/>
    <w:pPr>
      <w:keepNext/>
      <w:keepLines/>
      <w:pageBreakBefore/>
      <w:numPr>
        <w:ilvl w:val="0"/>
        <w:numId w:val="1"/>
      </w:numPr>
      <w:spacing w:before="120" w:after="120" w:line="360" w:lineRule="auto"/>
      <w:outlineLvl w:val="0"/>
    </w:pPr>
    <w:rPr>
      <w:rFonts w:ascii="楷体" w:hAnsi="楷体" w:eastAsia="楷体" w:cstheme="minorBidi"/>
      <w:b/>
      <w:bCs/>
      <w:kern w:val="44"/>
      <w:sz w:val="36"/>
      <w:szCs w:val="36"/>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2"/>
    <w:unhideWhenUsed/>
    <w:qFormat/>
    <w:uiPriority w:val="9"/>
    <w:pPr>
      <w:keepNext/>
      <w:keepLines/>
      <w:spacing w:line="360" w:lineRule="auto"/>
      <w:ind w:firstLine="0" w:firstLineChars="0"/>
      <w:outlineLvl w:val="3"/>
    </w:pPr>
    <w:rPr>
      <w:rFonts w:eastAsia="宋体" w:asciiTheme="majorAscii" w:hAnsiTheme="majorAscii" w:cstheme="majorBidi"/>
      <w:b/>
      <w:bCs/>
      <w:sz w:val="24"/>
      <w:szCs w:val="28"/>
    </w:rPr>
  </w:style>
  <w:style w:type="paragraph" w:styleId="6">
    <w:name w:val="heading 5"/>
    <w:basedOn w:val="1"/>
    <w:next w:val="1"/>
    <w:unhideWhenUsed/>
    <w:qFormat/>
    <w:uiPriority w:val="9"/>
    <w:pPr>
      <w:keepNext/>
      <w:keepLines/>
      <w:spacing w:beforeLines="0" w:beforeAutospacing="0" w:afterLines="0" w:afterAutospacing="0" w:line="360" w:lineRule="auto"/>
      <w:ind w:firstLine="0" w:firstLineChars="0"/>
      <w:outlineLvl w:val="4"/>
    </w:pPr>
  </w:style>
  <w:style w:type="paragraph" w:styleId="7">
    <w:name w:val="heading 8"/>
    <w:basedOn w:val="1"/>
    <w:next w:val="1"/>
    <w:qFormat/>
    <w:uiPriority w:val="0"/>
    <w:pPr>
      <w:tabs>
        <w:tab w:val="left" w:pos="1137"/>
      </w:tabs>
      <w:adjustRightInd w:val="0"/>
      <w:snapToGrid w:val="0"/>
      <w:spacing w:before="120" w:line="360" w:lineRule="auto"/>
      <w:ind w:left="420" w:hanging="420"/>
      <w:jc w:val="left"/>
      <w:outlineLvl w:val="7"/>
    </w:pPr>
    <w:rPr>
      <w:rFonts w:ascii="Arial" w:hAnsi="Arial" w:eastAsia="宋体" w:cs="Times New Roman"/>
      <w:sz w:val="24"/>
      <w:szCs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semiHidden/>
    <w:unhideWhenUsed/>
    <w:qFormat/>
    <w:uiPriority w:val="99"/>
  </w:style>
  <w:style w:type="paragraph" w:styleId="9">
    <w:name w:val="Body Text"/>
    <w:basedOn w:val="1"/>
    <w:next w:val="1"/>
    <w:qFormat/>
    <w:uiPriority w:val="1"/>
    <w:pPr>
      <w:spacing w:before="161"/>
      <w:ind w:left="120"/>
    </w:pPr>
    <w:rPr>
      <w:rFonts w:ascii="宋体" w:hAnsi="宋体" w:eastAsia="宋体" w:cs="宋体"/>
      <w:sz w:val="24"/>
      <w:lang w:val="zh-CN" w:bidi="zh-CN"/>
    </w:rPr>
  </w:style>
  <w:style w:type="paragraph" w:styleId="10">
    <w:name w:val="toc 3"/>
    <w:basedOn w:val="1"/>
    <w:next w:val="1"/>
    <w:unhideWhenUsed/>
    <w:qFormat/>
    <w:uiPriority w:val="39"/>
    <w:pPr>
      <w:tabs>
        <w:tab w:val="right" w:leader="dot" w:pos="8296"/>
      </w:tabs>
      <w:ind w:left="838" w:leftChars="381"/>
    </w:pPr>
    <w:rPr>
      <w:sz w:val="21"/>
      <w:szCs w:val="21"/>
    </w:rPr>
  </w:style>
  <w:style w:type="paragraph" w:styleId="11">
    <w:name w:val="Plain Text"/>
    <w:basedOn w:val="1"/>
    <w:link w:val="43"/>
    <w:qFormat/>
    <w:uiPriority w:val="0"/>
    <w:pPr>
      <w:widowControl w:val="0"/>
      <w:adjustRightInd/>
      <w:snapToGrid/>
      <w:spacing w:after="0"/>
      <w:jc w:val="both"/>
    </w:pPr>
    <w:rPr>
      <w:rFonts w:ascii="宋体" w:hAnsi="Courier New" w:eastAsia="宋体" w:cs="Times New Roman"/>
      <w:b/>
      <w:kern w:val="2"/>
      <w:sz w:val="21"/>
      <w:szCs w:val="20"/>
    </w:rPr>
  </w:style>
  <w:style w:type="paragraph" w:styleId="12">
    <w:name w:val="Balloon Text"/>
    <w:basedOn w:val="1"/>
    <w:link w:val="46"/>
    <w:semiHidden/>
    <w:unhideWhenUsed/>
    <w:qFormat/>
    <w:uiPriority w:val="99"/>
    <w:pPr>
      <w:spacing w:after="0"/>
    </w:pPr>
    <w:rPr>
      <w:sz w:val="18"/>
      <w:szCs w:val="18"/>
    </w:rPr>
  </w:style>
  <w:style w:type="paragraph" w:styleId="13">
    <w:name w:val="footer"/>
    <w:basedOn w:val="1"/>
    <w:link w:val="45"/>
    <w:unhideWhenUsed/>
    <w:qFormat/>
    <w:uiPriority w:val="99"/>
    <w:pPr>
      <w:tabs>
        <w:tab w:val="center" w:pos="4153"/>
        <w:tab w:val="right" w:pos="8306"/>
      </w:tabs>
    </w:pPr>
    <w:rPr>
      <w:sz w:val="18"/>
      <w:szCs w:val="18"/>
    </w:rPr>
  </w:style>
  <w:style w:type="paragraph" w:styleId="14">
    <w:name w:val="header"/>
    <w:basedOn w:val="1"/>
    <w:link w:val="44"/>
    <w:unhideWhenUsed/>
    <w:qFormat/>
    <w:uiPriority w:val="99"/>
    <w:pPr>
      <w:pBdr>
        <w:bottom w:val="single" w:color="auto" w:sz="6" w:space="1"/>
      </w:pBdr>
      <w:tabs>
        <w:tab w:val="center" w:pos="4153"/>
        <w:tab w:val="right" w:pos="8306"/>
      </w:tabs>
      <w:jc w:val="center"/>
    </w:pPr>
    <w:rPr>
      <w:sz w:val="18"/>
      <w:szCs w:val="18"/>
    </w:rPr>
  </w:style>
  <w:style w:type="paragraph" w:styleId="15">
    <w:name w:val="toc 1"/>
    <w:basedOn w:val="1"/>
    <w:next w:val="1"/>
    <w:semiHidden/>
    <w:unhideWhenUsed/>
    <w:qFormat/>
    <w:uiPriority w:val="39"/>
  </w:style>
  <w:style w:type="paragraph" w:styleId="16">
    <w:name w:val="toc 4"/>
    <w:basedOn w:val="1"/>
    <w:next w:val="1"/>
    <w:unhideWhenUsed/>
    <w:qFormat/>
    <w:uiPriority w:val="39"/>
    <w:pPr>
      <w:tabs>
        <w:tab w:val="right" w:leader="dot" w:pos="8296"/>
      </w:tabs>
      <w:spacing w:after="120"/>
      <w:ind w:left="1320" w:leftChars="600"/>
    </w:pPr>
  </w:style>
  <w:style w:type="paragraph" w:styleId="17">
    <w:name w:val="footnote text"/>
    <w:basedOn w:val="1"/>
    <w:semiHidden/>
    <w:unhideWhenUsed/>
    <w:qFormat/>
    <w:uiPriority w:val="99"/>
    <w:pPr>
      <w:snapToGrid w:val="0"/>
      <w:jc w:val="left"/>
    </w:pPr>
    <w:rPr>
      <w:sz w:val="18"/>
    </w:rPr>
  </w:style>
  <w:style w:type="paragraph" w:styleId="18">
    <w:name w:val="toc 2"/>
    <w:basedOn w:val="1"/>
    <w:next w:val="1"/>
    <w:unhideWhenUsed/>
    <w:qFormat/>
    <w:uiPriority w:val="39"/>
    <w:pPr>
      <w:tabs>
        <w:tab w:val="right" w:leader="dot" w:pos="8296"/>
      </w:tabs>
      <w:spacing w:after="0" w:line="360" w:lineRule="auto"/>
      <w:ind w:left="440" w:leftChars="200"/>
      <w:jc w:val="center"/>
    </w:pPr>
    <w:rPr>
      <w:rFonts w:ascii="宋体" w:hAnsi="宋体" w:eastAsia="宋体"/>
      <w:sz w:val="30"/>
      <w:szCs w:val="30"/>
    </w:rPr>
  </w:style>
  <w:style w:type="paragraph" w:styleId="19">
    <w:name w:val="Normal (Web)"/>
    <w:basedOn w:val="1"/>
    <w:link w:val="48"/>
    <w:qFormat/>
    <w:uiPriority w:val="0"/>
    <w:pPr>
      <w:widowControl w:val="0"/>
      <w:adjustRightInd/>
      <w:snapToGrid/>
      <w:spacing w:after="0"/>
      <w:jc w:val="both"/>
    </w:pPr>
    <w:rPr>
      <w:rFonts w:eastAsia="宋体" w:asciiTheme="minorHAnsi" w:hAnsiTheme="minorHAnsi"/>
      <w:kern w:val="2"/>
      <w:sz w:val="24"/>
      <w:szCs w:val="24"/>
    </w:rPr>
  </w:style>
  <w:style w:type="paragraph" w:styleId="20">
    <w:name w:val="Body Text First Indent"/>
    <w:basedOn w:val="9"/>
    <w:unhideWhenUsed/>
    <w:qFormat/>
    <w:uiPriority w:val="99"/>
    <w:pPr>
      <w:ind w:firstLine="420" w:firstLineChars="100"/>
    </w:pPr>
    <w:rPr>
      <w:rFonts w:ascii="Times New Roman" w:hAnsi="Times New Roman" w:cs="Times New Roman"/>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Emphasis"/>
    <w:basedOn w:val="23"/>
    <w:qFormat/>
    <w:uiPriority w:val="20"/>
    <w:rPr>
      <w:i/>
      <w:iCs/>
    </w:rPr>
  </w:style>
  <w:style w:type="character" w:styleId="25">
    <w:name w:val="Hyperlink"/>
    <w:qFormat/>
    <w:uiPriority w:val="99"/>
    <w:rPr>
      <w:rFonts w:hint="eastAsia" w:ascii="宋体" w:hAnsi="宋体" w:eastAsia="宋体" w:cs="宋体"/>
      <w:b/>
      <w:color w:val="0031C1"/>
      <w:kern w:val="0"/>
      <w:sz w:val="18"/>
      <w:szCs w:val="18"/>
      <w:u w:val="none"/>
      <w:lang w:eastAsia="en-US"/>
    </w:rPr>
  </w:style>
  <w:style w:type="character" w:styleId="26">
    <w:name w:val="annotation reference"/>
    <w:basedOn w:val="23"/>
    <w:semiHidden/>
    <w:unhideWhenUsed/>
    <w:qFormat/>
    <w:uiPriority w:val="99"/>
    <w:rPr>
      <w:sz w:val="21"/>
      <w:szCs w:val="21"/>
    </w:rPr>
  </w:style>
  <w:style w:type="character" w:styleId="27">
    <w:name w:val="footnote reference"/>
    <w:basedOn w:val="23"/>
    <w:semiHidden/>
    <w:unhideWhenUsed/>
    <w:qFormat/>
    <w:uiPriority w:val="99"/>
    <w:rPr>
      <w:vertAlign w:val="superscript"/>
    </w:rPr>
  </w:style>
  <w:style w:type="paragraph" w:customStyle="1" w:styleId="28">
    <w:name w:val="表格文字"/>
    <w:basedOn w:val="1"/>
    <w:qFormat/>
    <w:uiPriority w:val="0"/>
    <w:pPr>
      <w:autoSpaceDE/>
      <w:autoSpaceDN/>
      <w:adjustRightInd/>
      <w:spacing w:before="25" w:after="25"/>
    </w:pPr>
    <w:rPr>
      <w:rFonts w:ascii="Times New Roman"/>
      <w:bCs/>
      <w:spacing w:val="10"/>
      <w:szCs w:val="20"/>
    </w:rPr>
  </w:style>
  <w:style w:type="character" w:customStyle="1" w:styleId="29">
    <w:name w:val="标题 2 Char"/>
    <w:basedOn w:val="23"/>
    <w:link w:val="3"/>
    <w:qFormat/>
    <w:uiPriority w:val="9"/>
    <w:rPr>
      <w:rFonts w:asciiTheme="majorHAnsi" w:hAnsiTheme="majorHAnsi" w:eastAsiaTheme="majorEastAsia" w:cstheme="majorBidi"/>
      <w:b/>
      <w:bCs/>
      <w:sz w:val="32"/>
      <w:szCs w:val="32"/>
    </w:rPr>
  </w:style>
  <w:style w:type="character" w:customStyle="1" w:styleId="30">
    <w:name w:val="标题 3 Char"/>
    <w:basedOn w:val="23"/>
    <w:link w:val="4"/>
    <w:qFormat/>
    <w:uiPriority w:val="9"/>
    <w:rPr>
      <w:rFonts w:ascii="Tahoma" w:hAnsi="Tahoma"/>
      <w:b/>
      <w:bCs/>
      <w:sz w:val="32"/>
      <w:szCs w:val="32"/>
    </w:rPr>
  </w:style>
  <w:style w:type="paragraph" w:styleId="31">
    <w:name w:val="List Paragraph"/>
    <w:basedOn w:val="1"/>
    <w:qFormat/>
    <w:uiPriority w:val="34"/>
    <w:pPr>
      <w:ind w:firstLine="420" w:firstLineChars="200"/>
    </w:pPr>
  </w:style>
  <w:style w:type="character" w:customStyle="1" w:styleId="32">
    <w:name w:val="标题 4 Char"/>
    <w:basedOn w:val="23"/>
    <w:link w:val="5"/>
    <w:qFormat/>
    <w:uiPriority w:val="9"/>
    <w:rPr>
      <w:rFonts w:eastAsia="宋体" w:asciiTheme="majorAscii" w:hAnsiTheme="majorAscii" w:cstheme="majorBidi"/>
      <w:b/>
      <w:bCs/>
      <w:sz w:val="24"/>
      <w:szCs w:val="28"/>
    </w:rPr>
  </w:style>
  <w:style w:type="character" w:customStyle="1" w:styleId="33">
    <w:name w:val="正文缩进2格 Char"/>
    <w:link w:val="34"/>
    <w:qFormat/>
    <w:uiPriority w:val="0"/>
    <w:rPr>
      <w:rFonts w:ascii="仿宋_GB2312" w:hAnsi="宋体" w:eastAsia="仿宋_GB2312"/>
      <w:kern w:val="2"/>
      <w:sz w:val="31"/>
    </w:rPr>
  </w:style>
  <w:style w:type="paragraph" w:customStyle="1" w:styleId="34">
    <w:name w:val="正文缩进2格"/>
    <w:basedOn w:val="1"/>
    <w:link w:val="33"/>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35">
    <w:name w:val="正文缩进4格"/>
    <w:basedOn w:val="34"/>
    <w:qFormat/>
    <w:uiPriority w:val="0"/>
    <w:pPr>
      <w:ind w:left="2" w:firstLine="538" w:firstLineChars="192"/>
    </w:pPr>
    <w:rPr>
      <w:color w:val="0000FF"/>
      <w:sz w:val="28"/>
    </w:rPr>
  </w:style>
  <w:style w:type="character" w:customStyle="1" w:styleId="36">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37">
    <w:name w:val="_Style 3"/>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38">
    <w:name w:val="标题1"/>
    <w:qFormat/>
    <w:uiPriority w:val="0"/>
    <w:rPr>
      <w:rFonts w:ascii="Times New Roman" w:hAnsi="Times New Roman" w:eastAsia="宋体" w:cs="Times New Roman"/>
      <w:b/>
      <w:kern w:val="0"/>
      <w:sz w:val="24"/>
      <w:szCs w:val="20"/>
      <w:lang w:eastAsia="en-US"/>
    </w:rPr>
  </w:style>
  <w:style w:type="character" w:customStyle="1" w:styleId="39">
    <w:name w:val="标题 3.1 Char"/>
    <w:link w:val="40"/>
    <w:qFormat/>
    <w:uiPriority w:val="0"/>
    <w:rPr>
      <w:rFonts w:ascii="宋体" w:hAnsi="宋体" w:eastAsia="宋体"/>
      <w:b/>
      <w:color w:val="FF0000"/>
      <w:kern w:val="2"/>
      <w:sz w:val="32"/>
    </w:rPr>
  </w:style>
  <w:style w:type="paragraph" w:customStyle="1" w:styleId="40">
    <w:name w:val="标题 3.1"/>
    <w:basedOn w:val="4"/>
    <w:link w:val="39"/>
    <w:qFormat/>
    <w:uiPriority w:val="0"/>
    <w:pPr>
      <w:widowControl w:val="0"/>
      <w:tabs>
        <w:tab w:val="left" w:pos="1440"/>
        <w:tab w:val="left" w:pos="1620"/>
      </w:tabs>
      <w:adjustRightInd/>
      <w:snapToGrid/>
      <w:spacing w:line="600" w:lineRule="exact"/>
      <w:jc w:val="both"/>
    </w:pPr>
    <w:rPr>
      <w:rFonts w:ascii="宋体" w:hAnsi="宋体" w:eastAsia="宋体"/>
      <w:bCs w:val="0"/>
      <w:color w:val="FF0000"/>
      <w:kern w:val="2"/>
      <w:szCs w:val="22"/>
    </w:rPr>
  </w:style>
  <w:style w:type="character" w:customStyle="1" w:styleId="41">
    <w:name w:val="样式 楷体_GB2312 小四"/>
    <w:qFormat/>
    <w:uiPriority w:val="0"/>
    <w:rPr>
      <w:rFonts w:ascii="楷体_GB2312" w:hAnsi="楷体_GB2312" w:eastAsia="仿宋_GB2312"/>
      <w:sz w:val="24"/>
    </w:rPr>
  </w:style>
  <w:style w:type="character" w:customStyle="1" w:styleId="42">
    <w:name w:val="纯文本 Char"/>
    <w:qFormat/>
    <w:uiPriority w:val="0"/>
    <w:rPr>
      <w:rFonts w:ascii="宋体" w:hAnsi="Courier New" w:eastAsia="宋体" w:cs="Times New Roman"/>
      <w:b/>
      <w:kern w:val="2"/>
      <w:sz w:val="21"/>
      <w:szCs w:val="20"/>
    </w:rPr>
  </w:style>
  <w:style w:type="character" w:customStyle="1" w:styleId="43">
    <w:name w:val="纯文本 Char1"/>
    <w:basedOn w:val="23"/>
    <w:link w:val="11"/>
    <w:semiHidden/>
    <w:qFormat/>
    <w:uiPriority w:val="99"/>
    <w:rPr>
      <w:rFonts w:ascii="宋体" w:hAnsi="Courier New" w:eastAsia="宋体" w:cs="Courier New"/>
      <w:sz w:val="21"/>
      <w:szCs w:val="21"/>
    </w:rPr>
  </w:style>
  <w:style w:type="character" w:customStyle="1" w:styleId="44">
    <w:name w:val="页眉 Char"/>
    <w:basedOn w:val="23"/>
    <w:link w:val="14"/>
    <w:qFormat/>
    <w:uiPriority w:val="99"/>
    <w:rPr>
      <w:rFonts w:ascii="Tahoma" w:hAnsi="Tahoma"/>
      <w:sz w:val="18"/>
      <w:szCs w:val="18"/>
    </w:rPr>
  </w:style>
  <w:style w:type="character" w:customStyle="1" w:styleId="45">
    <w:name w:val="页脚 Char"/>
    <w:basedOn w:val="23"/>
    <w:link w:val="13"/>
    <w:qFormat/>
    <w:uiPriority w:val="99"/>
    <w:rPr>
      <w:rFonts w:ascii="Tahoma" w:hAnsi="Tahoma"/>
      <w:sz w:val="18"/>
      <w:szCs w:val="18"/>
    </w:rPr>
  </w:style>
  <w:style w:type="character" w:customStyle="1" w:styleId="46">
    <w:name w:val="批注框文本 Char"/>
    <w:basedOn w:val="23"/>
    <w:link w:val="12"/>
    <w:semiHidden/>
    <w:qFormat/>
    <w:uiPriority w:val="99"/>
    <w:rPr>
      <w:rFonts w:ascii="Tahoma" w:hAnsi="Tahoma"/>
      <w:sz w:val="18"/>
      <w:szCs w:val="18"/>
    </w:rPr>
  </w:style>
  <w:style w:type="paragraph" w:customStyle="1" w:styleId="47">
    <w:name w:val="Char Char2 Char"/>
    <w:basedOn w:val="1"/>
    <w:qFormat/>
    <w:uiPriority w:val="0"/>
    <w:pPr>
      <w:widowControl w:val="0"/>
      <w:adjustRightInd/>
      <w:snapToGrid/>
      <w:spacing w:after="0"/>
      <w:jc w:val="both"/>
    </w:pPr>
    <w:rPr>
      <w:rFonts w:ascii="宋体" w:hAnsi="宋体" w:eastAsia="宋体" w:cs="Times New Roman"/>
      <w:b/>
      <w:kern w:val="2"/>
      <w:sz w:val="28"/>
      <w:szCs w:val="28"/>
    </w:rPr>
  </w:style>
  <w:style w:type="character" w:customStyle="1" w:styleId="48">
    <w:name w:val="普通(网站) Char"/>
    <w:link w:val="19"/>
    <w:qFormat/>
    <w:uiPriority w:val="0"/>
    <w:rPr>
      <w:rFonts w:eastAsia="宋体"/>
      <w:kern w:val="2"/>
      <w:sz w:val="24"/>
      <w:szCs w:val="24"/>
    </w:rPr>
  </w:style>
  <w:style w:type="paragraph" w:customStyle="1" w:styleId="49">
    <w:name w:val="列出段落1"/>
    <w:basedOn w:val="1"/>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character" w:customStyle="1" w:styleId="50">
    <w:name w:val="p141"/>
    <w:qFormat/>
    <w:uiPriority w:val="0"/>
    <w:rPr>
      <w:sz w:val="21"/>
      <w:szCs w:val="21"/>
    </w:rPr>
  </w:style>
  <w:style w:type="paragraph" w:customStyle="1" w:styleId="51">
    <w:name w:val="正文 New New New New New New"/>
    <w:next w:val="52"/>
    <w:qFormat/>
    <w:uiPriority w:val="0"/>
    <w:pPr>
      <w:widowControl w:val="0"/>
      <w:jc w:val="both"/>
    </w:pPr>
    <w:rPr>
      <w:rFonts w:ascii="Calibri" w:hAnsi="Calibri" w:eastAsia="宋体" w:cs="Times New Roman"/>
      <w:kern w:val="2"/>
      <w:sz w:val="21"/>
      <w:szCs w:val="20"/>
      <w:lang w:val="en-US" w:eastAsia="zh-CN" w:bidi="ar-SA"/>
    </w:rPr>
  </w:style>
  <w:style w:type="paragraph" w:customStyle="1" w:styleId="52">
    <w:name w:val="标题 1 New New New New New New"/>
    <w:basedOn w:val="1"/>
    <w:next w:val="51"/>
    <w:qFormat/>
    <w:uiPriority w:val="0"/>
    <w:pPr>
      <w:keepNext/>
      <w:keepLines/>
      <w:spacing w:before="260" w:after="260" w:line="360" w:lineRule="auto"/>
      <w:jc w:val="center"/>
      <w:outlineLvl w:val="0"/>
    </w:pPr>
    <w:rPr>
      <w:rFonts w:ascii="Arial" w:hAnsi="Arial" w:cs="Arial"/>
      <w:sz w:val="24"/>
      <w:szCs w:val="18"/>
    </w:rPr>
  </w:style>
  <w:style w:type="paragraph" w:customStyle="1" w:styleId="53">
    <w:name w:val="列出段落2"/>
    <w:basedOn w:val="1"/>
    <w:qFormat/>
    <w:uiPriority w:val="0"/>
    <w:pPr>
      <w:ind w:firstLine="420" w:firstLineChars="200"/>
    </w:pPr>
    <w:rPr>
      <w:rFonts w:ascii="Calibri" w:hAnsi="Calibri" w:eastAsia="宋体" w:cs="Times New Roman"/>
    </w:rPr>
  </w:style>
  <w:style w:type="paragraph" w:customStyle="1" w:styleId="54">
    <w:name w:val="*正文"/>
    <w:basedOn w:val="1"/>
    <w:qFormat/>
    <w:uiPriority w:val="0"/>
    <w:pPr>
      <w:widowControl/>
      <w:adjustRightInd w:val="0"/>
      <w:snapToGrid w:val="0"/>
      <w:spacing w:after="200" w:line="360" w:lineRule="auto"/>
      <w:ind w:firstLine="200"/>
      <w:jc w:val="left"/>
    </w:pPr>
    <w:rPr>
      <w:rFonts w:ascii="宋体" w:hAnsi="宋体"/>
      <w:sz w:val="24"/>
      <w:szCs w:val="24"/>
    </w:rPr>
  </w:style>
  <w:style w:type="character" w:customStyle="1" w:styleId="55">
    <w:name w:val="font21"/>
    <w:basedOn w:val="2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6BD83C-2A9B-4E6F-A772-FE212356A246}">
  <ds:schemaRefs/>
</ds:datastoreItem>
</file>

<file path=docProps/app.xml><?xml version="1.0" encoding="utf-8"?>
<Properties xmlns="http://schemas.openxmlformats.org/officeDocument/2006/extended-properties" xmlns:vt="http://schemas.openxmlformats.org/officeDocument/2006/docPropsVTypes">
  <Template>Normal</Template>
  <Manager>HLR</Manager>
  <Pages>68</Pages>
  <Words>5566</Words>
  <Characters>31731</Characters>
  <Lines>264</Lines>
  <Paragraphs>74</Paragraphs>
  <TotalTime>37</TotalTime>
  <ScaleCrop>false</ScaleCrop>
  <LinksUpToDate>false</LinksUpToDate>
  <CharactersWithSpaces>37223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文件</cp:category>
  <dcterms:created xsi:type="dcterms:W3CDTF">2019-07-08T13:55:00Z</dcterms:created>
  <dc:creator>MyPC</dc:creator>
  <cp:keywords>文件格式版本</cp:keywords>
  <cp:lastModifiedBy>嗨呀</cp:lastModifiedBy>
  <cp:lastPrinted>2021-05-20T08:07:00Z</cp:lastPrinted>
  <dcterms:modified xsi:type="dcterms:W3CDTF">2021-06-01T01:37:37Z</dcterms:modified>
  <dc:subject>公开招标文件版本</dc:subject>
  <dc:title>公开招标文件版本</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DCB28414C984483BB9EDA49010949E31</vt:lpwstr>
  </property>
</Properties>
</file>