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3" cstate="print"/>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spacing w:after="0"/>
        <w:ind w:right="-28"/>
        <w:jc w:val="center"/>
        <w:textAlignment w:val="bottom"/>
        <w:rPr>
          <w:rFonts w:ascii="黑体" w:hAnsi="黑体" w:eastAsia="黑体" w:cs="黑体"/>
          <w:bCs/>
          <w:color w:val="auto"/>
          <w:spacing w:val="57"/>
          <w:sz w:val="72"/>
          <w:szCs w:val="72"/>
          <w:highlight w:val="none"/>
        </w:rPr>
      </w:pPr>
      <w:r>
        <w:rPr>
          <w:rFonts w:hint="eastAsia" w:ascii="黑体" w:hAnsi="黑体" w:eastAsia="黑体" w:cs="黑体"/>
          <w:bCs/>
          <w:color w:val="auto"/>
          <w:spacing w:val="57"/>
          <w:sz w:val="72"/>
          <w:szCs w:val="72"/>
          <w:highlight w:val="none"/>
        </w:rPr>
        <w:t>公开招标文件</w:t>
      </w:r>
    </w:p>
    <w:p>
      <w:pPr>
        <w:jc w:val="center"/>
        <w:rPr>
          <w:rFonts w:ascii="黑体" w:hAnsi="黑体" w:eastAsia="黑体" w:cs="黑体"/>
          <w:color w:val="auto"/>
          <w:highlight w:val="none"/>
        </w:rPr>
      </w:pPr>
      <w:r>
        <w:rPr>
          <w:rFonts w:hint="eastAsia" w:ascii="黑体" w:hAnsi="黑体" w:eastAsia="黑体" w:cs="黑体"/>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东莞市麻涌镇路灯及夜景灯市场化管养服务采购项目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441900033-2021-00057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东莞市麻涌镇公用事业服务中心</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7"/>
        <w:rPr>
          <w:color w:val="auto"/>
          <w:sz w:val="32"/>
          <w:szCs w:val="32"/>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4" cstate="print"/>
                    <a:srcRect l="6033" t="52170" r="5754" b="9299"/>
                    <a:stretch>
                      <a:fillRect/>
                    </a:stretch>
                  </pic:blipFill>
                  <pic:spPr>
                    <a:xfrm>
                      <a:off x="0" y="0"/>
                      <a:ext cx="3716020" cy="633730"/>
                    </a:xfrm>
                    <a:prstGeom prst="rect">
                      <a:avLst/>
                    </a:prstGeom>
                  </pic:spPr>
                </pic:pic>
              </a:graphicData>
            </a:graphic>
          </wp:inline>
        </w:drawing>
      </w:r>
    </w:p>
    <w:p>
      <w:pPr>
        <w:pStyle w:val="17"/>
        <w:ind w:left="0" w:leftChars="0"/>
        <w:rPr>
          <w:color w:val="auto"/>
          <w:sz w:val="40"/>
          <w:szCs w:val="40"/>
          <w:highlight w:val="none"/>
        </w:rPr>
      </w:pPr>
      <w:r>
        <w:rPr>
          <w:rFonts w:hint="eastAsia"/>
          <w:color w:val="auto"/>
          <w:sz w:val="40"/>
          <w:szCs w:val="40"/>
          <w:highlight w:val="none"/>
        </w:rPr>
        <w:t>目录</w:t>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9"/>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
        <w:spacing w:before="0" w:after="0" w:line="240" w:lineRule="auto"/>
        <w:rPr>
          <w:color w:val="auto"/>
          <w:sz w:val="28"/>
          <w:szCs w:val="28"/>
          <w:highlight w:val="none"/>
        </w:rPr>
      </w:pPr>
      <w:r>
        <w:rPr>
          <w:rFonts w:hint="eastAsia"/>
          <w:color w:val="auto"/>
          <w:sz w:val="28"/>
          <w:szCs w:val="28"/>
          <w:highlight w:val="none"/>
        </w:rPr>
        <w:t>第一部分 投标邀请</w:t>
      </w:r>
    </w:p>
    <w:p>
      <w:pPr>
        <w:pStyle w:val="5"/>
        <w:spacing w:after="0"/>
        <w:jc w:val="center"/>
        <w:rPr>
          <w:rFonts w:ascii="宋体" w:hAnsi="宋体" w:cs="宋体"/>
          <w:color w:val="auto"/>
          <w:highlight w:val="none"/>
        </w:rPr>
      </w:pPr>
      <w:bookmarkStart w:id="0" w:name="_Toc1420"/>
      <w:r>
        <w:rPr>
          <w:rFonts w:hint="eastAsia" w:ascii="宋体" w:hAnsi="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color w:val="auto"/>
          <w:sz w:val="21"/>
          <w:szCs w:val="21"/>
          <w:highlight w:val="none"/>
          <w:u w:val="single"/>
        </w:rPr>
        <w:t>东莞市麻涌镇公用事业服务中心</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color w:val="auto"/>
          <w:sz w:val="21"/>
          <w:szCs w:val="21"/>
          <w:highlight w:val="none"/>
          <w:u w:val="single"/>
        </w:rPr>
        <w:t>东莞市麻涌镇路灯及夜景灯市场化管养服务采购项目</w:t>
      </w:r>
      <w:r>
        <w:rPr>
          <w:rFonts w:hint="eastAsia" w:ascii="宋体" w:hAnsi="宋体" w:eastAsia="宋体"/>
          <w:color w:val="auto"/>
          <w:sz w:val="21"/>
          <w:szCs w:val="21"/>
          <w:highlight w:val="none"/>
        </w:rPr>
        <w:t>（采购项目编号：</w:t>
      </w:r>
      <w:r>
        <w:rPr>
          <w:rFonts w:hint="eastAsia" w:ascii="宋体" w:hAnsi="宋体" w:eastAsia="宋体"/>
          <w:b/>
          <w:bCs/>
          <w:color w:val="auto"/>
          <w:sz w:val="21"/>
          <w:szCs w:val="21"/>
          <w:highlight w:val="none"/>
          <w:u w:val="single"/>
        </w:rPr>
        <w:t>441900033-2021-00057</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2" w:firstLineChars="200"/>
        <w:rPr>
          <w:rFonts w:ascii="宋体" w:hAnsi="宋体" w:eastAsia="宋体"/>
          <w:color w:val="auto"/>
          <w:sz w:val="21"/>
          <w:szCs w:val="21"/>
          <w:highlight w:val="none"/>
        </w:rPr>
      </w:pPr>
      <w:r>
        <w:rPr>
          <w:rFonts w:ascii="Times New Roman" w:hAnsi="Times New Roman" w:eastAsia="宋体" w:cs="Times New Roman"/>
          <w:b/>
          <w:bCs/>
          <w:color w:val="auto"/>
          <w:sz w:val="21"/>
          <w:szCs w:val="21"/>
          <w:highlight w:val="none"/>
        </w:rPr>
        <w:t>1</w:t>
      </w:r>
      <w:r>
        <w:rPr>
          <w:rFonts w:ascii="Times New Roman" w:hAnsi="宋体" w:eastAsia="宋体" w:cs="Times New Roman"/>
          <w:b/>
          <w:bCs/>
          <w:color w:val="auto"/>
          <w:sz w:val="21"/>
          <w:szCs w:val="21"/>
          <w:highlight w:val="none"/>
        </w:rPr>
        <w:t>、</w:t>
      </w:r>
      <w:r>
        <w:rPr>
          <w:rFonts w:hint="eastAsia" w:ascii="宋体" w:hAnsi="宋体" w:eastAsia="宋体"/>
          <w:b/>
          <w:bCs/>
          <w:color w:val="auto"/>
          <w:sz w:val="21"/>
          <w:szCs w:val="21"/>
          <w:highlight w:val="none"/>
        </w:rPr>
        <w:t>项目内容：</w:t>
      </w:r>
      <w:r>
        <w:rPr>
          <w:rFonts w:hint="eastAsia" w:ascii="宋体" w:hAnsi="宋体" w:eastAsia="宋体"/>
          <w:b/>
          <w:bCs/>
          <w:color w:val="auto"/>
          <w:sz w:val="21"/>
          <w:szCs w:val="21"/>
          <w:highlight w:val="none"/>
          <w:u w:val="single"/>
        </w:rPr>
        <w:t>东莞市麻涌镇路灯及夜景灯市场化管养服务采购</w:t>
      </w:r>
      <w:r>
        <w:rPr>
          <w:rFonts w:hint="eastAsia" w:ascii="宋体" w:hAnsi="宋体" w:eastAsia="宋体"/>
          <w:b/>
          <w:bCs/>
          <w:color w:val="auto"/>
          <w:sz w:val="21"/>
          <w:szCs w:val="21"/>
          <w:highlight w:val="none"/>
        </w:rPr>
        <w:t>一项，预算：人民币</w:t>
      </w:r>
      <w:r>
        <w:rPr>
          <w:rFonts w:hint="eastAsia" w:ascii="宋体" w:hAnsi="宋体" w:eastAsia="宋体"/>
          <w:b/>
          <w:bCs/>
          <w:color w:val="auto"/>
          <w:sz w:val="21"/>
          <w:szCs w:val="21"/>
          <w:highlight w:val="none"/>
          <w:u w:val="single"/>
        </w:rPr>
        <w:t>壹仟肆佰柒拾伍万壹仟元整（￥14,751,000.00）</w:t>
      </w:r>
      <w:r>
        <w:rPr>
          <w:rFonts w:ascii="Times New Roman" w:hAnsi="宋体" w:eastAsia="宋体" w:cs="Times New Roman"/>
          <w:b/>
          <w:bCs/>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投标人须具有有效的机电设备安装工程专业承包二级（或以上）</w:t>
      </w:r>
      <w:r>
        <w:rPr>
          <w:rFonts w:hint="eastAsia" w:ascii="宋体" w:hAnsi="宋体" w:eastAsia="宋体"/>
          <w:color w:val="auto"/>
          <w:sz w:val="21"/>
          <w:szCs w:val="21"/>
          <w:highlight w:val="none"/>
          <w:lang w:val="en-US" w:eastAsia="zh-CN"/>
        </w:rPr>
        <w:t>资质</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机电工程施工总承包</w:t>
      </w:r>
      <w:r>
        <w:rPr>
          <w:rFonts w:hint="eastAsia" w:ascii="宋体" w:hAnsi="宋体" w:eastAsia="宋体"/>
          <w:color w:val="auto"/>
          <w:sz w:val="21"/>
          <w:szCs w:val="21"/>
          <w:highlight w:val="none"/>
          <w:lang w:val="en-US" w:eastAsia="zh-CN"/>
        </w:rPr>
        <w:t>乙级</w:t>
      </w:r>
      <w:r>
        <w:rPr>
          <w:rFonts w:hint="eastAsia" w:ascii="宋体" w:hAnsi="宋体" w:eastAsia="宋体"/>
          <w:color w:val="auto"/>
          <w:sz w:val="21"/>
          <w:szCs w:val="21"/>
          <w:highlight w:val="none"/>
        </w:rPr>
        <w:t>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机电工程施工总承包三级（或以上）资质</w:t>
      </w:r>
      <w:r>
        <w:rPr>
          <w:rFonts w:hint="eastAsia" w:ascii="宋体" w:hAnsi="宋体" w:eastAsia="宋体"/>
          <w:color w:val="auto"/>
          <w:sz w:val="21"/>
          <w:szCs w:val="21"/>
          <w:highlight w:val="none"/>
          <w:lang w:eastAsia="zh-CN"/>
        </w:rPr>
        <w:t>】、建筑机电工程专业承包</w:t>
      </w:r>
      <w:r>
        <w:rPr>
          <w:rFonts w:hint="eastAsia" w:ascii="宋体" w:hAnsi="宋体" w:eastAsia="宋体"/>
          <w:color w:val="auto"/>
          <w:sz w:val="21"/>
          <w:szCs w:val="21"/>
          <w:highlight w:val="none"/>
          <w:lang w:val="en-US" w:eastAsia="zh-CN"/>
        </w:rPr>
        <w:t>乙级</w:t>
      </w:r>
      <w:r>
        <w:rPr>
          <w:rFonts w:hint="eastAsia" w:ascii="宋体" w:hAnsi="宋体" w:eastAsia="宋体"/>
          <w:color w:val="auto"/>
          <w:sz w:val="21"/>
          <w:szCs w:val="21"/>
          <w:highlight w:val="none"/>
        </w:rPr>
        <w:t>（或以上）资质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城市及道路照明工程专业承包</w:t>
      </w:r>
      <w:r>
        <w:rPr>
          <w:rFonts w:hint="eastAsia" w:ascii="宋体" w:hAnsi="宋体" w:eastAsia="宋体"/>
          <w:color w:val="auto"/>
          <w:sz w:val="21"/>
          <w:szCs w:val="21"/>
          <w:highlight w:val="none"/>
          <w:lang w:val="en-US" w:eastAsia="zh-CN"/>
        </w:rPr>
        <w:t>一级资质或</w:t>
      </w:r>
      <w:r>
        <w:rPr>
          <w:rFonts w:hint="eastAsia" w:ascii="宋体" w:hAnsi="宋体" w:eastAsia="宋体"/>
          <w:color w:val="auto"/>
          <w:sz w:val="21"/>
          <w:szCs w:val="21"/>
          <w:highlight w:val="none"/>
          <w:lang w:eastAsia="zh-CN"/>
        </w:rPr>
        <w:t>更换资质证书前有效期内</w:t>
      </w:r>
      <w:r>
        <w:rPr>
          <w:rFonts w:hint="eastAsia" w:ascii="宋体" w:hAnsi="宋体" w:eastAsia="宋体"/>
          <w:color w:val="auto"/>
          <w:sz w:val="21"/>
          <w:szCs w:val="21"/>
          <w:highlight w:val="none"/>
        </w:rPr>
        <w:t>建筑机电安装工程专业承包</w:t>
      </w:r>
      <w:r>
        <w:rPr>
          <w:rFonts w:hint="eastAsia" w:ascii="宋体" w:hAnsi="宋体" w:eastAsia="宋体"/>
          <w:color w:val="auto"/>
          <w:sz w:val="21"/>
          <w:szCs w:val="21"/>
          <w:highlight w:val="none"/>
          <w:lang w:val="en-US" w:eastAsia="zh-CN"/>
        </w:rPr>
        <w:t>二级（</w:t>
      </w:r>
      <w:r>
        <w:rPr>
          <w:rFonts w:hint="eastAsia" w:ascii="宋体" w:hAnsi="宋体" w:eastAsia="宋体"/>
          <w:color w:val="auto"/>
          <w:sz w:val="21"/>
          <w:szCs w:val="21"/>
          <w:highlight w:val="none"/>
        </w:rPr>
        <w:t>或以上</w:t>
      </w:r>
      <w:r>
        <w:rPr>
          <w:rFonts w:hint="eastAsia" w:ascii="宋体" w:hAnsi="宋体" w:eastAsia="宋体"/>
          <w:color w:val="auto"/>
          <w:sz w:val="21"/>
          <w:szCs w:val="21"/>
          <w:highlight w:val="none"/>
          <w:lang w:val="en-US" w:eastAsia="zh-CN"/>
        </w:rPr>
        <w:t>）资质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市政公用工程施工总承包</w:t>
      </w:r>
      <w:r>
        <w:rPr>
          <w:rFonts w:hint="eastAsia" w:ascii="宋体" w:hAnsi="宋体" w:eastAsia="宋体"/>
          <w:color w:val="auto"/>
          <w:sz w:val="21"/>
          <w:szCs w:val="21"/>
          <w:highlight w:val="none"/>
          <w:lang w:val="en-US" w:eastAsia="zh-CN"/>
        </w:rPr>
        <w:t>乙级</w:t>
      </w:r>
      <w:r>
        <w:rPr>
          <w:rFonts w:hint="eastAsia" w:ascii="宋体" w:hAnsi="宋体" w:eastAsia="宋体"/>
          <w:color w:val="auto"/>
          <w:sz w:val="21"/>
          <w:szCs w:val="21"/>
          <w:highlight w:val="none"/>
        </w:rPr>
        <w:t>（或以上）资质</w:t>
      </w:r>
      <w:r>
        <w:rPr>
          <w:rFonts w:hint="eastAsia" w:ascii="宋体" w:hAnsi="宋体" w:eastAsia="宋体"/>
          <w:color w:val="auto"/>
          <w:sz w:val="21"/>
          <w:szCs w:val="21"/>
          <w:highlight w:val="none"/>
          <w:lang w:eastAsia="zh-CN"/>
        </w:rPr>
        <w:t>【或更换资质证书前有效期内</w:t>
      </w:r>
      <w:r>
        <w:rPr>
          <w:rFonts w:hint="eastAsia" w:ascii="宋体" w:hAnsi="宋体" w:eastAsia="宋体"/>
          <w:color w:val="auto"/>
          <w:sz w:val="21"/>
          <w:szCs w:val="21"/>
          <w:highlight w:val="none"/>
        </w:rPr>
        <w:t>市政公用工程施工总承包三级（或以上）资质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或《承装（修、试）电力设施许可证》五级（或以上）证书</w:t>
      </w:r>
      <w:r>
        <w:rPr>
          <w:rFonts w:hint="eastAsia" w:ascii="宋体" w:hAnsi="宋体" w:eastAsia="宋体"/>
          <w:color w:val="auto"/>
          <w:sz w:val="21"/>
          <w:szCs w:val="21"/>
          <w:highlight w:val="none"/>
          <w:lang w:val="en-US" w:eastAsia="zh-CN"/>
        </w:rPr>
        <w:t>。</w:t>
      </w:r>
    </w:p>
    <w:p>
      <w:pPr>
        <w:spacing w:after="0" w:line="360" w:lineRule="auto"/>
        <w:ind w:firstLine="411" w:firstLineChars="196"/>
        <w:rPr>
          <w:rFonts w:hint="eastAsia"/>
          <w:lang w:val="en-US" w:eastAsia="zh-CN"/>
        </w:rPr>
      </w:pPr>
      <w:r>
        <w:rPr>
          <w:rFonts w:hint="eastAsia" w:ascii="宋体" w:hAnsi="宋体" w:eastAsia="宋体"/>
          <w:color w:val="auto"/>
          <w:sz w:val="21"/>
          <w:szCs w:val="21"/>
          <w:highlight w:val="none"/>
          <w:lang w:val="en-US" w:eastAsia="zh-CN"/>
        </w:rPr>
        <w:t>注：上述资质要求，依据住房和城乡建设部2020年11月30日关于印发《建设工程企业资质管理制度改革方案》的通知，在更换资质证书前有效期内适用于本项目资质证书的均为有效资格条件。</w:t>
      </w:r>
    </w:p>
    <w:p>
      <w:pPr>
        <w:spacing w:after="0" w:line="360" w:lineRule="auto"/>
        <w:rPr>
          <w:rFonts w:ascii="宋体" w:hAnsi="宋体" w:eastAsia="宋体"/>
          <w:b/>
          <w:color w:val="auto"/>
          <w:sz w:val="24"/>
          <w:szCs w:val="24"/>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14</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21</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14</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21</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（2）现场支持现金支付、微信支付、支付宝支付等支付方式，请将相应表格交予我司简小姐。</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联系人：简海欣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1、递交投标文件时间：2021年</w:t>
      </w:r>
      <w:r>
        <w:rPr>
          <w:rFonts w:hint="eastAsia" w:ascii="宋体" w:hAnsi="宋体" w:eastAsia="宋体"/>
          <w:bCs/>
          <w:color w:val="auto"/>
          <w:sz w:val="21"/>
          <w:szCs w:val="21"/>
          <w:highlight w:val="none"/>
          <w:lang w:val="en-US" w:eastAsia="zh-CN"/>
        </w:rPr>
        <w:t>05</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07</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：00～</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及开标时间：2021年</w:t>
      </w:r>
      <w:r>
        <w:rPr>
          <w:rFonts w:hint="eastAsia" w:ascii="宋体" w:hAnsi="宋体" w:eastAsia="宋体"/>
          <w:bCs/>
          <w:color w:val="auto"/>
          <w:sz w:val="21"/>
          <w:szCs w:val="21"/>
          <w:highlight w:val="none"/>
          <w:lang w:val="en-US" w:eastAsia="zh-CN"/>
        </w:rPr>
        <w:t>05</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07</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东莞市南城街道鸿福西路81号国际商会大厦13A01室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eastAsia="宋体"/>
          <w:bCs/>
          <w:color w:val="auto"/>
          <w:sz w:val="21"/>
          <w:szCs w:val="21"/>
          <w:highlight w:val="none"/>
          <w:lang w:val="en-US" w:eastAsia="zh-CN"/>
        </w:rPr>
        <w:t>周工</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w:t>
      </w:r>
      <w:r>
        <w:rPr>
          <w:rFonts w:hint="eastAsia" w:ascii="宋体" w:hAnsi="宋体" w:eastAsia="宋体"/>
          <w:bCs/>
          <w:color w:val="auto"/>
          <w:sz w:val="21"/>
          <w:szCs w:val="21"/>
          <w:highlight w:val="none"/>
          <w:lang w:val="en-US" w:eastAsia="zh-CN"/>
        </w:rPr>
        <w:t>东莞市麻涌镇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bCs/>
          <w:color w:val="auto"/>
          <w:sz w:val="21"/>
          <w:szCs w:val="21"/>
          <w:highlight w:val="none"/>
          <w:lang w:val="en-US" w:eastAsia="zh-CN"/>
        </w:rPr>
        <w:t>0769-88236889</w:t>
      </w:r>
    </w:p>
    <w:p>
      <w:pPr>
        <w:spacing w:after="0" w:line="360" w:lineRule="auto"/>
        <w:ind w:firstLine="420" w:firstLineChars="200"/>
        <w:rPr>
          <w:rFonts w:ascii="宋体" w:hAnsi="宋体" w:eastAsia="宋体"/>
          <w:color w:val="auto"/>
          <w:sz w:val="21"/>
          <w:szCs w:val="21"/>
          <w:highlight w:val="none"/>
        </w:rPr>
      </w:pPr>
    </w:p>
    <w:p>
      <w:pPr>
        <w:pStyle w:val="2"/>
        <w:rPr>
          <w:color w:val="auto"/>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采购代理机构联系人：杨俊平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eastAsia="宋体"/>
          <w:color w:val="auto"/>
          <w:highlight w:val="none"/>
        </w:rPr>
      </w:pPr>
      <w:r>
        <w:rPr>
          <w:rFonts w:hint="eastAsia" w:ascii="宋体" w:hAnsi="宋体" w:eastAsia="宋体"/>
          <w:color w:val="auto"/>
          <w:sz w:val="21"/>
          <w:szCs w:val="21"/>
          <w:highlight w:val="none"/>
        </w:rPr>
        <w:t>E－ mail：769552785@qq.com</w:t>
      </w:r>
    </w:p>
    <w:p>
      <w:pPr>
        <w:rPr>
          <w:color w:val="auto"/>
          <w:highlight w:val="none"/>
        </w:rPr>
      </w:pPr>
    </w:p>
    <w:p>
      <w:pPr>
        <w:ind w:right="788" w:rightChars="358"/>
        <w:jc w:val="both"/>
        <w:rPr>
          <w:color w:val="auto"/>
          <w:highlight w:val="none"/>
        </w:rPr>
      </w:pPr>
    </w:p>
    <w:p>
      <w:pPr>
        <w:ind w:right="788"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广东政通招标有限公司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4"/>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5"/>
        <w:spacing w:after="0" w:line="240" w:lineRule="auto"/>
        <w:jc w:val="center"/>
        <w:rPr>
          <w:rFonts w:ascii="宋体" w:hAnsi="宋体" w:cs="宋体"/>
          <w:color w:val="auto"/>
          <w:szCs w:val="24"/>
          <w:highlight w:val="none"/>
        </w:rPr>
      </w:pPr>
      <w:bookmarkStart w:id="2" w:name="_Toc20683"/>
      <w:r>
        <w:rPr>
          <w:rFonts w:hint="eastAsia" w:ascii="宋体" w:hAnsi="宋体" w:cs="宋体"/>
          <w:color w:val="auto"/>
          <w:szCs w:val="24"/>
          <w:highlight w:val="none"/>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否</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“●”为核心产品(本项目为服务类项目，无核心产品)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（1）投标保证金金额：人民币贰拾玖万元整（￥290,000.00）。</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号：6232590699050026143</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9"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履约保证金的数额为政府采购合同金额的10%。</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5"/>
        <w:spacing w:after="0" w:line="240" w:lineRule="auto"/>
        <w:jc w:val="center"/>
        <w:rPr>
          <w:rFonts w:ascii="宋体" w:hAnsi="宋体" w:cs="宋体"/>
          <w:color w:val="auto"/>
          <w:szCs w:val="24"/>
          <w:highlight w:val="none"/>
        </w:rPr>
      </w:pPr>
      <w:bookmarkStart w:id="3" w:name="_Toc9572"/>
      <w:r>
        <w:rPr>
          <w:rFonts w:hint="eastAsia" w:ascii="宋体" w:hAnsi="宋体" w:cs="宋体"/>
          <w:color w:val="auto"/>
          <w:szCs w:val="24"/>
          <w:highlight w:val="none"/>
        </w:rPr>
        <w:t>附表二：商务技术评分及价格权重表</w:t>
      </w:r>
      <w:bookmarkEnd w:id="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6"/>
        <w:gridCol w:w="668"/>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jc w:val="center"/>
        </w:trPr>
        <w:tc>
          <w:tcPr>
            <w:tcW w:w="690" w:type="dxa"/>
            <w:tcBorders>
              <w:left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36" w:type="dxa"/>
            <w:tcBorders>
              <w:left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项目业绩</w:t>
            </w:r>
          </w:p>
          <w:p>
            <w:pPr>
              <w:pStyle w:val="31"/>
              <w:spacing w:line="240" w:lineRule="auto"/>
              <w:ind w:firstLine="0" w:firstLineChars="0"/>
              <w:jc w:val="center"/>
              <w:rPr>
                <w:rFonts w:asci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2</w:t>
            </w:r>
            <w:r>
              <w:rPr>
                <w:rFonts w:hint="eastAsia" w:ascii="宋体" w:eastAsia="宋体" w:cs="宋体"/>
                <w:color w:val="auto"/>
                <w:sz w:val="21"/>
                <w:szCs w:val="21"/>
                <w:highlight w:val="none"/>
                <w:lang w:val="en-US" w:eastAsia="zh-CN"/>
              </w:rPr>
              <w:t>5</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根据投标人具有照明工程或照明养护</w:t>
            </w:r>
            <w:r>
              <w:rPr>
                <w:rFonts w:hint="eastAsia" w:ascii="宋体" w:eastAsia="宋体" w:cs="宋体"/>
                <w:bCs/>
                <w:color w:val="auto"/>
                <w:sz w:val="21"/>
                <w:szCs w:val="21"/>
                <w:highlight w:val="none"/>
                <w:lang w:val="en-US" w:eastAsia="zh-CN"/>
              </w:rPr>
              <w:t>或电力工程</w:t>
            </w:r>
            <w:r>
              <w:rPr>
                <w:rFonts w:hint="eastAsia" w:ascii="宋体" w:eastAsia="宋体" w:cs="宋体"/>
                <w:bCs/>
                <w:color w:val="auto"/>
                <w:sz w:val="21"/>
                <w:szCs w:val="21"/>
                <w:highlight w:val="none"/>
                <w:lang w:val="pt-BR"/>
              </w:rPr>
              <w:t>项目业绩进行评审，每提供一个业绩合同得</w:t>
            </w:r>
            <w:r>
              <w:rPr>
                <w:rFonts w:hint="eastAsia" w:ascii="宋体" w:eastAsia="宋体" w:cs="宋体"/>
                <w:bCs/>
                <w:color w:val="auto"/>
                <w:sz w:val="21"/>
                <w:szCs w:val="21"/>
                <w:highlight w:val="none"/>
              </w:rPr>
              <w:t>5</w:t>
            </w:r>
            <w:r>
              <w:rPr>
                <w:rFonts w:hint="eastAsia" w:ascii="宋体" w:eastAsia="宋体" w:cs="宋体"/>
                <w:bCs/>
                <w:color w:val="auto"/>
                <w:sz w:val="21"/>
                <w:szCs w:val="21"/>
                <w:highlight w:val="none"/>
                <w:lang w:val="pt-BR"/>
              </w:rPr>
              <w:t>分，最高得</w:t>
            </w:r>
            <w:r>
              <w:rPr>
                <w:rFonts w:hint="eastAsia" w:ascii="宋体" w:eastAsia="宋体" w:cs="宋体"/>
                <w:bCs/>
                <w:color w:val="auto"/>
                <w:sz w:val="21"/>
                <w:szCs w:val="21"/>
                <w:highlight w:val="none"/>
                <w:lang w:val="en-US" w:eastAsia="zh-CN"/>
              </w:rPr>
              <w:t>25</w:t>
            </w:r>
            <w:r>
              <w:rPr>
                <w:rFonts w:hint="eastAsia" w:ascii="宋体" w:eastAsia="宋体" w:cs="宋体"/>
                <w:bCs/>
                <w:color w:val="auto"/>
                <w:sz w:val="21"/>
                <w:szCs w:val="21"/>
                <w:highlight w:val="none"/>
                <w:lang w:val="pt-BR"/>
              </w:rPr>
              <w:t xml:space="preserve">分。 </w:t>
            </w:r>
          </w:p>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注：须提供合同复印件加盖投标人公章</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pt-B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36"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bCs/>
                <w:color w:val="auto"/>
                <w:sz w:val="21"/>
                <w:szCs w:val="21"/>
                <w:highlight w:val="none"/>
              </w:rPr>
              <w:t>服务响应</w:t>
            </w: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6028"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根据投标人提供的服务响应时间承诺进行评分。</w:t>
            </w:r>
          </w:p>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（1）投标人承诺在接到采购人通知后1小时内到现场，得5分；</w:t>
            </w:r>
            <w:bookmarkStart w:id="222" w:name="_GoBack"/>
            <w:bookmarkEnd w:id="222"/>
          </w:p>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（2）投标人承诺在接到采购人通知后2小时内到现场，得3分；</w:t>
            </w:r>
          </w:p>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（3）投标人承诺在接到采购人通知后3小时内到现场，得1分；</w:t>
            </w:r>
          </w:p>
          <w:p>
            <w:pPr>
              <w:spacing w:after="0"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（4）投标人未承诺或承诺在接到采购人通知后超过3小时到现场，不得分。</w:t>
            </w:r>
          </w:p>
          <w:p>
            <w:pPr>
              <w:pStyle w:val="31"/>
              <w:spacing w:line="360" w:lineRule="auto"/>
              <w:ind w:firstLine="420" w:firstLineChars="200"/>
              <w:rPr>
                <w:rFonts w:hint="default" w:asci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注：须</w:t>
            </w:r>
            <w:r>
              <w:rPr>
                <w:rFonts w:hint="eastAsia" w:ascii="宋体" w:eastAsia="宋体" w:cs="宋体"/>
                <w:bCs/>
                <w:color w:val="auto"/>
                <w:sz w:val="21"/>
                <w:szCs w:val="21"/>
                <w:highlight w:val="none"/>
              </w:rPr>
              <w:t>提供服务承诺书并加盖投标人公章</w:t>
            </w:r>
            <w:r>
              <w:rPr>
                <w:rFonts w:hint="eastAsia" w:ascii="宋体" w:eastAsia="宋体" w:cs="宋体"/>
                <w:bCs/>
                <w:color w:val="auto"/>
                <w:sz w:val="21"/>
                <w:szCs w:val="21"/>
                <w:highlight w:val="none"/>
                <w:lang w:eastAsia="zh-CN"/>
              </w:rPr>
              <w:t>，</w:t>
            </w:r>
            <w:r>
              <w:rPr>
                <w:rFonts w:hint="eastAsia" w:asci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技术评审（5</w:t>
            </w:r>
            <w:r>
              <w:rPr>
                <w:rFonts w:hint="eastAsia" w:ascii="宋体" w:eastAsia="宋体" w:cs="宋体"/>
                <w:b/>
                <w:bCs/>
                <w:color w:val="auto"/>
                <w:sz w:val="21"/>
                <w:szCs w:val="21"/>
                <w:highlight w:val="none"/>
                <w:lang w:val="en-US" w:eastAsia="zh-CN"/>
              </w:rPr>
              <w:t>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136" w:type="dxa"/>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对项目现 </w:t>
            </w:r>
          </w:p>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状的了解 </w:t>
            </w:r>
          </w:p>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与认识 </w:t>
            </w:r>
          </w:p>
          <w:p>
            <w:pPr>
              <w:pStyle w:val="31"/>
              <w:spacing w:line="240" w:lineRule="auto"/>
              <w:ind w:firstLine="0" w:firstLineChars="0"/>
              <w:jc w:val="center"/>
              <w:rPr>
                <w:rFonts w:asci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atLeas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8</w:t>
            </w:r>
          </w:p>
        </w:tc>
        <w:tc>
          <w:tcPr>
            <w:tcW w:w="6028"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根据投标人对项目现状的认识，基础资料调查，重点难点分析等情况进行综合评审：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（1）项目现状认识深刻，基础资料调查非常完整，重点难点分析到位，得8分；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（2）项目现状认识较为深刻，基础资料调查较为完整，重点难点分析比较到位，得5分；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（3）项目现状认识一般，基础资料调查一般完整，重点难点分析一般，得2分；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（4）项目现状认识偏弱，基础资料调查不太完整，重点难点分析不到位，得1分； </w:t>
            </w:r>
          </w:p>
          <w:p>
            <w:pPr>
              <w:spacing w:after="0"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136" w:type="dxa"/>
            <w:tcBorders>
              <w:top w:val="single" w:color="auto" w:sz="4" w:space="0"/>
              <w:left w:val="single" w:color="auto" w:sz="4" w:space="0"/>
              <w:bottom w:val="single" w:color="auto" w:sz="4" w:space="0"/>
              <w:right w:val="single" w:color="auto" w:sz="4" w:space="0"/>
            </w:tcBorders>
            <w:vAlign w:val="center"/>
          </w:tcPr>
          <w:p>
            <w:pPr>
              <w:pStyle w:val="31"/>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 xml:space="preserve">项目实施 </w:t>
            </w:r>
          </w:p>
          <w:p>
            <w:pPr>
              <w:pStyle w:val="31"/>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方案</w:t>
            </w:r>
          </w:p>
          <w:p>
            <w:pPr>
              <w:pStyle w:val="31"/>
              <w:spacing w:line="400" w:lineRule="exact"/>
              <w:ind w:firstLine="0" w:firstLineChars="0"/>
              <w:jc w:val="center"/>
              <w:rPr>
                <w:rFonts w:asci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12</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根据投标人针对本项目包括日常维护方案、巡查检修方案、抢修预案、灯杆及箱体护理、技术资料备案和节假日预案等的方案进行综合评审：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（1）项目实施方案全面、详细、科学可行、实操性强，得 </w:t>
            </w:r>
            <w:r>
              <w:rPr>
                <w:rFonts w:hint="eastAsia" w:ascii="宋体" w:eastAsia="宋体" w:cs="宋体"/>
                <w:color w:val="auto"/>
                <w:sz w:val="21"/>
                <w:szCs w:val="21"/>
                <w:highlight w:val="none"/>
              </w:rPr>
              <w:t>12</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（2）项目实施方案较为具体、科学、实操性较强，得</w:t>
            </w:r>
            <w:r>
              <w:rPr>
                <w:rFonts w:hint="eastAsia" w:ascii="宋体" w:eastAsia="宋体" w:cs="宋体"/>
                <w:color w:val="auto"/>
                <w:sz w:val="21"/>
                <w:szCs w:val="21"/>
                <w:highlight w:val="none"/>
              </w:rPr>
              <w:t>8</w:t>
            </w:r>
            <w:r>
              <w:rPr>
                <w:rFonts w:hint="eastAsia" w:ascii="宋体" w:eastAsia="宋体" w:cs="宋体"/>
                <w:color w:val="auto"/>
                <w:sz w:val="21"/>
                <w:szCs w:val="21"/>
                <w:highlight w:val="none"/>
                <w:lang w:val="zh-CN"/>
              </w:rPr>
              <w:t xml:space="preserve"> 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（3）项目实施方案内容一般、实操性一般，得</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（4）项目实施方案内容简易、实操性差，得 </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 xml:space="preserve"> 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（5）未提供对应方案的不得分。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项目管理 </w:t>
            </w:r>
          </w:p>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组织架构 </w:t>
            </w:r>
          </w:p>
          <w:p>
            <w:pPr>
              <w:tabs>
                <w:tab w:val="left" w:pos="8610"/>
              </w:tabs>
              <w:spacing w:line="340" w:lineRule="exact"/>
              <w:jc w:val="center"/>
              <w:rPr>
                <w:rFonts w:ascii="宋体" w:hAns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根据投标人的管理架构，分工情况，岗位责任制度，项目负责人管理经验情况，工程人员技术及专业水平情况等进行综合评审：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（1）项目管理架构完善，分工明确，岗位责任制强，项目负责人管理经验丰富，配备充足的专业水平高且有相关特长的技术工程人员，能全面高效地完成本项目，综合水平优，得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lang w:val="zh-CN"/>
              </w:rPr>
              <w:t xml:space="preserve"> 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（2）项目管理架构较为完善，分工较明确，项目负责人管理经验较丰富，工程人员专业水平较高，能较好地完成本项目，综合水平良，得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（3）有项目管理架构和分工，项目负责人有相关管理经验一般，工程人员熟悉本专业，能完成本项目，综合水平中，得 </w:t>
            </w:r>
            <w:r>
              <w:rPr>
                <w:rFonts w:hint="eastAsia" w:ascii="宋体" w:eastAsia="宋体" w:cs="宋体"/>
                <w:color w:val="auto"/>
                <w:sz w:val="21"/>
                <w:szCs w:val="21"/>
                <w:highlight w:val="none"/>
                <w:lang w:val="en-US" w:eastAsia="zh-CN"/>
              </w:rPr>
              <w:t>3</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（4）有项目管理架构和分工，项目负责人没有管理经验，工程人员能从事本项目服务，综合水平差，得 1 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6</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质量保证 </w:t>
            </w:r>
          </w:p>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p>
          <w:p>
            <w:pPr>
              <w:tabs>
                <w:tab w:val="left" w:pos="8610"/>
              </w:tabs>
              <w:spacing w:line="340" w:lineRule="exact"/>
              <w:jc w:val="center"/>
              <w:rPr>
                <w:rFonts w:ascii="宋体" w:hAns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12</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根据投标人提供养护质量保障措施方案（包括但不限于质量目标、养护质量的控制和检验手段）进行综合评审：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（1）质量目标非常明确，养护质量的控制非常详细，检验手段非常科学，得</w:t>
            </w:r>
            <w:r>
              <w:rPr>
                <w:rFonts w:hint="eastAsia" w:ascii="宋体" w:eastAsia="宋体" w:cs="宋体"/>
                <w:color w:val="auto"/>
                <w:sz w:val="21"/>
                <w:szCs w:val="21"/>
                <w:highlight w:val="none"/>
              </w:rPr>
              <w:t>12</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（2）质量目标比较明确，养护质量的控制较为详细，检验手段比较科学，得</w:t>
            </w:r>
            <w:r>
              <w:rPr>
                <w:rFonts w:hint="eastAsia" w:ascii="宋体" w:eastAsia="宋体" w:cs="宋体"/>
                <w:color w:val="auto"/>
                <w:sz w:val="21"/>
                <w:szCs w:val="21"/>
                <w:highlight w:val="none"/>
              </w:rPr>
              <w:t>8</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（3）质量目标基本明确，养护质量的控制一般，检验手段一般，得</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（4）质量目标不明确，养护质量的控制差，检验手段不科学，得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7</w:t>
            </w:r>
          </w:p>
        </w:tc>
        <w:tc>
          <w:tcPr>
            <w:tcW w:w="1136"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应急响应 </w:t>
            </w:r>
          </w:p>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pPr>
              <w:tabs>
                <w:tab w:val="left" w:pos="8610"/>
              </w:tabs>
              <w:spacing w:line="340" w:lineRule="exact"/>
              <w:jc w:val="center"/>
              <w:rPr>
                <w:rFonts w:ascii="宋体" w:hAnsi="宋体" w:eastAsia="宋体" w:cs="宋体"/>
                <w:color w:val="auto"/>
                <w:sz w:val="21"/>
                <w:szCs w:val="21"/>
                <w:highlight w:val="none"/>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8</w:t>
            </w:r>
          </w:p>
        </w:tc>
        <w:tc>
          <w:tcPr>
            <w:tcW w:w="602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lang w:val="zh-CN"/>
              </w:rPr>
            </w:pPr>
            <w:r>
              <w:rPr>
                <w:rFonts w:ascii="宋体" w:eastAsia="宋体" w:cs="宋体"/>
                <w:color w:val="auto"/>
                <w:sz w:val="21"/>
                <w:szCs w:val="21"/>
                <w:highlight w:val="none"/>
                <w:lang w:val="zh-CN"/>
              </w:rPr>
              <w:t>根据投标人</w:t>
            </w:r>
            <w:r>
              <w:rPr>
                <w:rFonts w:hint="eastAsia" w:ascii="宋体" w:eastAsia="宋体" w:cs="宋体"/>
                <w:color w:val="auto"/>
                <w:sz w:val="21"/>
                <w:szCs w:val="21"/>
                <w:highlight w:val="none"/>
              </w:rPr>
              <w:t>针对台风、暴雨等天气影响，重大接待任务，重大节假日或活动等特殊情况制定应急处置方案，包括传达机制、人员和设备调配、责任分工等进行综合评审</w:t>
            </w:r>
            <w:r>
              <w:rPr>
                <w:rFonts w:hint="eastAsia" w:ascii="宋体" w:eastAsia="宋体" w:cs="宋体"/>
                <w:color w:val="auto"/>
                <w:sz w:val="21"/>
                <w:szCs w:val="21"/>
                <w:highlight w:val="none"/>
                <w:lang w:val="zh-CN"/>
              </w:rPr>
              <w:t xml:space="preserve">：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（1）应急响应方案完整全面合理、可行性强，得</w:t>
            </w:r>
            <w:r>
              <w:rPr>
                <w:rFonts w:hint="eastAsia" w:ascii="宋体" w:eastAsia="宋体" w:cs="宋体"/>
                <w:color w:val="auto"/>
                <w:sz w:val="21"/>
                <w:szCs w:val="21"/>
                <w:highlight w:val="none"/>
                <w:lang w:val="en-US" w:eastAsia="zh-CN"/>
              </w:rPr>
              <w:t>8</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（2）应急响应方案较为全面、可行性较强，得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（3）应急响应方案基本到位、可行性一般，得</w:t>
            </w:r>
            <w:r>
              <w:rPr>
                <w:rFonts w:hint="eastAsia" w:ascii="宋体" w:eastAsia="宋体" w:cs="宋体"/>
                <w:color w:val="auto"/>
                <w:sz w:val="21"/>
                <w:szCs w:val="21"/>
                <w:highlight w:val="none"/>
              </w:rPr>
              <w:t>2</w:t>
            </w:r>
            <w:r>
              <w:rPr>
                <w:rFonts w:hint="eastAsia" w:ascii="宋体" w:eastAsia="宋体" w:cs="宋体"/>
                <w:color w:val="auto"/>
                <w:sz w:val="21"/>
                <w:szCs w:val="21"/>
                <w:highlight w:val="none"/>
                <w:lang w:val="zh-CN"/>
              </w:rPr>
              <w:t xml:space="preserve">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（4）应急响应方案片面，可行性差，得1分。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 xml:space="preserve">（5）未提供对应方案的不得分。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（2）投标人根据以上评分要求提供的投标材料因模糊不清导致评标委员会无法清晰辨认进行评审的，视为无效材料。</w:t>
            </w:r>
          </w:p>
          <w:p>
            <w:pPr>
              <w:pStyle w:val="8"/>
              <w:ind w:firstLine="422" w:firstLineChars="200"/>
              <w:rPr>
                <w:rFonts w:ascii="宋体" w:eastAsia="宋体" w:cs="宋体"/>
                <w:color w:val="auto"/>
                <w:sz w:val="21"/>
                <w:szCs w:val="21"/>
                <w:highlight w:val="none"/>
              </w:rPr>
            </w:pPr>
            <w:r>
              <w:rPr>
                <w:rFonts w:hint="eastAsia" w:ascii="宋体" w:hAnsi="宋体" w:eastAsia="宋体"/>
                <w:b/>
                <w:color w:val="auto"/>
                <w:sz w:val="21"/>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lang w:val="zh-CN"/>
              </w:rPr>
            </w:pPr>
            <w:r>
              <w:rPr>
                <w:rFonts w:hint="eastAsia" w:ascii="宋体" w:eastAsia="宋体" w:cs="宋体"/>
                <w:color w:val="auto"/>
                <w:sz w:val="21"/>
                <w:szCs w:val="21"/>
                <w:highlight w:val="none"/>
              </w:rPr>
              <w:t>价格评审（20分）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8</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4"/>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spacing w:after="0" w:line="360" w:lineRule="auto"/>
        <w:rPr>
          <w:rFonts w:ascii="宋体" w:hAnsi="宋体" w:eastAsia="宋体" w:cs="宋体"/>
          <w:color w:val="auto"/>
          <w:sz w:val="24"/>
          <w:szCs w:val="24"/>
          <w:highlight w:val="none"/>
        </w:rPr>
      </w:pPr>
      <w:bookmarkStart w:id="5" w:name="_Toc3968"/>
    </w:p>
    <w:p>
      <w:pPr>
        <w:pStyle w:val="5"/>
        <w:spacing w:after="0"/>
        <w:jc w:val="center"/>
        <w:rPr>
          <w:rFonts w:ascii="宋体" w:hAnsi="宋体" w:cs="宋体"/>
          <w:color w:val="auto"/>
          <w:highlight w:val="none"/>
        </w:rPr>
      </w:pPr>
      <w:r>
        <w:rPr>
          <w:rFonts w:hint="eastAsia" w:ascii="宋体" w:hAnsi="宋体" w:cs="宋体"/>
          <w:color w:val="auto"/>
          <w:szCs w:val="24"/>
          <w:highlight w:val="none"/>
        </w:rPr>
        <w:t>用户需求明细</w:t>
      </w:r>
      <w:bookmarkEnd w:id="5"/>
    </w:p>
    <w:p>
      <w:pPr>
        <w:spacing w:after="0" w:line="360" w:lineRule="auto"/>
        <w:rPr>
          <w:rFonts w:ascii="宋体" w:hAnsi="宋体" w:eastAsia="宋体" w:cs="宋体"/>
          <w:color w:val="auto"/>
          <w:sz w:val="24"/>
          <w:szCs w:val="24"/>
          <w:highlight w:val="none"/>
        </w:rPr>
      </w:pPr>
      <w:bookmarkStart w:id="6" w:name="_Toc14462"/>
      <w:bookmarkStart w:id="7" w:name="_Toc24679"/>
      <w:bookmarkStart w:id="8" w:name="_Toc13112"/>
      <w:bookmarkStart w:id="9" w:name="_Toc31278"/>
    </w:p>
    <w:p>
      <w:pPr>
        <w:pStyle w:val="5"/>
        <w:spacing w:after="0"/>
        <w:rPr>
          <w:rFonts w:ascii="宋体" w:hAnsi="宋体" w:cs="宋体"/>
          <w:color w:val="auto"/>
          <w:highlight w:val="none"/>
        </w:rPr>
      </w:pPr>
      <w:r>
        <w:rPr>
          <w:rFonts w:hint="eastAsia" w:ascii="宋体" w:hAnsi="宋体" w:cs="宋体"/>
          <w:color w:val="auto"/>
          <w:highlight w:val="none"/>
        </w:rPr>
        <w:t>一、项目概况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1、招标单位：东莞市麻涌镇公用事业服务中心（备注：东莞市麻涌镇公用事业服务中心受东莞市麻涌镇人民政府委托作为本项目采购单位）。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2、项目地点：东莞市麻涌镇。</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3、本次采购的项目及范围：镇属管辖内所有路灯、夜景灯、低压配电设施及相关电线缆、箱变等的养护服务。具体维护数量及路段见附件 1：《镇路灯数量统计表》 、附件2：《镇夜景灯灯数量统计表》（该设施表数量仅供参考）。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维护内容：主要对路灯、景观灯的维护管理以及箱变设施等维护管理，包括路灯或景观灯灯具、灯杆、灯臂、箱变、控制箱、基础、电缆、电缆管、手井等低压侧设施维护、管养、防盗、设施损坏的恢复以及完成以上工作的辅助工作等工作。具体如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（1）日常维护：对照明设施、低压配电设施、低压电缆（含电缆管道）及其他电气控制设施的维护维修、损坏更换。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（2）设施防盗：对照明设施进行巡查防盗，对被盗设施及时修复。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（3）巡查及清洗：对养护内容进行日常巡查，对设备的运行情况及时记录，对设备表面定期清洗，及时清除城市照明设施上的乱张贴、乱涂写和乱拉挂。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（4）喷漆翻新：每年对灯杆等其他影响观瞻的设备表面按规定定期喷漆。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（5）设备设施维护检测：定期常规检查电缆、检测箱变等配电设施。</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（6）维护工作包括但不限于以上工作内容。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5、风险提示：在合同期内，因政府建设需要或由于政府交接等原因，需要大幅减少中标单位管养地段或提前结束合同期时，维护费用将实时结算，因此造成的经济损失，招标人不负赔偿责任。</w:t>
      </w:r>
    </w:p>
    <w:p>
      <w:pPr>
        <w:pStyle w:val="2"/>
        <w:spacing w:before="0" w:after="0" w:line="360" w:lineRule="auto"/>
        <w:ind w:left="0"/>
        <w:rPr>
          <w:color w:val="auto"/>
          <w:highlight w:val="none"/>
        </w:rPr>
      </w:pPr>
    </w:p>
    <w:p>
      <w:pPr>
        <w:pStyle w:val="5"/>
        <w:spacing w:after="0"/>
        <w:rPr>
          <w:rFonts w:ascii="宋体" w:hAnsi="宋体" w:cs="宋体"/>
          <w:color w:val="auto"/>
          <w:highlight w:val="none"/>
        </w:rPr>
      </w:pPr>
      <w:r>
        <w:rPr>
          <w:rFonts w:hint="eastAsia" w:ascii="宋体" w:hAnsi="宋体" w:cs="宋体"/>
          <w:color w:val="auto"/>
          <w:highlight w:val="none"/>
        </w:rPr>
        <w:t>二、项目规定及要求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设施量核准工作：为做好维护工作的交接、管理工作，要求中标单位在中标通知书发出3天内组织维护管理团队与原管理团队进行交接工作，在合同签订前15个日历日内完成设施量核查工作，对有不符的提出，与招标单位核实、备案，如未提出的，以招标单位资料为准。并且在此期间，中标方维护管理团队熟悉采购人的维护范围、设施，为正式维护做好准备工作。但在此期间采购人不予支付任何费用，所需经费由中标方自行负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实施过程中中标人必须根据承包合同中的各项条款，履行各项职责。如发现中标人组织措施不当、计划不落实、管理不严、实施方案中所列人员、机械设备（工具）与现场实际不符，导致养护质量达不到标准的，当月考评档次为差，情况严重的，采购人有权单方面终止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自觉接受采购人及有关部门的监督管理，每逢法定节日（含元旦、春节、五一、国庆等），必须无条件服从采购人组织的突击性任务及迎检活动，按时、按标准、按要求完成采购人所分配的工作，如在迎检活动中，由于养护工作不到位造成迎检所在项目不合格，扣减该月50%养护经费，如累计有二次迎检工作因养护不到位造成迎检所在项目不合格的，采购人有权单方面终止养护合同，并对中标人处以合同价款总额10％罚款的处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必须积极响应并接受镇级及以上领导和主管部门的监督检查，若受到镇级及以上领导和主管部门的批评，经调查认定情况属实的，视情节轻重予以罚款；造成恶劣影响的，采购人有权单方面终止合同。中标人必须随时、随地接受广大市民的监督，若受到市民的投诉，经调查认定情况属实的，视情节轻重予以罚款；造成恶劣影响的，采购人有权单方面终止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5、每逢节假日如元旦、五一、国庆、春节及镇政府要求的特别日子，采购人需要在主要路口、路段安装的灯饰，中标人应积极配合并按采购人的要求施工、管理。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其它用电设施如广告、灯饰及其它非用于路灯照明设施的用电未经采购人同意，中标人不得擅自接驳线路，一经发现，按偷电处理，除扣减中标人一个月维修经费外，并按规定对中标人予以处理，情况严重者，采购人有权单方面终止合同。若经采购人同意接驳的线路，中标人必须认真配合。</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必须按国家有关安全条例的规定对各种作业采取有效的安全保障措施，确保人员、机具、设施的安全，落实安全生产措施，且应按采购人的要求，为上岗工人配置统一的工作服和反光袖套，自行解决安全作业问题。在进行养护作业时必须认真负责，并注意安全操作，如发生任何意外，中标人负责事故处理及一切费用，概与采购人无关。任何因中标方引起的纠纷或损毁事故概由中标方负责解决及承担相关民事或法律责任，发生的漏电事故一切责任及造成的损失由中标方负责。</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8、中标人应承担的养护内容，及按实际上岗人数自行到有关部门申办有关用工手续、员工劳动保险手续等手续。安排好下属人员的住宿和教育管理工作。</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9、中标人无故停止工作,采购人有权按损失程度扣减养护费,并处以中标人合同总额3％的违约金给采购人。若无故停工累计达7天，采购人有权单方面终止合同。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★10、亮灯率不低于99%，亮灯率=（总光源数-灭灯盏数）/总光源数*100%。考核亮灯率低于要求，则超出部分每盏灯扣0.2分。</w:t>
      </w:r>
    </w:p>
    <w:p>
      <w:pPr>
        <w:pStyle w:val="2"/>
        <w:spacing w:before="0" w:after="0" w:line="360" w:lineRule="auto"/>
        <w:ind w:left="0"/>
        <w:rPr>
          <w:color w:val="auto"/>
          <w:highlight w:val="none"/>
        </w:rPr>
      </w:pPr>
    </w:p>
    <w:p>
      <w:pPr>
        <w:pStyle w:val="5"/>
        <w:spacing w:after="0"/>
        <w:rPr>
          <w:rFonts w:ascii="宋体" w:hAnsi="宋体" w:cs="宋体"/>
          <w:color w:val="auto"/>
          <w:highlight w:val="none"/>
        </w:rPr>
      </w:pPr>
      <w:r>
        <w:rPr>
          <w:rFonts w:hint="eastAsia" w:ascii="宋体" w:hAnsi="宋体" w:cs="宋体"/>
          <w:color w:val="auto"/>
          <w:highlight w:val="none"/>
        </w:rPr>
        <w:t>三、服务需求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1、人员及相关车辆、设施配置要求：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人员要求：中标方必须健全本维护项目实施的组织机构，派出不少于12人组成本包专职实施团队，其中项目负责人1人，安全负责人（安全员）1人，项目专职维修人员不少于10人（其中具有电工证人员不少于6人，同时具有路灯高空作业维修工职业资格证书人员不少于</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人）；以上人员须常驻服务地点专门为本项目服务。如服务过程中，投标方发现人员不足以保障路灯的正常运行，要求中标方增加到保障路灯正常运行的合理人数时，投标方须无条件同意配合</w:t>
      </w:r>
      <w:r>
        <w:rPr>
          <w:rFonts w:hint="eastAsia" w:ascii="宋体" w:hAnsi="宋体" w:eastAsia="宋体" w:cs="宋体"/>
          <w:color w:val="auto"/>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方项目专职实施团队成员如无特殊原因（如离职、生病不能长期工作）不得进行更换，如未得到采购人同意更换的扣除50%的履约保证金。如得到同意进行更换的人员的职称（资格）等级不低于原人员。中标方所投入的维护人员，需要通过采购人的实操考核，考核合格后方可上岗。项目实施团队成员需报采购人备案，所有人员未经采购人同意不得更换。采购人也将建立考勤制度，对项目实施团队进行考核。</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中标方必须为项目实施团队人员购买社保（养老、医疗、工伤等险种），必须附上社保证明，人员、人数必须与备案相符。如未购买社保或人员、人数不符的，每次支付维护经费时扣除20000元。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★（2）中标方需要配备车况良好的维护车辆，配置要求如下：升空高度≥12米的高空作业车2台、货车（轻型箱式货车或轻型普通货车）2台。</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按照国家现行的标准、规范和规程进行维修、保养，根据采购人提出的技术要求，对维修养护质量负责。中标单位在维修、养护中所更换的设施须按所在位置原设施的技术指标或按采购人要求恢复原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3、中标方应严格遵守国家法律、法规，中标方员工在维护工作中如有违法乱纪的行为，对他人或招标方造成损失的，中标方应承担一切经济责任和法律责任。</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因维护工作需要，如需办理交警、绿化、供电、交委、煤气等有关部门的手续，由中标方负责办理并承担相应费用。在维护中涉及道路、绿化破挖、恢复、占道、供电检测、试验等费用的由中标方负责支付，包含在维护费用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实施过程中中标方必须根据承包合同中的各项条款，履行各项职责。应做好日常维护，保养记录的统计汇总，每月25日前上报下月维护计划报招标方审核，并安排好每日的维护工作(即制定每日维护计划)。在日常维修中，必须做到维修故障点维修前、后、维修现场拍照存档，建立完整的维修检修档案。其中更换电缆等隐蔽工程必须故障现场拍照并填写维修报表，经招标方批准后并在招标方监管人员在场情况下方可更换并且必须更换与原型号、规格相同的电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实行路灯、夜景灯的户籍手册，中标人要做到每盏路灯、夜景灯、每个箱变都有档案记录；中标人必须每月底将当月的养护情况书面报告甲方。每年喷漆翻新前，中标人必须将计划报甲方，以便甲方进行监督。</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7、巡查检修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设立巡查检修小组，每天晚上巡灯，随时掌握灯具不亮或异常，杆身是否倾斜、被撞、断裂、脱焊及严重锈蚀；杆基有否下沉或变形；灯具引下线是否绝缘良好、无破皮、绝缘开裂、接线盒无破损、接线井有盖。如有以上情况，应及时处理并逐级报告。</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（2）、每年对金属电杆的接地电阻测试一次，按地电阻不大于4Ω。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（3）、所有的路灯杆不得发生漏电事故，否则一切责任及造成的损失由中标人负责；灯杆、电箱等路灯照明设施要及时清除乱张贴、乱写画，设施表面脱漆、颜色褪变等要及时翻新，保持设施的清洁美观。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设备设施维护检测：按供电部门有关规定，春、秋两季定期常规检查电缆、灯具、箱变各一次，重大节日（元旦、春节、五一、国庆）常规检查电缆、灯具（不包括箱变）共四次；电缆每年绝缘测试一次，同时委托具有电气试验资质的试验单位对箱变（含箱变高压进线电缆）进行预防性检测试验一次，并提交相关试验报告备案，保证符合用电规范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（5）、对以上检修的情况，做好记录存档。</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8、高杆灯的巡查检修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（1）、随时掌握半夜及早上亮灯、熄灯情况，把高杆灯作为重要巡查项目，保证高杆灯按时亮灯、按时熄灯，发现有整座灯不亮、不熄异常故障，要及时处理，组织抢修，尽快恢复正常。</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（2）、每周对杆头配电箱检查一次，检查箱体、箱门有否受损，检查箱内各开关接头及电器是否良好，各电缆联接是否良好，发现问题及时处理并逐级报告。</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（3）、每六个月检查内部减速机构、电缆、插头、钢丝绳等设备是否良好，清除杂物。对升降机构进行升降操作和保养。清洁机构积污，加润滑油，保持减速机构和传动机构灵活及牵引钢丝绳的良好状态。</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（4）、每年对灯杆和地脚螺丝的金属防腐蚀情况进行评估，对有锈蚀的地方，根据锈蚀情况，进行有效的防锈处理；对接地电阻进行一次测试，使接地电阻不大于4Ω，确保高杆灯的可靠强度和安全运行。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（5）、对以上检修的情况，做好记录存档。</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9、景观灯的巡查检修参考路灯执行。</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方在签订维护合同前，需提供投标文件中所投维护材料的采购合同报招标方备案（包括辅助材料），并在维护中严格遵守品牌承诺；如在维护工作中招标方认为中标方的材料不能满足维护工作需要，可以要求中标方更换招标方指定品牌，中标方必须无条件更换。若招标人在维护期间进行维护材料抽检时发现中标方未按照备案的维护材料进行维修更换，将按照监管措施进行处罚。维修、养护中照明设施及配件的更换必须按照原有设施及配件的品牌或招标方要求品牌进行更换，或者使用不低于原设备的技术标准、符合国家有关技术标准的设施及配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发生路灯电缆烧损情况时，中标方必须更换整段烧损的电缆线。更换的电缆线按照烧损电缆类型进行更换，须使用符合国家安全标准的AA8030系列铝合金电缆或铜芯电缆，附带电缆线材料证明及施工图片报采购方备案。</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12、中标人应设立每日巡灯、节假日值班及故障抢修制度和群众投诉电话，发现问题要及时记录和检修，因各种原因被损坏或被盗的，必须在12小时内修复。修复所发生的一切相关费用全部由中标人承担。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13、合理安排清洗计划，每季度清洗一次路灯、灯杆。未按照计划清洗的，在当月维护费用中每杆路灯扣除200元。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服务范围内的灯杆及其他影响观瞻的设备表面翻新喷漆每年一次，未按照计划翻新喷漆的，在当月维护费用中每杆路灯扣除200元。进场服务后须开展路灯编号工作，对每条路段每杆路灯进行重新编号并在每杆灯上印刷号码，灯杆号码每年翻新喷漆一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中标人应按供电部门有关规定，春、秋两季定期常规检查电缆、路灯结构安全各一次，重大节日（元旦、春节、五一、国庆）常规检查电缆共四次；电缆每年绝缘测试一次；中高杆灯升降装置每年检查及润滑保养一次。对每次的检测工作须出具检测报告并报送甲方备案，如中标人无技术条件完成检测工作的，可委托有检测资质的第三方进行检测，费用由中标人自付。上述安全检测工作中标人未按时完的，将扣除当月服务费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采购人对中标人的路灯养护现场实行每月考评，按百分制打分。90分以上（含90分），按合同足额支付当月维护费用，低于90分（不含）每降低1分，扣除当月维护费的2.00%，低于80分（不含）扣除当月维护费用的50%。连续两个月或累计三次考核得分低于80分（不含），将终止合同，没收合同履约金，经济损失和法律责任由作业单位承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17、如因市政建设影响部分路灯暂时不运行，必需报经过招标方审批，经招标方确认、备案。未运行的路灯及设备不计入亮灯率、灯容灯貌测评。</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18、中标方应接受社会和广大市民的监管，对群众提出的合理要求务必在24小时内实施并完成整改。城管110案件、媒体投诉必须按规定如期处理。如有延误，按监管办法扣分扣款。</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19、政府如有大型活动，中标方应积极配合招标方的相应工作。每逢法定节日及迎检活动，中标方必须无条件服从招标方组织的突击性任务，按时、按标准、按要求完成招标方所分配的工作。</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20、台风、雨季、节假日应加强巡查，做好安全措施，并有应急抢修人员随时做好准备，并制定应急预案。</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方有义务随时巡查辖区，并上报、制止辖区内未经招标方同意的可能损坏到路灯及设备的行为。如该行为已发生，中标方需立即修复，在修复后制作修复费用结算报招标方，由招标方协助中标方向肇事方索赔，但招标方不承诺索赔成功，如未能索赔或全额索赔的，由中标方自行承担修复费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22、如有需停电检修的情况，应提前1个工作日与招标方联系备案，同意后由招标方通知相关单位如交警等。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23、中标方需做好安全防护措施，发生路灯设施故障造成他人财产损失或人身伤害的，由中标方承担全部民事和法律责任。如出现重大安全事故，招标方有权解除合同，所有损失由中标方承担。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24、如果出现设施故障引起大面积灭灯，中标方不能及时赶到现场或按时完成抢修，或中标方承担的养护项目施工质量不合格，招标方有权安排其他单位进行维修，维修费用将在每月的维护费中扣取。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25、因路灯设施故障进行维修的，如因特殊情况无法在规定时间内完成的，必须采取临时照明措施。</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中标方必须将维护范围内路灯设施完好移交下一合同年度中标方，中标方最后一次的维护费用、履约保证金必须在与下一个合同年度中标方交接完毕后，方可领取。如因本次中标方责任造成设施损坏的，必须进行修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27、考核方式：实行定期检查、不定期（时间不定、与定期时间错开），按百分制打分，定期与不定期检查的考核占比为6:4（月度考核得分=定期检查得分*60%+不定期检查得分*40%），具体内容详见附件3。</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28、考核监管：有效的过程监管是项目预期绩效顺利达成的保障，在做好监管过程制度建设的基础上，招标方将成立项目专项小组，监督中标单位的路灯维护工作。专项小组 成员由镇人大代表、主管部门工作人员等随机组成，以增加考核小组的公信力和公正性，以更好的激励中标单位提升服务质量，确保路灯养护效果的实现及财政资金绩效的有效发挥。</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29、招标方将制定维护考核标准、管理规定、维护流程，中标方必须无条件遵守。</w:t>
      </w:r>
    </w:p>
    <w:p>
      <w:pPr>
        <w:pStyle w:val="2"/>
        <w:rPr>
          <w:color w:val="auto"/>
          <w:highlight w:val="none"/>
          <w:lang w:val="en-US"/>
        </w:rPr>
      </w:pPr>
    </w:p>
    <w:p>
      <w:pPr>
        <w:pStyle w:val="5"/>
        <w:spacing w:after="0"/>
        <w:rPr>
          <w:rFonts w:ascii="宋体" w:hAnsi="宋体" w:cs="宋体"/>
          <w:color w:val="auto"/>
          <w:highlight w:val="none"/>
        </w:rPr>
      </w:pPr>
      <w:r>
        <w:rPr>
          <w:rFonts w:hint="eastAsia" w:ascii="宋体" w:hAnsi="宋体" w:cs="宋体"/>
          <w:color w:val="auto"/>
          <w:highlight w:val="none"/>
        </w:rPr>
        <w:t>四、维护材料</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服务项目涉及的所有维护材料均由中标方采购，中标方要有相应的仓库存放维修用的维护材料及配件。采购人采取每月不定期抽查方式对维护材料的库存及更换进行检查。采购人对维护用的零星材料提出质疑时，有权要求中标方提供未在招标文件中列出的零星材料的合格证或检测报告。</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维护期内，招标方可对维护所使用的产品进行质量抽检，检测单位：市质量检测中心，所需费用由中标方承担。中标方每日维修所需材料的出库必须填写出库单，招标方将进行检查。出库清单必须包含所有材料的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拟使用电缆需提供厂家近1年内（至开标日止）市级以上质量检测机构出具的第三方电缆检测报告。</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件的更换要求：必须按照各照明工程的竣工图，要求更换原厂生产的路灯、夜景灯及照明设施配件，中标单位要有相应的配件库存，配件更换时应通知甲方派人到现场确认配件质量。甲方有权不定时随机进行抽查，如发现未按要求更换原厂配件的，每次扣一分，另除立即更换原厂配件外，当月考评为差。</w:t>
      </w:r>
    </w:p>
    <w:p>
      <w:pPr>
        <w:pStyle w:val="2"/>
        <w:spacing w:before="0" w:after="0" w:line="360" w:lineRule="auto"/>
        <w:ind w:left="0"/>
        <w:rPr>
          <w:color w:val="auto"/>
          <w:highlight w:val="none"/>
        </w:rPr>
      </w:pPr>
    </w:p>
    <w:p>
      <w:pPr>
        <w:pStyle w:val="5"/>
        <w:numPr>
          <w:ilvl w:val="0"/>
          <w:numId w:val="2"/>
        </w:numPr>
        <w:spacing w:after="0"/>
        <w:rPr>
          <w:rFonts w:ascii="宋体" w:hAnsi="宋体" w:cs="宋体"/>
          <w:color w:val="auto"/>
          <w:highlight w:val="none"/>
        </w:rPr>
      </w:pPr>
      <w:r>
        <w:rPr>
          <w:rFonts w:hint="eastAsia" w:ascii="宋体" w:hAnsi="宋体" w:cs="宋体"/>
          <w:color w:val="auto"/>
          <w:highlight w:val="none"/>
        </w:rPr>
        <w:t>项目清单</w:t>
      </w:r>
    </w:p>
    <w:p>
      <w:pPr>
        <w:spacing w:after="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w:t>
      </w:r>
    </w:p>
    <w:p>
      <w:pPr>
        <w:pStyle w:val="28"/>
        <w:spacing w:after="0" w:line="360" w:lineRule="auto"/>
        <w:ind w:firstLine="0" w:firstLineChars="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路灯市场化管养路灯数量统计表一</w:t>
      </w:r>
    </w:p>
    <w:tbl>
      <w:tblPr>
        <w:tblStyle w:val="19"/>
        <w:tblW w:w="0" w:type="auto"/>
        <w:tblInd w:w="0" w:type="dxa"/>
        <w:tblLayout w:type="fixed"/>
        <w:tblCellMar>
          <w:top w:w="0" w:type="dxa"/>
          <w:left w:w="0" w:type="dxa"/>
          <w:bottom w:w="0" w:type="dxa"/>
          <w:right w:w="0" w:type="dxa"/>
        </w:tblCellMar>
      </w:tblPr>
      <w:tblGrid>
        <w:gridCol w:w="450"/>
        <w:gridCol w:w="2243"/>
        <w:gridCol w:w="1995"/>
        <w:gridCol w:w="1335"/>
        <w:gridCol w:w="1194"/>
        <w:gridCol w:w="1020"/>
      </w:tblGrid>
      <w:tr>
        <w:tblPrEx>
          <w:tblCellMar>
            <w:top w:w="0" w:type="dxa"/>
            <w:left w:w="0" w:type="dxa"/>
            <w:bottom w:w="0" w:type="dxa"/>
            <w:right w:w="0" w:type="dxa"/>
          </w:tblCellMar>
        </w:tblPrEx>
        <w:trPr>
          <w:trHeight w:val="499"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路名</w:t>
            </w:r>
          </w:p>
        </w:tc>
        <w:tc>
          <w:tcPr>
            <w:tcW w:w="19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灯杆（含灯具、线路）（支）</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路灯控制箱(个)</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箱变(个)</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0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9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中麻公路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麻涌大道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沿江东路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新太路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创兴三、四路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公务员宿舍周边</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医院横路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东太路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东环路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东环路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景观路灯</w:t>
            </w: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鸥涌路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文化广场、滨江公园</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西部干道（麻涌立交）</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景观路灯</w:t>
            </w: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太步路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大步商业路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分局创兴路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川槎工业区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华阳村道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水乡大道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新沙路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新沙二横路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新基工业大道</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广深高速桥底黎滘段</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广深高速桥底川槎段</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3199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bl>
    <w:p>
      <w:pPr>
        <w:pStyle w:val="2"/>
        <w:spacing w:before="0" w:after="0" w:line="360" w:lineRule="auto"/>
        <w:ind w:left="0"/>
        <w:jc w:val="both"/>
        <w:rPr>
          <w:b/>
          <w:bCs/>
          <w:color w:val="auto"/>
          <w:highlight w:val="none"/>
        </w:rPr>
      </w:pPr>
    </w:p>
    <w:p>
      <w:pPr>
        <w:pStyle w:val="2"/>
        <w:spacing w:before="0" w:after="0" w:line="360" w:lineRule="auto"/>
        <w:ind w:left="0"/>
        <w:jc w:val="center"/>
        <w:rPr>
          <w:b/>
          <w:bCs/>
          <w:color w:val="auto"/>
          <w:highlight w:val="none"/>
        </w:rPr>
      </w:pPr>
      <w:r>
        <w:rPr>
          <w:rFonts w:hint="eastAsia"/>
          <w:b/>
          <w:bCs/>
          <w:color w:val="auto"/>
          <w:highlight w:val="none"/>
        </w:rPr>
        <w:t>路灯市场化管养路灯数量统计表二</w:t>
      </w:r>
    </w:p>
    <w:tbl>
      <w:tblPr>
        <w:tblStyle w:val="19"/>
        <w:tblW w:w="0" w:type="auto"/>
        <w:tblInd w:w="0" w:type="dxa"/>
        <w:tblLayout w:type="fixed"/>
        <w:tblCellMar>
          <w:top w:w="0" w:type="dxa"/>
          <w:left w:w="0" w:type="dxa"/>
          <w:bottom w:w="0" w:type="dxa"/>
          <w:right w:w="0" w:type="dxa"/>
        </w:tblCellMar>
      </w:tblPr>
      <w:tblGrid>
        <w:gridCol w:w="450"/>
        <w:gridCol w:w="2162"/>
        <w:gridCol w:w="2091"/>
        <w:gridCol w:w="1320"/>
        <w:gridCol w:w="1194"/>
        <w:gridCol w:w="1020"/>
      </w:tblGrid>
      <w:tr>
        <w:tblPrEx>
          <w:tblCellMar>
            <w:top w:w="0" w:type="dxa"/>
            <w:left w:w="0" w:type="dxa"/>
            <w:bottom w:w="0" w:type="dxa"/>
            <w:right w:w="0" w:type="dxa"/>
          </w:tblCellMar>
        </w:tblPrEx>
        <w:trPr>
          <w:trHeight w:val="51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路名</w:t>
            </w:r>
          </w:p>
        </w:tc>
        <w:tc>
          <w:tcPr>
            <w:tcW w:w="209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灯杆（含灯具、线路）（支）</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路灯控制箱(个)</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箱变(个)</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09"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20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沿江西路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古梅路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文武涌路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港中路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教育路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马士基路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八达路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西环路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建设路/振兴路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教师楼、旧镇府</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兴南路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兴华路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景观路灯</w:t>
            </w: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中心小学路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学院南路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淡水河景观大道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漳澎富民路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漳澎规划路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沿江西路（景观灯）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古梅路（景观灯）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新沙一横路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规划十三路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新沙景观大道</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东太规划一路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东环三期广场</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新港南路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6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作业区中路</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05" w:hRule="atLeast"/>
        </w:trPr>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2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2302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rPr>
                <w:rFonts w:ascii="宋体" w:hAnsi="宋体" w:eastAsia="宋体" w:cs="宋体"/>
                <w:color w:val="auto"/>
                <w:sz w:val="21"/>
                <w:szCs w:val="21"/>
                <w:highlight w:val="none"/>
              </w:rPr>
            </w:pPr>
          </w:p>
        </w:tc>
      </w:tr>
    </w:tbl>
    <w:p>
      <w:pPr>
        <w:pStyle w:val="2"/>
        <w:spacing w:before="0" w:after="0" w:line="360" w:lineRule="auto"/>
        <w:ind w:left="0"/>
        <w:rPr>
          <w:b/>
          <w:bCs/>
          <w:color w:val="auto"/>
          <w:highlight w:val="none"/>
          <w:lang w:val="en-US"/>
        </w:rPr>
      </w:pPr>
      <w:r>
        <w:rPr>
          <w:rFonts w:hint="eastAsia"/>
          <w:b/>
          <w:bCs/>
          <w:color w:val="auto"/>
          <w:highlight w:val="none"/>
          <w:lang w:val="en-US"/>
        </w:rPr>
        <w:t>附件2：</w:t>
      </w:r>
    </w:p>
    <w:p>
      <w:pPr>
        <w:pStyle w:val="2"/>
        <w:spacing w:before="0" w:after="0" w:line="360" w:lineRule="auto"/>
        <w:ind w:left="0"/>
        <w:jc w:val="center"/>
        <w:rPr>
          <w:b/>
          <w:bCs/>
          <w:color w:val="auto"/>
          <w:highlight w:val="none"/>
          <w:lang w:val="en-US"/>
        </w:rPr>
      </w:pPr>
      <w:r>
        <w:rPr>
          <w:rFonts w:hint="eastAsia"/>
          <w:b/>
          <w:bCs/>
          <w:color w:val="auto"/>
          <w:highlight w:val="none"/>
          <w:lang w:val="en-US"/>
        </w:rPr>
        <w:t>夜景灯市场化管养数量统计表</w:t>
      </w:r>
    </w:p>
    <w:tbl>
      <w:tblPr>
        <w:tblStyle w:val="19"/>
        <w:tblW w:w="8339" w:type="dxa"/>
        <w:tblInd w:w="0" w:type="dxa"/>
        <w:tblLayout w:type="fixed"/>
        <w:tblCellMar>
          <w:top w:w="0" w:type="dxa"/>
          <w:left w:w="0" w:type="dxa"/>
          <w:bottom w:w="0" w:type="dxa"/>
          <w:right w:w="0" w:type="dxa"/>
        </w:tblCellMar>
      </w:tblPr>
      <w:tblGrid>
        <w:gridCol w:w="471"/>
        <w:gridCol w:w="1159"/>
        <w:gridCol w:w="779"/>
        <w:gridCol w:w="779"/>
        <w:gridCol w:w="779"/>
        <w:gridCol w:w="779"/>
        <w:gridCol w:w="779"/>
        <w:gridCol w:w="779"/>
        <w:gridCol w:w="779"/>
        <w:gridCol w:w="779"/>
        <w:gridCol w:w="477"/>
      </w:tblGrid>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投光灯（含庭院灯）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线条灯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米</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洗墙灯、点串灯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米</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瓦楞灯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壁灯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轮廓灯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点光源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控制箱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牌坊（八个）</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2365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983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景观节点</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淡水河桥头堡</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866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雕塑节点</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房地产小区（六个）</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1049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4482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拈花寺</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1167.7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707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麻涌大桥、中心大桥</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2670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麻涌河两岸</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5759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1259</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主干道周边及建筑（含文化广场）</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11554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东江北干流公园</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1568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2646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1470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淡水河北岸</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9984</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25" w:hRule="atLeast"/>
        </w:trPr>
        <w:tc>
          <w:tcPr>
            <w:tcW w:w="16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小计</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6518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19442.7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19358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3531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1568</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795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11050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360" w:lineRule="auto"/>
              <w:jc w:val="center"/>
              <w:textAlignment w:val="center"/>
              <w:rPr>
                <w:rFonts w:ascii="宋体" w:hAnsi="宋体" w:eastAsia="宋体" w:cs="宋体"/>
                <w:color w:val="auto"/>
                <w:sz w:val="21"/>
                <w:szCs w:val="21"/>
                <w:highlight w:val="none"/>
              </w:rPr>
            </w:pPr>
          </w:p>
        </w:tc>
      </w:tr>
    </w:tbl>
    <w:p>
      <w:pPr>
        <w:pStyle w:val="2"/>
        <w:spacing w:before="0" w:after="0" w:line="360" w:lineRule="auto"/>
        <w:ind w:left="0"/>
        <w:rPr>
          <w:b/>
          <w:bCs/>
          <w:color w:val="auto"/>
          <w:highlight w:val="none"/>
          <w:lang w:val="en-US"/>
        </w:rPr>
      </w:pPr>
    </w:p>
    <w:p>
      <w:pPr>
        <w:pStyle w:val="5"/>
        <w:spacing w:after="0"/>
        <w:rPr>
          <w:rFonts w:ascii="宋体" w:hAnsi="宋体" w:cs="宋体"/>
          <w:color w:val="auto"/>
          <w:highlight w:val="none"/>
        </w:rPr>
      </w:pPr>
      <w:r>
        <w:rPr>
          <w:rFonts w:hint="eastAsia" w:ascii="宋体" w:hAnsi="宋体" w:cs="宋体"/>
          <w:color w:val="auto"/>
          <w:highlight w:val="none"/>
        </w:rPr>
        <w:t>六、报价要求</w:t>
      </w:r>
    </w:p>
    <w:p>
      <w:pPr>
        <w:widowControl w:val="0"/>
        <w:autoSpaceDE w:val="0"/>
        <w:autoSpaceDN w:val="0"/>
        <w:adjustRightInd/>
        <w:snapToGrid/>
        <w:spacing w:after="0"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1、投标报价包含完成本项目所需的人工费、材料费、设备使用费、各种税费、保险费及合同实施过程中的不可预见费用等全部费用，按本次招标范围及中标价一次包干，结算时不作调整。</w:t>
      </w:r>
    </w:p>
    <w:p>
      <w:pPr>
        <w:widowControl w:val="0"/>
        <w:autoSpaceDE w:val="0"/>
        <w:autoSpaceDN w:val="0"/>
        <w:adjustRightInd/>
        <w:snapToGrid/>
        <w:spacing w:after="0"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2、以人民币为结算单位。</w:t>
      </w:r>
    </w:p>
    <w:p>
      <w:pPr>
        <w:pStyle w:val="2"/>
        <w:spacing w:before="0" w:after="0" w:line="360" w:lineRule="auto"/>
        <w:ind w:left="0"/>
        <w:rPr>
          <w:color w:val="auto"/>
          <w:highlight w:val="none"/>
        </w:rPr>
      </w:pPr>
    </w:p>
    <w:p>
      <w:pPr>
        <w:pStyle w:val="5"/>
        <w:spacing w:after="0"/>
        <w:rPr>
          <w:rFonts w:ascii="宋体" w:hAnsi="宋体" w:cs="宋体"/>
          <w:color w:val="auto"/>
          <w:highlight w:val="none"/>
        </w:rPr>
      </w:pPr>
      <w:r>
        <w:rPr>
          <w:rFonts w:hint="eastAsia" w:ascii="宋体" w:hAnsi="宋体" w:cs="宋体"/>
          <w:color w:val="auto"/>
          <w:highlight w:val="none"/>
        </w:rPr>
        <w:t>七、服务期</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服务期：合同签订之日起，三年服务期。（具体以时间签订合同时间为准。）</w:t>
      </w:r>
    </w:p>
    <w:p>
      <w:pPr>
        <w:pStyle w:val="7"/>
        <w:spacing w:after="0" w:line="360" w:lineRule="auto"/>
        <w:ind w:firstLine="480"/>
        <w:rPr>
          <w:rFonts w:ascii="宋体" w:hAnsi="宋体" w:eastAsia="宋体" w:cs="宋体"/>
          <w:color w:val="auto"/>
          <w:sz w:val="24"/>
          <w:highlight w:val="none"/>
        </w:rPr>
      </w:pPr>
    </w:p>
    <w:p>
      <w:pPr>
        <w:pStyle w:val="5"/>
        <w:spacing w:after="0"/>
        <w:rPr>
          <w:rFonts w:ascii="宋体" w:hAnsi="宋体" w:cs="宋体"/>
          <w:color w:val="auto"/>
          <w:highlight w:val="none"/>
        </w:rPr>
      </w:pPr>
      <w:r>
        <w:rPr>
          <w:rFonts w:hint="eastAsia" w:ascii="宋体" w:hAnsi="宋体" w:cs="宋体"/>
          <w:color w:val="auto"/>
          <w:highlight w:val="none"/>
        </w:rPr>
        <w:t>八、付款方式</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付款方式：根据每月评分结果按月支付养护费。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现场实际、镇政府及相关文件要求，养护数量如有增减，中标单位必须无条件服从，养护费用根据实际养护数量将做调整，调整依据根据中标单位报价确定，因此施工单位报总价的同时，必须报灯杆、灯具、投光灯、灯带、箱变及配电箱等的单价。</w:t>
      </w:r>
    </w:p>
    <w:p>
      <w:pPr>
        <w:pStyle w:val="28"/>
        <w:spacing w:after="0" w:line="360" w:lineRule="auto"/>
        <w:ind w:firstLine="0" w:firstLineChars="0"/>
        <w:rPr>
          <w:rFonts w:ascii="宋体" w:hAnsi="宋体" w:eastAsia="宋体" w:cs="宋体"/>
          <w:b/>
          <w:color w:val="auto"/>
          <w:sz w:val="24"/>
          <w:highlight w:val="none"/>
        </w:rPr>
      </w:pPr>
    </w:p>
    <w:p>
      <w:pPr>
        <w:pStyle w:val="5"/>
        <w:spacing w:after="0"/>
        <w:rPr>
          <w:rFonts w:ascii="宋体" w:hAnsi="宋体" w:cs="宋体"/>
          <w:color w:val="auto"/>
          <w:highlight w:val="none"/>
        </w:rPr>
      </w:pPr>
      <w:r>
        <w:rPr>
          <w:rFonts w:hint="eastAsia" w:ascii="宋体" w:hAnsi="宋体" w:cs="宋体"/>
          <w:color w:val="auto"/>
          <w:highlight w:val="none"/>
        </w:rPr>
        <w:t>★九、履约保证金</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在收到中标通知书之日起十日内，向招标人提交由银行出具的履约保函或现金转账或担保机构履约担保函，履约保证金为合同价的10%。如中标人未履行或未按照合同约定履行义务的，履约保证金不予退还；如中标人完全按照合同约定履行义务的，招标人于承包合同期满之日起三个月内将履约保证金全额无息退还给中标人。</w:t>
      </w:r>
    </w:p>
    <w:p>
      <w:pPr>
        <w:spacing w:after="0" w:line="360" w:lineRule="auto"/>
        <w:rPr>
          <w:rFonts w:ascii="宋体" w:hAnsi="宋体" w:eastAsia="宋体" w:cs="宋体"/>
          <w:color w:val="auto"/>
          <w:sz w:val="24"/>
          <w:szCs w:val="24"/>
          <w:highlight w:val="none"/>
        </w:rPr>
      </w:pPr>
    </w:p>
    <w:p>
      <w:pPr>
        <w:pStyle w:val="5"/>
        <w:spacing w:after="0"/>
        <w:rPr>
          <w:rFonts w:ascii="宋体" w:hAnsi="宋体" w:cs="宋体"/>
          <w:color w:val="auto"/>
          <w:highlight w:val="none"/>
        </w:rPr>
      </w:pPr>
      <w:r>
        <w:rPr>
          <w:rFonts w:hint="eastAsia" w:ascii="宋体" w:hAnsi="宋体" w:cs="宋体"/>
          <w:color w:val="auto"/>
          <w:highlight w:val="none"/>
        </w:rPr>
        <w:t>十、框架条款</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为更好地激励中标单位更好的执行路灯维护任务，保质保量地完成路灯及夜景灯市场化管养，中标单位须与招标人签署一个三年期维护服务框架协议，即中标后，双方首先按招标书相关约定签署第一年服务合同，合同执行期间，招标人将加强对中标单位维护施工过程管控和绩效考核，并以此作为双方后续合作与否的重要依据。从第二个维护年度起，年度维护合同需根据中标单位上一个服务年度的工作绩效情况决定是否签署，若中标单位工作绩效通过相关部门考核，则签署下一年合同，若考核不通过则中标单位需退出该项目合作，路灯及夜景灯维护工作由招标人重新通过政府采购开展服务。基于此，为保障三年服务期内不同年度路灯养护工作的有效衔接，招标人针对本项目出具了路灯及夜景灯市场化管养考核评分表（详见附件3），并写入项目采购文件和作为合同附件。具体在路灯维护服务开展的过程中，除了对维护服务进行日常常规性的考核外，招标人将于年度养护服务</w:t>
      </w:r>
      <w:r>
        <w:rPr>
          <w:rFonts w:hint="eastAsia" w:ascii="宋体" w:hAnsi="宋体" w:eastAsia="宋体"/>
          <w:color w:val="auto"/>
          <w:sz w:val="21"/>
          <w:szCs w:val="21"/>
          <w:highlight w:val="none"/>
          <w:lang w:val="en-US" w:eastAsia="zh-CN"/>
        </w:rPr>
        <w:t>的开展</w:t>
      </w:r>
      <w:r>
        <w:rPr>
          <w:rFonts w:hint="eastAsia" w:ascii="宋体" w:hAnsi="宋体" w:eastAsia="宋体"/>
          <w:color w:val="auto"/>
          <w:sz w:val="21"/>
          <w:szCs w:val="21"/>
          <w:highlight w:val="none"/>
        </w:rPr>
        <w:t>通过自身组建团队或聘请第三方对中标单位路灯养护服务情况进行年度绩效考核（按百分制打分，考核的平均分达到90分（含）以上为及格、低于90分（不含）为不及格，考核评分表详见附件3），并依据本年度绩效考核的结果决定下一年度服务合同的签署情况，若中标单位绩效考核不及格，将依据框架协议解除与其下一年度的合作关系。</w:t>
      </w:r>
    </w:p>
    <w:p>
      <w:pPr>
        <w:rPr>
          <w:color w:val="auto"/>
          <w:highlight w:val="none"/>
        </w:rPr>
      </w:pPr>
    </w:p>
    <w:p>
      <w:pPr>
        <w:pStyle w:val="5"/>
        <w:spacing w:after="0"/>
        <w:rPr>
          <w:color w:val="auto"/>
          <w:highlight w:val="none"/>
        </w:rPr>
      </w:pPr>
      <w:r>
        <w:rPr>
          <w:rFonts w:hint="eastAsia"/>
          <w:color w:val="auto"/>
          <w:highlight w:val="none"/>
        </w:rPr>
        <w:t>十一、其他要求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中标单位需编制路灯养护实施方案，招标方对中标单位的路灯养护实施方案进行审核及提出修改意见，经招标方审查后的路灯养护实施方案，将作为本工程承包合同的附件。路灯养护实施方案内容包含但不限于：（1）具备适合的工程师、电工、管理等人员，并向甲方提供有关人员职责名单及资质证、上岗证复印件；中标后，于进场一星期内将上述人员证书原件供招标方核验。（2）投入本项目的机械设备清单（注明名称、型号、数量），所采用的设备必须满足国家有关技术操作规程的要求；中标后，中标单位投入的机械设备在20天内要经招标方核准认定。</w:t>
      </w:r>
    </w:p>
    <w:p>
      <w:pPr>
        <w:spacing w:after="0" w:line="360" w:lineRule="auto"/>
        <w:ind w:firstLine="420" w:firstLineChars="200"/>
        <w:rPr>
          <w:rFonts w:ascii="宋体" w:hAnsi="宋体" w:eastAsia="宋体" w:cs="Times New Roman"/>
          <w:b/>
          <w:bCs/>
          <w:color w:val="auto"/>
          <w:sz w:val="21"/>
          <w:szCs w:val="21"/>
          <w:highlight w:val="none"/>
        </w:rPr>
      </w:pPr>
      <w:r>
        <w:rPr>
          <w:rFonts w:hint="eastAsia" w:ascii="宋体" w:hAnsi="宋体" w:eastAsia="宋体"/>
          <w:color w:val="auto"/>
          <w:sz w:val="21"/>
          <w:szCs w:val="21"/>
          <w:highlight w:val="none"/>
        </w:rPr>
        <w:t>2、招标单位将养护任务交给中标单位，中标单位按招标单位的管理要求和标准来组织管理养护工作，并接受招标单位的指导、监督、检查验收、考评和按章处以违约金。中标单位按中标价包工、包料、包机械设备、包质量、包安全、包巡查、包养护；按国家等相关规定，应由中标单位缴纳的各种费用已包含在中标价中，由中标单位向有关部门交付。</w:t>
      </w:r>
    </w:p>
    <w:p>
      <w:pPr>
        <w:spacing w:after="0" w:line="360" w:lineRule="auto"/>
        <w:ind w:firstLine="422" w:firstLineChars="200"/>
        <w:rPr>
          <w:rFonts w:ascii="宋体" w:hAnsi="宋体" w:eastAsia="宋体" w:cs="Times New Roman"/>
          <w:b/>
          <w:bCs/>
          <w:color w:val="auto"/>
          <w:sz w:val="21"/>
          <w:szCs w:val="21"/>
          <w:highlight w:val="none"/>
        </w:rPr>
      </w:pPr>
    </w:p>
    <w:p>
      <w:pPr>
        <w:spacing w:after="0" w:line="360" w:lineRule="auto"/>
        <w:ind w:firstLine="422" w:firstLineChars="200"/>
        <w:rPr>
          <w:rFonts w:ascii="宋体" w:hAnsi="宋体" w:cs="宋体"/>
          <w:b/>
          <w:bCs/>
          <w:color w:val="auto"/>
          <w:szCs w:val="24"/>
          <w:highlight w:val="none"/>
          <w:lang w:val="en-US"/>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spacing w:after="0" w:line="36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附件3：</w:t>
      </w:r>
    </w:p>
    <w:p>
      <w:pPr>
        <w:spacing w:after="0" w:line="360" w:lineRule="auto"/>
        <w:jc w:val="center"/>
        <w:rPr>
          <w:color w:val="auto"/>
          <w:highlight w:val="none"/>
        </w:rPr>
      </w:pPr>
      <w:r>
        <w:rPr>
          <w:rFonts w:hint="eastAsia" w:ascii="宋体" w:hAnsi="宋体" w:eastAsia="宋体" w:cs="宋体"/>
          <w:b/>
          <w:bCs/>
          <w:color w:val="auto"/>
          <w:sz w:val="24"/>
          <w:szCs w:val="24"/>
          <w:highlight w:val="none"/>
        </w:rPr>
        <w:t>麻涌镇路灯及夜景灯市场化管养考核评分表（定期检查、不定期检查通用）</w:t>
      </w:r>
    </w:p>
    <w:p>
      <w:pPr>
        <w:pStyle w:val="2"/>
        <w:ind w:left="0"/>
        <w:rPr>
          <w:color w:val="auto"/>
          <w:highlight w:val="none"/>
          <w:lang w:val="en-US"/>
        </w:rPr>
      </w:pPr>
      <w:r>
        <w:rPr>
          <w:rFonts w:hint="eastAsia"/>
          <w:color w:val="auto"/>
          <w:highlight w:val="none"/>
          <w:lang w:val="en-US"/>
        </w:rPr>
        <w:t>考核月份：</w:t>
      </w:r>
    </w:p>
    <w:tbl>
      <w:tblPr>
        <w:tblStyle w:val="19"/>
        <w:tblW w:w="0" w:type="auto"/>
        <w:tblInd w:w="0" w:type="dxa"/>
        <w:tblLayout w:type="autofit"/>
        <w:tblCellMar>
          <w:top w:w="0" w:type="dxa"/>
          <w:left w:w="0" w:type="dxa"/>
          <w:bottom w:w="0" w:type="dxa"/>
          <w:right w:w="0" w:type="dxa"/>
        </w:tblCellMar>
      </w:tblPr>
      <w:tblGrid>
        <w:gridCol w:w="601"/>
        <w:gridCol w:w="570"/>
        <w:gridCol w:w="2981"/>
        <w:gridCol w:w="931"/>
        <w:gridCol w:w="1880"/>
        <w:gridCol w:w="560"/>
        <w:gridCol w:w="803"/>
      </w:tblGrid>
      <w:tr>
        <w:tblPrEx>
          <w:tblCellMar>
            <w:top w:w="0" w:type="dxa"/>
            <w:left w:w="0" w:type="dxa"/>
            <w:bottom w:w="0" w:type="dxa"/>
            <w:right w:w="0" w:type="dxa"/>
          </w:tblCellMar>
        </w:tblPrEx>
        <w:trPr>
          <w:trHeight w:val="315"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项目总分</w:t>
            </w:r>
          </w:p>
        </w:tc>
        <w:tc>
          <w:tcPr>
            <w:tcW w:w="39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检查方法及评价依据</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本期</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本期实际得分</w:t>
            </w:r>
          </w:p>
        </w:tc>
      </w:tr>
      <w:tr>
        <w:trPr>
          <w:trHeight w:val="26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3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应扣分</w:t>
            </w: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62"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日常管理检查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15分</w:t>
            </w: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1、项目管理人员及团队人员架构表须上墙</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未按要求设置的，每次扣1分，扣完为止。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724"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2、管理制度（管理人员岗位职责、文明施工制度等）必须上墙</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未按要求设置的，每次扣1分，扣完为止。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3、拟投入设备、材料及工具等须分区摆设</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未按要求分区摆设的，每次扣1分，扣完为止。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15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应建立每日巡查制度，每晚亮灯后，必须对养护范围内的所有路段全面检查一次亮灯情况并按要求填好路灯及夜景灯运行情况记录表格，同时要求对存在较大问题的路段进行拍照，每周一提交上周的巡查记录表、故障处理情况表和相关的图片等资料，记录表格如有弄虚作假，经采购人调查认定情况属实的。</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未按要求巡查或上交巡查记录资料或弄虚作假的，每处每次扣0.5分，扣完为止。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34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5、实行路灯、夜景灯的户籍手册，要做到每盏路灯、夜景灯、每个箱变都有档案记录；必须每月底将当月的养护情况书面报告甲方。每年喷漆翻新前，必须将计划报甲方，以便甲方进行监督。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未建立户籍手册的，每处扣0.1分，扣完为止。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0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6、每月及时按要求上交各项记录表格</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每缺一项每次扣0.5分，扣完为止。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7、在进行养护作业时操作人员必须穿反光服、戴安全帽，维修现场设置明显警示标志，并严格遵守国家电工安全操作规程规范</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未按要求执行的每发现一次扣0.5分，扣完为止。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4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8、操作人员须持证上岗，驾驶员要持有驾驶证，路灯及夜景灯维修人员要持有电工证和高空作业证</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发现无证上岗，每人次扣0.5分，扣完为止。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5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9、要有随时可更换数量的灯具、灯泡、镇流器、电缆、灯杆等路灯及夜景灯配件的库存</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未按要求备料的，每次扣0.5分，扣完为止。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50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要配备车况良好的维护车辆，配置要求如下：升空高度≥12米的高空作业车2台、货车（轻型箱式货车或轻型普通货车）2台；要求安排专职、专业上岗人员不少于12人组成本包专职实施团队，其中项目负责人1人，安全负责人（安全员）1人，项目专职维修人员不少于10人；配备日常检查维修用的高低压维修设备等相应满足养护需求的机械设备及工具，</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未按要求配备的，每缺一项每次扣1分，每少一人每次扣1分，扣完为止。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13" w:hRule="atLeast"/>
        </w:trPr>
        <w:tc>
          <w:tcPr>
            <w:tcW w:w="60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 养护</w:t>
            </w:r>
          </w:p>
        </w:tc>
        <w:tc>
          <w:tcPr>
            <w:tcW w:w="57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70分</w:t>
            </w: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1、亮灯率不低于99%，亮灯率=（总光源数-灭灯盏数）/总光源数*100%。</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未达到要求的，超出部分每盏灯扣0.2分，扣完为止。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042"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2、应设立每日巡灯、节假日值班及故障抢修制度和群众投诉电话，发现问题要及时记录和检修，因各种原因被损坏或被盗的，必须在12小时内修复。</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68"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3、损坏或被盗的路灯及夜景灯配件必须用原相同规格、品牌和型号的配件进行更换（经采购人同意除外）</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未按要求的，每发现一例扣0.5分，扣完为止。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18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4、必须按采购人通知调整的时间亮灯和灭灯，要求接通知后两天内按通知时间完成调整工作，且时间误差不得超过±5分钟，需变更亮灯和关灯的时间必须征得甲方同意</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未征得甲方同意擅自更改时间或未能在接通知后两天内完成调整工作或亮灯和关灯时间不准确且超过规定要求的，每处每次扣1分，扣完为止。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048"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5、坚决杜绝白天无序亮灯，白天确实需要开灯进行抢修的，必须征得采购人同意后才能开灯，否则当白天无序亮灯处理</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一经发现白天无序亮灯的，每处每次扣1.5分，扣完为止。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4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6、半夜亮灯方式必须按采购人规定要求进行设置</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29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夜晚巡查发现电缆线路有故障或电缆被盗的，必须于当晚进行排查并将故障范围减到最小，线路故障必须于次日18时前修复并根据被盗情况制定方案对被盗多发路段电缆进行加固；如损坏、被盗情况非常严重或故障涉及工程量较大确实在规定时间内不能完成，经得采购人同意后在规定时间内完成修复</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4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8、维修电缆等故障施工有破坏绿化、道路或其它设施的，必须在维修好后5天内按原来标准恢复</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不按规定时间或不按原来标准恢复的，每处每次扣2分，扣完为止。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694"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若因第三方施工单位原因造成电缆损坏引起路灯及夜景灯不亮的，采购人协助中标人协调第三方进行确认并索赔，三方明确责任后中标人必须按采购人规定时间无条件先进行修复并亮灯，然后再跟踪赔偿的事宜（赔偿所得归中标人所有）</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4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10、每天24小时有人值班，发生任何事故和故障的，接通知后必须在1小时内到达现场并进行现场处理</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6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11、若因养护不到位受到市民投诉，经调查认定情况属实的</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1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12、如有发生电缆、变压器被盗或损坏和发生交通事故路灯及夜景灯被撞坏等重大事件，应立即报告采购人</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未按要求及时报告的，每次扣0.5分，扣完为止。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13、每一条灯杆无论何时不能带电</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发现漏电的，每条灯杆每次扣3分，扣完为止。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28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钠灯灯罩和LED灯具要求每年10月底前至少全面清洗一次，若日常检查中发现某些灯罩太脏影响路灯及夜景灯照射效果时，必须在发现后两天内对该部分灯罩进行清洗；日常检查中发现有灯罩破损的（不含质保期未满且由于质量原因引起的LED灯具），必须在发现后两天内对该部分灯罩进行维修或更换</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未按要求及时完成清洗或维修更换的，每个灯罩每次扣0.2分，扣完为止。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417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路灯及夜景灯灯杆必须每季度清洗一次，分别在每个季度最后一个月月底前完成；新装路灯及夜景灯安装完成后当年以内按损坏部分进行局部翻新，其余的路灯及夜景灯杆必须每年全面翻新一次，在12月31日前完成；灯杆翻新在镇中心区部分由于街道车辆较多可采用油漆方式进行，其余外围路段必须采用喷漆方式进行，所采用油漆颜色要与原来灯杆颜色一致，且经长期日照也不会明显变色，灯杆翻新前必须先清洁灯杆，将脱漆部分或凹凸不平部位处理平滑，生锈部位去除锈迹，然后再进行油漆或喷漆处理；翻新后必须达到表面光滑均匀不流坠，灯杆颜色整体协调美观</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未按要求及时完成清洗、翻新和编号的，每支灯杆每次扣0.2分，扣完为止。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16、日常检查中发现灯杆出现脱漆或颜色明显褪变等现象的必须在5天内完成喷漆翻新</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未按要求及时完成翻新的，每支灯杆每次扣0.2分，扣完为止。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2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17、新移交的路灯及夜景灯必须马上进行编号一次，每年灯杆翻新后必须重新编号一次，在12月31日前完成；若平时发现路灯及夜景灯编号模糊不清等情况下必须在5天内重新编号</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未按要求及时完成编号的，每支灯杆每次扣0.1分，扣完为止。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8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18、所有照明配备设施要保持完好（灯具、灯杆、电缆、管道、基础、箱变和配电箱、检查井等）</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发现有不完好且在两天内不能及时修复的，每处扣0.5分，扣完为止。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1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19、如发生交通事故对本项目养护范围内的路灯及夜景灯或其相关设施造成损坏的，必须在事故发生后1小时内到达现场进行处理，并在事故发生后10天内按原标准进行修复或更换</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rPr>
          <w:trHeight w:val="141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20、必须在每年10月底前对路灯及夜景灯电缆全面进行一次绝缘测试，记录相关数据并提交采购人确认备案，对不符合要求电缆进行维修整改，以减少电缆短路事故的发生。</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未按要求对路灯及夜景灯电缆进行检测或维修的,每一个回路每次扣0.2分，扣完为止。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15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21、未经同意灯杆上不得悬挂广告牌或跨公路横额广告，一经发现必须在24小时内清除（经采购方同意除外）</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未按要求及时发现及清除的，每处每次扣0.1分，扣完为止。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21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22、除路灯及夜景灯外，其它用电如广告、灯饰及其它照明设施的用电未经采购人同意，中标人不得擅自接驳线路，若被人偷接线路不能在一个星期内及时发现的</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未经同意擅自接电或未及时发现偷接电情况的，每次扣1分，扣完为止。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7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23、配件的更换要求：必须按照要求更换原厂生产的路灯及夜景灯、夜景灯及照明设施配件，中标人要有相应的配件库存，配件更换时应通知甲方派人到现场确认配件质量，甲方有权不定时随机进行抽查。</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未按要求更换原厂配件的，每次扣1分，扣完为止。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70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24、实施过程中中标方必须根据承包合同中的各项条款，履行各项职责。应做好日常维护，保养记录的统计汇总，每月25日前上报下月维护计划报招标方审核，并安排好每日的维护工作(即制定每日维护计划)</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未按要求上报下月维护计划，每次扣2分，扣完为止。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284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设备设施维护检测：按供电部门有关规定，春、秋两季定期常规检查电缆、灯具、箱变各一次，重大节日（元旦、春节、五一、国庆）常规检查电缆、灯具（不包括箱变）共四次；电缆每年绝缘测试一次，同时委托具有电气试验资质的试验单位对箱变（含箱变高压进线电缆）进行预防性检测试验一次，并提交相关试验报告备案，保证符合用电规范要求，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未按要求完成的，每处每次扣1分，发现漏电的，每处每次扣3分，扣完为止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955"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设立巡查检修小组，随时掌握半夜及早上亮灯、熄灯情况，把高杆灯作为重要巡查项目，保证高杆灯按时亮灯、按时熄灯，发现有整座灯不亮、不熄异常故障，要及时处理，组织抢修，24小时内恢复正常，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3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27、每周对杆头配电箱检查一次，检查箱体、箱门有否受损，检查箱内各开关接头及电器是否良好，各电缆联接是否良好，发现问题及时处理并逐级报告，并做好记录存档。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未按要求完成的，每处每次扣1分，发现漏电的，每处每次扣3分，扣完为止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640" w:hRule="atLeast"/>
        </w:trPr>
        <w:tc>
          <w:tcPr>
            <w:tcW w:w="60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每六个月（即年中、年末）检查内部减速机构、电缆、插头、钢丝绳等设备是否良好，清除杂物。对升降机构进行升降操作和保养。清洁机构积污，加润滑油，保持减速机构和传动机构灵活及牵引钢丝绳的良好状态，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未按要求完成的，每处每次扣2分，发现漏电的，每处每次扣3分，扣完为止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700" w:hRule="atLeast"/>
        </w:trPr>
        <w:tc>
          <w:tcPr>
            <w:tcW w:w="60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每年10月份对灯杆和地脚螺丝的金属防腐蚀情况进行评估，对有锈蚀的地方，根据锈蚀情况，进行有效的防锈处理；对接地电阻进行一次测试，使接地电阻不大于4Ω，确保高杆灯的可靠强度和安全运行，并做好记录存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未按要求完成的，每处每次扣2分，发现漏电的，每处每次扣3分，扣完为止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7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配电箱及箱变检查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15分</w:t>
            </w: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1、箱变或配电箱外要有清晰明了的危险警示和投诉电话号码标识</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未按要求设置的，每处扣0.5分，扣完为止。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2、箱变或配电箱的箱门要锁好</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没有锁好的，每个门扣0.5分，扣完为止。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6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3、要求每一个配电箱的箱壳无论何时都不能带电</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一经发现有带电的，每个箱扣3分，扣完为止。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4、配电箱或箱变每月必须清扫一次，保持清洁干燥</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未按要求执行的，每处每次扣0.5分，扣完为止。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20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5、低压配电箱出现故障必须在8小时内修复，箱变的变压器和高压电缆被盗或被人为破坏出现故障等必须在采购人规定时间内进行修复</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未按要求及时修复的，每处每次扣2分，扣完为止。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0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6、每月至少对配电箱或箱变内外进行一次仔细检查和电流电压测试并附记录</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未按要求执行的，每处每次扣0.2分，扣完为止。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87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7、箱变周的杂草要求每月至少清理一次，消除用电安全隐患</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未按要求及时清理的，每处每次扣0.5分，扣完为止。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14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b/>
                <w:color w:val="auto"/>
                <w:sz w:val="21"/>
                <w:szCs w:val="21"/>
                <w:highlight w:val="none"/>
              </w:rPr>
            </w:pPr>
          </w:p>
        </w:tc>
        <w:tc>
          <w:tcPr>
            <w:tcW w:w="39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8、警示标识、箱变箱体、围栏、配电箱箱体每年必须油漆翻新一次，在12月31日前完成；配电箱或箱变内时间控制器每两年全部更换一次</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未按要求及时翻新和更换的，每处每次扣0.5分，扣完为止。</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rPr>
          <w:trHeight w:val="57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6922"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100分</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7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63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定期检查得分（实际得分*60%）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67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63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不定期检查得分（实际得分*40%）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91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jc w:val="center"/>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p>
        </w:tc>
        <w:tc>
          <w:tcPr>
            <w:tcW w:w="636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月度考核得分（满分100分）=定期检查得分*60%+不定期抽查得分*40%</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after="0"/>
              <w:rPr>
                <w:rFonts w:ascii="宋体" w:hAnsi="宋体" w:eastAsia="宋体" w:cs="宋体"/>
                <w:color w:val="auto"/>
                <w:sz w:val="21"/>
                <w:szCs w:val="21"/>
                <w:highlight w:val="none"/>
              </w:rPr>
            </w:pPr>
          </w:p>
        </w:tc>
      </w:tr>
      <w:tr>
        <w:tblPrEx>
          <w:tblCellMar>
            <w:top w:w="0" w:type="dxa"/>
            <w:left w:w="0" w:type="dxa"/>
            <w:bottom w:w="0" w:type="dxa"/>
            <w:right w:w="0" w:type="dxa"/>
          </w:tblCellMar>
        </w:tblPrEx>
        <w:trPr>
          <w:trHeight w:val="300" w:hRule="atLeast"/>
        </w:trPr>
        <w:tc>
          <w:tcPr>
            <w:tcW w:w="4152" w:type="dxa"/>
            <w:gridSpan w:val="3"/>
            <w:vMerge w:val="restart"/>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养护单位：</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签名：</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年   月  日</w:t>
            </w:r>
          </w:p>
        </w:tc>
        <w:tc>
          <w:tcPr>
            <w:tcW w:w="4174" w:type="dxa"/>
            <w:gridSpan w:val="4"/>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textAlignment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检查人：</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签名：</w:t>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br w:type="textWrapping"/>
            </w:r>
            <w:r>
              <w:rPr>
                <w:rFonts w:hint="eastAsia" w:ascii="宋体" w:hAnsi="宋体" w:eastAsia="宋体" w:cs="宋体"/>
                <w:b/>
                <w:color w:val="auto"/>
                <w:sz w:val="21"/>
                <w:szCs w:val="21"/>
                <w:highlight w:val="none"/>
              </w:rPr>
              <w:t>年   月   日</w:t>
            </w:r>
          </w:p>
        </w:tc>
      </w:tr>
      <w:tr>
        <w:tblPrEx>
          <w:tblCellMar>
            <w:top w:w="0" w:type="dxa"/>
            <w:left w:w="0" w:type="dxa"/>
            <w:bottom w:w="0" w:type="dxa"/>
            <w:right w:w="0" w:type="dxa"/>
          </w:tblCellMar>
        </w:tblPrEx>
        <w:trPr>
          <w:trHeight w:val="285"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272"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285"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272"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330"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r>
        <w:tblPrEx>
          <w:tblCellMar>
            <w:top w:w="0" w:type="dxa"/>
            <w:left w:w="0" w:type="dxa"/>
            <w:bottom w:w="0" w:type="dxa"/>
            <w:right w:w="0" w:type="dxa"/>
          </w:tblCellMar>
        </w:tblPrEx>
        <w:trPr>
          <w:trHeight w:val="330" w:hRule="atLeast"/>
        </w:trPr>
        <w:tc>
          <w:tcPr>
            <w:tcW w:w="4152" w:type="dxa"/>
            <w:gridSpan w:val="3"/>
            <w:vMerge w:val="continue"/>
            <w:tcBorders>
              <w:top w:val="single" w:color="000000" w:sz="8" w:space="0"/>
              <w:left w:val="single" w:color="000000" w:sz="8" w:space="0"/>
              <w:bottom w:val="single" w:color="000000" w:sz="8" w:space="0"/>
              <w:right w:val="nil"/>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c>
          <w:tcPr>
            <w:tcW w:w="4174"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spacing w:after="0"/>
              <w:rPr>
                <w:rFonts w:ascii="宋体" w:hAnsi="宋体" w:eastAsia="宋体" w:cs="宋体"/>
                <w:b/>
                <w:color w:val="auto"/>
                <w:sz w:val="21"/>
                <w:szCs w:val="21"/>
                <w:highlight w:val="none"/>
              </w:rPr>
            </w:pPr>
          </w:p>
        </w:tc>
      </w:tr>
    </w:tbl>
    <w:p>
      <w:pPr>
        <w:spacing w:line="420" w:lineRule="atLeast"/>
        <w:ind w:right="-968" w:rightChars="-44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考核时间：     年    月    日</w:t>
      </w:r>
    </w:p>
    <w:p>
      <w:pPr>
        <w:spacing w:after="0" w:line="360" w:lineRule="auto"/>
        <w:ind w:firstLine="420" w:firstLineChars="200"/>
        <w:rPr>
          <w:rFonts w:ascii="宋体" w:hAnsi="宋体" w:eastAsia="宋体"/>
          <w:color w:val="auto"/>
          <w:sz w:val="21"/>
          <w:szCs w:val="21"/>
          <w:highlight w:val="none"/>
        </w:rPr>
      </w:pPr>
    </w:p>
    <w:p>
      <w:pPr>
        <w:pStyle w:val="2"/>
        <w:spacing w:before="0" w:after="0" w:line="360" w:lineRule="auto"/>
        <w:ind w:left="0" w:firstLine="442" w:firstLineChars="200"/>
        <w:rPr>
          <w:color w:val="auto"/>
          <w:highlight w:val="none"/>
          <w:lang w:val="en-US"/>
        </w:rPr>
      </w:pPr>
      <w:r>
        <w:rPr>
          <w:rFonts w:hint="eastAsia"/>
          <w:b/>
          <w:color w:val="auto"/>
          <w:sz w:val="22"/>
          <w:highlight w:val="none"/>
          <w:lang w:val="en-US"/>
        </w:rPr>
        <w:t>注：</w:t>
      </w:r>
      <w:r>
        <w:rPr>
          <w:rFonts w:hint="eastAsia"/>
          <w:b/>
          <w:color w:val="auto"/>
          <w:sz w:val="22"/>
          <w:highlight w:val="none"/>
        </w:rPr>
        <w:t>实行定</w:t>
      </w:r>
      <w:r>
        <w:rPr>
          <w:rFonts w:hint="eastAsia"/>
          <w:b/>
          <w:color w:val="auto"/>
          <w:sz w:val="22"/>
          <w:highlight w:val="none"/>
          <w:lang w:val="en-US"/>
        </w:rPr>
        <w:t>期</w:t>
      </w:r>
      <w:r>
        <w:rPr>
          <w:rFonts w:hint="eastAsia"/>
          <w:b/>
          <w:color w:val="auto"/>
          <w:sz w:val="22"/>
          <w:highlight w:val="none"/>
        </w:rPr>
        <w:t>检查、不定</w:t>
      </w:r>
      <w:r>
        <w:rPr>
          <w:rFonts w:hint="eastAsia"/>
          <w:b/>
          <w:color w:val="auto"/>
          <w:sz w:val="22"/>
          <w:highlight w:val="none"/>
          <w:lang w:val="en-US"/>
        </w:rPr>
        <w:t>期</w:t>
      </w:r>
      <w:r>
        <w:rPr>
          <w:rFonts w:hint="eastAsia"/>
          <w:b/>
          <w:color w:val="auto"/>
          <w:sz w:val="22"/>
          <w:highlight w:val="none"/>
        </w:rPr>
        <w:t>（</w:t>
      </w:r>
      <w:r>
        <w:rPr>
          <w:rFonts w:hint="eastAsia"/>
          <w:b/>
          <w:color w:val="auto"/>
          <w:sz w:val="22"/>
          <w:highlight w:val="none"/>
          <w:lang w:val="en-US"/>
        </w:rPr>
        <w:t>时间不定、与定期时间错开</w:t>
      </w:r>
      <w:r>
        <w:rPr>
          <w:rFonts w:hint="eastAsia"/>
          <w:b/>
          <w:color w:val="auto"/>
          <w:sz w:val="22"/>
          <w:highlight w:val="none"/>
        </w:rPr>
        <w:t>），按百分制打分，</w:t>
      </w:r>
      <w:r>
        <w:rPr>
          <w:rFonts w:hint="eastAsia"/>
          <w:b/>
          <w:color w:val="auto"/>
          <w:sz w:val="22"/>
          <w:highlight w:val="none"/>
          <w:lang w:val="en-US"/>
        </w:rPr>
        <w:t>定期与不定期检查的考核占比为6:4（月度考核得分=定期检查得分*60%+不定期检查得分*40%）</w:t>
      </w:r>
    </w:p>
    <w:p>
      <w:pPr>
        <w:pStyle w:val="4"/>
        <w:spacing w:before="0" w:after="0" w:line="240" w:lineRule="auto"/>
        <w:rPr>
          <w:color w:val="auto"/>
          <w:sz w:val="24"/>
          <w:szCs w:val="24"/>
          <w:highlight w:val="none"/>
        </w:rPr>
      </w:pPr>
      <w:r>
        <w:rPr>
          <w:rFonts w:hint="eastAsia" w:ascii="宋体" w:hAnsi="宋体" w:eastAsia="宋体" w:cs="宋体"/>
          <w:bCs w:val="0"/>
          <w:color w:val="auto"/>
          <w:sz w:val="22"/>
          <w:szCs w:val="22"/>
          <w:highlight w:val="none"/>
          <w:lang w:val="zh-CN" w:bidi="zh-CN"/>
        </w:rPr>
        <w:t>按百分制打分。综合得分90分以上（含90分），按合同足额支付当月维护费用，低于90分（不含）每降低1分，扣除当月维护费的2.00%，低于80分（不含）扣除当月维护费用的50%。连续两个月或累计三次考核得分低于80分（不含），将终止合同，没收合同履约金，经济损失和法律责任由作业单位承担。</w:t>
      </w:r>
      <w:r>
        <w:rPr>
          <w:rFonts w:hint="eastAsia"/>
          <w:color w:val="auto"/>
          <w:sz w:val="24"/>
          <w:szCs w:val="24"/>
          <w:highlight w:val="none"/>
        </w:rPr>
        <w:br w:type="page"/>
      </w:r>
      <w:bookmarkStart w:id="10" w:name="_Toc2479"/>
      <w:r>
        <w:rPr>
          <w:rFonts w:hint="eastAsia"/>
          <w:color w:val="auto"/>
          <w:sz w:val="28"/>
          <w:szCs w:val="28"/>
          <w:highlight w:val="none"/>
        </w:rPr>
        <w:t>第四部分 投标人须知</w:t>
      </w:r>
      <w:bookmarkEnd w:id="10"/>
    </w:p>
    <w:p>
      <w:pPr>
        <w:pStyle w:val="5"/>
        <w:numPr>
          <w:ilvl w:val="0"/>
          <w:numId w:val="3"/>
        </w:numPr>
        <w:spacing w:after="0" w:line="480" w:lineRule="auto"/>
        <w:jc w:val="center"/>
        <w:rPr>
          <w:rFonts w:ascii="宋体" w:hAnsi="宋体"/>
          <w:color w:val="auto"/>
          <w:highlight w:val="none"/>
        </w:rPr>
      </w:pPr>
      <w:bookmarkStart w:id="11" w:name="_Toc19746"/>
      <w:r>
        <w:rPr>
          <w:rFonts w:hint="eastAsia" w:ascii="宋体" w:hAnsi="宋体"/>
          <w:color w:val="auto"/>
          <w:highlight w:val="none"/>
        </w:rPr>
        <w:t>说明</w:t>
      </w:r>
      <w:bookmarkEnd w:id="11"/>
    </w:p>
    <w:p>
      <w:pPr>
        <w:pStyle w:val="6"/>
        <w:widowControl w:val="0"/>
        <w:overflowPunct w:val="0"/>
        <w:spacing w:before="0" w:after="0" w:line="240" w:lineRule="auto"/>
        <w:rPr>
          <w:rFonts w:ascii="宋体" w:hAnsi="宋体" w:eastAsia="宋体"/>
          <w:color w:val="auto"/>
          <w:sz w:val="21"/>
          <w:szCs w:val="21"/>
          <w:highlight w:val="none"/>
        </w:rPr>
      </w:pPr>
      <w:bookmarkStart w:id="12" w:name="_Toc18488"/>
      <w:r>
        <w:rPr>
          <w:rFonts w:hint="eastAsia" w:ascii="宋体" w:hAnsi="宋体" w:eastAsia="宋体"/>
          <w:color w:val="auto"/>
          <w:sz w:val="21"/>
          <w:szCs w:val="21"/>
          <w:highlight w:val="none"/>
        </w:rPr>
        <w:t>1.适用范围</w:t>
      </w:r>
      <w:bookmarkEnd w:id="12"/>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3" w:name="_Toc13400"/>
      <w:r>
        <w:rPr>
          <w:rFonts w:hint="eastAsia" w:ascii="宋体" w:hAnsi="宋体" w:eastAsia="宋体"/>
          <w:color w:val="auto"/>
          <w:sz w:val="21"/>
          <w:szCs w:val="21"/>
          <w:highlight w:val="none"/>
        </w:rPr>
        <w:t>2.</w:t>
      </w:r>
      <w:bookmarkStart w:id="14" w:name="_Toc382049092"/>
      <w:bookmarkStart w:id="15" w:name="_Toc298847174"/>
      <w:bookmarkStart w:id="16" w:name="_Toc1530"/>
      <w:bookmarkStart w:id="17" w:name="_Toc303084246"/>
      <w:r>
        <w:rPr>
          <w:rFonts w:hint="eastAsia" w:ascii="宋体" w:hAnsi="宋体" w:eastAsia="宋体"/>
          <w:color w:val="auto"/>
          <w:sz w:val="21"/>
          <w:szCs w:val="21"/>
          <w:highlight w:val="none"/>
        </w:rPr>
        <w:t>定义</w:t>
      </w:r>
      <w:bookmarkEnd w:id="13"/>
      <w:bookmarkEnd w:id="14"/>
      <w:bookmarkEnd w:id="15"/>
      <w:bookmarkEnd w:id="16"/>
      <w:bookmarkEnd w:id="1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采购代理机构：广东政通招标有限公司。</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8" w:name="_Toc3780"/>
      <w:r>
        <w:rPr>
          <w:rFonts w:hint="eastAsia" w:ascii="宋体" w:hAnsi="宋体" w:eastAsia="宋体"/>
          <w:color w:val="auto"/>
          <w:sz w:val="21"/>
          <w:szCs w:val="21"/>
          <w:highlight w:val="none"/>
        </w:rPr>
        <w:t>3.货物和服务</w:t>
      </w:r>
      <w:bookmarkEnd w:id="1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9" w:name="_Toc15945"/>
      <w:r>
        <w:rPr>
          <w:rFonts w:hint="eastAsia" w:ascii="宋体" w:hAnsi="宋体" w:eastAsia="宋体"/>
          <w:color w:val="auto"/>
          <w:sz w:val="21"/>
          <w:szCs w:val="21"/>
          <w:highlight w:val="none"/>
        </w:rPr>
        <w:t>4.投标费用</w:t>
      </w:r>
      <w:bookmarkEnd w:id="19"/>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0" w:name="_Toc25040"/>
      <w:r>
        <w:rPr>
          <w:rFonts w:hint="eastAsia" w:ascii="宋体" w:hAnsi="宋体" w:eastAsia="宋体"/>
          <w:color w:val="auto"/>
          <w:sz w:val="21"/>
          <w:szCs w:val="21"/>
          <w:highlight w:val="none"/>
        </w:rPr>
        <w:t>5.知识产权</w:t>
      </w:r>
      <w:bookmarkEnd w:id="20"/>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1" w:name="_Toc21930"/>
      <w:r>
        <w:rPr>
          <w:rFonts w:hint="eastAsia" w:ascii="宋体" w:hAnsi="宋体" w:eastAsia="宋体"/>
          <w:color w:val="auto"/>
          <w:sz w:val="21"/>
          <w:szCs w:val="21"/>
          <w:highlight w:val="none"/>
        </w:rPr>
        <w:t>6.关于联合体投标</w:t>
      </w:r>
      <w:bookmarkEnd w:id="21"/>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2" w:name="_Toc16571"/>
      <w:r>
        <w:rPr>
          <w:rFonts w:hint="eastAsia" w:ascii="宋体" w:hAnsi="宋体" w:eastAsia="宋体"/>
          <w:color w:val="auto"/>
          <w:sz w:val="21"/>
          <w:szCs w:val="21"/>
          <w:highlight w:val="none"/>
        </w:rPr>
        <w:t>7.关于分支机构投标</w:t>
      </w:r>
      <w:bookmarkEnd w:id="22"/>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23" w:name="EB389f116341dd4693875bc7987e7327f3"/>
    </w:p>
    <w:p>
      <w:pPr>
        <w:widowControl w:val="0"/>
        <w:numPr>
          <w:ilvl w:val="1"/>
          <w:numId w:val="4"/>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24" w:name="_Toc17879"/>
      <w:r>
        <w:rPr>
          <w:rFonts w:hint="eastAsia" w:ascii="宋体" w:hAnsi="宋体"/>
          <w:color w:val="auto"/>
          <w:highlight w:val="none"/>
        </w:rPr>
        <w:t>招标文件</w:t>
      </w:r>
      <w:bookmarkEnd w:id="24"/>
    </w:p>
    <w:p>
      <w:pPr>
        <w:pStyle w:val="6"/>
        <w:widowControl w:val="0"/>
        <w:overflowPunct w:val="0"/>
        <w:spacing w:before="0" w:after="0" w:line="240" w:lineRule="auto"/>
        <w:rPr>
          <w:rFonts w:ascii="宋体" w:hAnsi="宋体" w:eastAsia="宋体"/>
          <w:color w:val="auto"/>
          <w:sz w:val="21"/>
          <w:szCs w:val="21"/>
          <w:highlight w:val="none"/>
        </w:rPr>
      </w:pPr>
      <w:bookmarkStart w:id="25" w:name="_Toc21771"/>
      <w:r>
        <w:rPr>
          <w:rFonts w:hint="eastAsia" w:ascii="宋体" w:hAnsi="宋体" w:eastAsia="宋体"/>
          <w:color w:val="auto"/>
          <w:sz w:val="21"/>
          <w:szCs w:val="21"/>
          <w:highlight w:val="none"/>
        </w:rPr>
        <w:t>8.招标文件的组成</w:t>
      </w:r>
      <w:bookmarkEnd w:id="25"/>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6" w:name="_Toc14217"/>
      <w:r>
        <w:rPr>
          <w:rFonts w:hint="eastAsia" w:ascii="宋体" w:hAnsi="宋体" w:eastAsia="宋体"/>
          <w:color w:val="auto"/>
          <w:sz w:val="21"/>
          <w:szCs w:val="21"/>
          <w:highlight w:val="none"/>
        </w:rPr>
        <w:t>9.招标文件的澄清或修改</w:t>
      </w:r>
      <w:bookmarkEnd w:id="2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4"/>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numPr>
          <w:ilvl w:val="0"/>
          <w:numId w:val="3"/>
        </w:numPr>
        <w:spacing w:after="0" w:line="480" w:lineRule="auto"/>
        <w:jc w:val="center"/>
        <w:rPr>
          <w:rFonts w:ascii="宋体" w:hAnsi="宋体"/>
          <w:color w:val="auto"/>
          <w:highlight w:val="none"/>
        </w:rPr>
      </w:pPr>
      <w:bookmarkStart w:id="27" w:name="_Toc23726"/>
      <w:r>
        <w:rPr>
          <w:rFonts w:hint="eastAsia" w:ascii="宋体" w:hAnsi="宋体"/>
          <w:color w:val="auto"/>
          <w:highlight w:val="none"/>
        </w:rPr>
        <w:t>投标文件的编制</w:t>
      </w:r>
      <w:bookmarkEnd w:id="27"/>
    </w:p>
    <w:p>
      <w:pPr>
        <w:pStyle w:val="6"/>
        <w:widowControl w:val="0"/>
        <w:overflowPunct w:val="0"/>
        <w:spacing w:before="0" w:after="0" w:line="240" w:lineRule="auto"/>
        <w:rPr>
          <w:rFonts w:ascii="宋体" w:hAnsi="宋体" w:eastAsia="宋体"/>
          <w:color w:val="auto"/>
          <w:sz w:val="21"/>
          <w:szCs w:val="21"/>
          <w:highlight w:val="none"/>
        </w:rPr>
      </w:pPr>
      <w:bookmarkStart w:id="28" w:name="_Toc20623"/>
      <w:r>
        <w:rPr>
          <w:rFonts w:hint="eastAsia" w:ascii="宋体" w:hAnsi="宋体" w:eastAsia="宋体"/>
          <w:color w:val="auto"/>
          <w:sz w:val="21"/>
          <w:szCs w:val="21"/>
          <w:highlight w:val="none"/>
        </w:rPr>
        <w:t>10.投标文件的语言及度量衡单位</w:t>
      </w:r>
      <w:bookmarkEnd w:id="2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9" w:name="_Toc28866"/>
      <w:bookmarkStart w:id="30" w:name="_Toc303084256"/>
      <w:bookmarkStart w:id="31" w:name="_Toc12145"/>
      <w:bookmarkStart w:id="32" w:name="_Toc307934854"/>
      <w:bookmarkStart w:id="33" w:name="_Toc382049103"/>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29"/>
      <w:bookmarkEnd w:id="30"/>
      <w:bookmarkEnd w:id="31"/>
      <w:bookmarkEnd w:id="32"/>
      <w:bookmarkEnd w:id="33"/>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4" w:name="_Toc30189"/>
      <w:r>
        <w:rPr>
          <w:rFonts w:hint="eastAsia" w:ascii="宋体" w:hAnsi="宋体" w:eastAsia="宋体"/>
          <w:color w:val="auto"/>
          <w:sz w:val="21"/>
          <w:szCs w:val="21"/>
          <w:highlight w:val="none"/>
        </w:rPr>
        <w:t>12.投标文件编制</w:t>
      </w:r>
      <w:bookmarkEnd w:id="34"/>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35" w:name="_Toc303084258"/>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5"/>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6" w:name="_Toc259"/>
      <w:r>
        <w:rPr>
          <w:rFonts w:hint="eastAsia" w:ascii="宋体" w:hAnsi="宋体" w:eastAsia="宋体"/>
          <w:color w:val="auto"/>
          <w:sz w:val="21"/>
          <w:szCs w:val="21"/>
          <w:highlight w:val="none"/>
        </w:rPr>
        <w:t>13.投标报价说明</w:t>
      </w:r>
      <w:bookmarkEnd w:id="3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7" w:name="_Toc27724"/>
      <w:r>
        <w:rPr>
          <w:rFonts w:hint="eastAsia" w:ascii="宋体" w:hAnsi="宋体" w:eastAsia="宋体"/>
          <w:color w:val="auto"/>
          <w:sz w:val="21"/>
          <w:szCs w:val="21"/>
          <w:highlight w:val="none"/>
        </w:rPr>
        <w:t>14.投标人所提供的服务或货物的证明文件</w:t>
      </w:r>
      <w:bookmarkEnd w:id="3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bookmarkStart w:id="38" w:name="_Hlt107925668"/>
      <w:bookmarkEnd w:id="38"/>
      <w:bookmarkStart w:id="39" w:name="_Hlt107925638"/>
      <w:bookmarkEnd w:id="39"/>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8"/>
        <w:widowControl w:val="0"/>
        <w:adjustRightInd/>
        <w:snapToGrid/>
        <w:spacing w:after="0" w:line="360" w:lineRule="exact"/>
        <w:ind w:left="425" w:firstLine="0" w:firstLineChars="0"/>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0" w:name="_Toc19520"/>
      <w:r>
        <w:rPr>
          <w:rFonts w:hint="eastAsia" w:ascii="宋体" w:hAnsi="宋体" w:eastAsia="宋体"/>
          <w:color w:val="auto"/>
          <w:sz w:val="21"/>
          <w:szCs w:val="21"/>
          <w:highlight w:val="none"/>
        </w:rPr>
        <w:t>15.★投标有效期</w:t>
      </w:r>
      <w:bookmarkEnd w:id="40"/>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1" w:name="_Toc12456"/>
      <w:r>
        <w:rPr>
          <w:rFonts w:hint="eastAsia" w:ascii="宋体" w:hAnsi="宋体" w:eastAsia="宋体"/>
          <w:color w:val="auto"/>
          <w:sz w:val="21"/>
          <w:szCs w:val="21"/>
          <w:highlight w:val="none"/>
        </w:rPr>
        <w:t>16.★投标保证金</w:t>
      </w:r>
      <w:bookmarkEnd w:id="41"/>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42" w:name="_Ref17961940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43" w:name="_Toc31124"/>
      <w:r>
        <w:rPr>
          <w:rFonts w:hint="eastAsia" w:ascii="宋体" w:hAnsi="宋体"/>
          <w:color w:val="auto"/>
          <w:highlight w:val="none"/>
        </w:rPr>
        <w:t>投标文件的递交</w:t>
      </w:r>
      <w:bookmarkEnd w:id="43"/>
    </w:p>
    <w:p>
      <w:pPr>
        <w:pStyle w:val="6"/>
        <w:widowControl w:val="0"/>
        <w:overflowPunct w:val="0"/>
        <w:spacing w:before="0" w:after="0" w:line="240" w:lineRule="auto"/>
        <w:rPr>
          <w:rFonts w:ascii="宋体" w:hAnsi="宋体" w:eastAsia="宋体"/>
          <w:color w:val="auto"/>
          <w:sz w:val="21"/>
          <w:szCs w:val="21"/>
          <w:highlight w:val="none"/>
        </w:rPr>
      </w:pPr>
      <w:bookmarkStart w:id="44" w:name="_Toc303084264"/>
      <w:bookmarkStart w:id="45" w:name="_Toc24997"/>
      <w:bookmarkStart w:id="46" w:name="_Toc29590"/>
      <w:bookmarkStart w:id="47" w:name="_Toc382049111"/>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4"/>
      <w:bookmarkEnd w:id="45"/>
      <w:bookmarkEnd w:id="46"/>
      <w:bookmarkEnd w:id="4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8" w:name="_Toc8628"/>
      <w:r>
        <w:rPr>
          <w:rFonts w:hint="eastAsia" w:ascii="宋体" w:hAnsi="宋体" w:eastAsia="宋体"/>
          <w:color w:val="auto"/>
          <w:sz w:val="21"/>
          <w:szCs w:val="21"/>
          <w:highlight w:val="none"/>
        </w:rPr>
        <w:t>18.迟交的投标文件</w:t>
      </w:r>
      <w:bookmarkEnd w:id="4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9" w:name="_Toc13212"/>
      <w:r>
        <w:rPr>
          <w:rFonts w:hint="eastAsia" w:ascii="宋体" w:hAnsi="宋体" w:eastAsia="宋体"/>
          <w:color w:val="auto"/>
          <w:sz w:val="21"/>
          <w:szCs w:val="21"/>
          <w:highlight w:val="none"/>
        </w:rPr>
        <w:t>19.投标样品（如需提交）</w:t>
      </w:r>
      <w:bookmarkEnd w:id="49"/>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0" w:name="_Toc5900"/>
      <w:bookmarkStart w:id="51" w:name="_Toc303084265"/>
      <w:bookmarkStart w:id="52" w:name="_Toc382049112"/>
      <w:bookmarkStart w:id="53" w:name="_Toc9777"/>
      <w:r>
        <w:rPr>
          <w:rFonts w:hint="eastAsia" w:ascii="宋体" w:hAnsi="宋体" w:eastAsia="宋体"/>
          <w:color w:val="auto"/>
          <w:sz w:val="21"/>
          <w:szCs w:val="21"/>
          <w:highlight w:val="none"/>
        </w:rPr>
        <w:t>20.投标截止期</w:t>
      </w:r>
      <w:bookmarkEnd w:id="50"/>
      <w:bookmarkEnd w:id="51"/>
      <w:bookmarkEnd w:id="52"/>
      <w:bookmarkEnd w:id="53"/>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4" w:name="_Toc6003"/>
      <w:r>
        <w:rPr>
          <w:rFonts w:hint="eastAsia" w:ascii="宋体" w:hAnsi="宋体" w:eastAsia="宋体"/>
          <w:color w:val="auto"/>
          <w:sz w:val="21"/>
          <w:szCs w:val="21"/>
          <w:highlight w:val="none"/>
        </w:rPr>
        <w:t>21.投标文件的补充、修改与撤回</w:t>
      </w:r>
      <w:bookmarkEnd w:id="54"/>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5"/>
        <w:numPr>
          <w:ilvl w:val="0"/>
          <w:numId w:val="3"/>
        </w:numPr>
        <w:spacing w:after="0" w:line="480" w:lineRule="auto"/>
        <w:jc w:val="center"/>
        <w:rPr>
          <w:rFonts w:ascii="宋体" w:hAnsi="宋体"/>
          <w:color w:val="auto"/>
          <w:highlight w:val="none"/>
        </w:rPr>
      </w:pPr>
      <w:bookmarkStart w:id="55" w:name="_Toc29574"/>
      <w:r>
        <w:rPr>
          <w:rFonts w:hint="eastAsia" w:ascii="宋体" w:hAnsi="宋体"/>
          <w:color w:val="auto"/>
          <w:highlight w:val="none"/>
        </w:rPr>
        <w:t>开标与评标</w:t>
      </w:r>
      <w:bookmarkEnd w:id="55"/>
    </w:p>
    <w:p>
      <w:pPr>
        <w:pStyle w:val="6"/>
        <w:widowControl w:val="0"/>
        <w:overflowPunct w:val="0"/>
        <w:spacing w:before="0" w:after="0" w:line="240" w:lineRule="auto"/>
        <w:rPr>
          <w:rFonts w:ascii="宋体" w:hAnsi="宋体" w:eastAsia="宋体"/>
          <w:color w:val="auto"/>
          <w:sz w:val="21"/>
          <w:szCs w:val="21"/>
          <w:highlight w:val="none"/>
        </w:rPr>
      </w:pPr>
      <w:bookmarkStart w:id="56" w:name="_Toc28458"/>
      <w:r>
        <w:rPr>
          <w:rFonts w:hint="eastAsia" w:ascii="宋体" w:hAnsi="宋体" w:eastAsia="宋体"/>
          <w:color w:val="auto"/>
          <w:sz w:val="21"/>
          <w:szCs w:val="21"/>
          <w:highlight w:val="none"/>
        </w:rPr>
        <w:t>22.开标</w:t>
      </w:r>
      <w:bookmarkEnd w:id="56"/>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4"/>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7" w:name="_Toc5524"/>
      <w:r>
        <w:rPr>
          <w:rFonts w:hint="eastAsia" w:ascii="宋体" w:hAnsi="宋体" w:eastAsia="宋体"/>
          <w:color w:val="auto"/>
          <w:sz w:val="21"/>
          <w:szCs w:val="21"/>
          <w:highlight w:val="none"/>
        </w:rPr>
        <w:t>23.评标委员会及评标方法</w:t>
      </w:r>
      <w:bookmarkEnd w:id="57"/>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8" w:name="_Toc15231"/>
      <w:r>
        <w:rPr>
          <w:rFonts w:hint="eastAsia" w:ascii="宋体" w:hAnsi="宋体" w:eastAsia="宋体"/>
          <w:color w:val="auto"/>
          <w:sz w:val="21"/>
          <w:szCs w:val="21"/>
          <w:highlight w:val="none"/>
        </w:rPr>
        <w:t>24.评审原则及评标过程的保密</w:t>
      </w:r>
      <w:bookmarkEnd w:id="58"/>
    </w:p>
    <w:p>
      <w:pPr>
        <w:pStyle w:val="28"/>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9" w:name="_Toc3762"/>
      <w:r>
        <w:rPr>
          <w:rFonts w:hint="eastAsia" w:ascii="宋体" w:hAnsi="宋体" w:eastAsia="宋体"/>
          <w:color w:val="auto"/>
          <w:sz w:val="21"/>
          <w:szCs w:val="21"/>
          <w:highlight w:val="none"/>
        </w:rPr>
        <w:t>25.投标文件的初审</w:t>
      </w:r>
      <w:bookmarkEnd w:id="59"/>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0" w:name="_Toc21742"/>
      <w:r>
        <w:rPr>
          <w:rFonts w:hint="eastAsia" w:ascii="宋体" w:hAnsi="宋体" w:eastAsia="宋体"/>
          <w:color w:val="auto"/>
          <w:sz w:val="21"/>
          <w:szCs w:val="21"/>
          <w:highlight w:val="none"/>
        </w:rPr>
        <w:t>26.商务、技术、价格评审（具体评审项目详见投标资料表）</w:t>
      </w:r>
      <w:bookmarkEnd w:id="6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1" w:name="_Toc22192"/>
      <w:r>
        <w:rPr>
          <w:rFonts w:hint="eastAsia" w:ascii="宋体" w:hAnsi="宋体" w:eastAsia="宋体"/>
          <w:color w:val="auto"/>
          <w:sz w:val="21"/>
          <w:szCs w:val="21"/>
          <w:highlight w:val="none"/>
        </w:rPr>
        <w:t>27.优惠政策</w:t>
      </w:r>
      <w:bookmarkEnd w:id="61"/>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2" w:name="_Toc316375620"/>
      <w:bookmarkStart w:id="63" w:name="_Toc382049120"/>
      <w:bookmarkStart w:id="64" w:name="_Toc20328"/>
      <w:bookmarkStart w:id="65" w:name="_Toc22591"/>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2"/>
      <w:r>
        <w:rPr>
          <w:rFonts w:hint="eastAsia" w:ascii="宋体" w:hAnsi="宋体" w:eastAsia="宋体"/>
          <w:color w:val="auto"/>
          <w:sz w:val="21"/>
          <w:szCs w:val="21"/>
          <w:highlight w:val="none"/>
        </w:rPr>
        <w:t>事项</w:t>
      </w:r>
      <w:bookmarkEnd w:id="63"/>
      <w:bookmarkEnd w:id="64"/>
      <w:bookmarkEnd w:id="65"/>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66" w:name="_Toc29310"/>
      <w:r>
        <w:rPr>
          <w:rFonts w:hint="eastAsia" w:ascii="宋体" w:hAnsi="宋体"/>
          <w:color w:val="auto"/>
          <w:highlight w:val="none"/>
        </w:rPr>
        <w:t>授予合同</w:t>
      </w:r>
      <w:bookmarkEnd w:id="66"/>
    </w:p>
    <w:p>
      <w:pPr>
        <w:pStyle w:val="6"/>
        <w:widowControl w:val="0"/>
        <w:overflowPunct w:val="0"/>
        <w:spacing w:before="0" w:after="0" w:line="240" w:lineRule="auto"/>
        <w:rPr>
          <w:rFonts w:ascii="宋体" w:hAnsi="宋体" w:eastAsia="宋体"/>
          <w:color w:val="auto"/>
          <w:sz w:val="21"/>
          <w:szCs w:val="21"/>
          <w:highlight w:val="none"/>
        </w:rPr>
      </w:pPr>
      <w:bookmarkStart w:id="67" w:name="_Toc508284011"/>
      <w:bookmarkStart w:id="68"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7"/>
      <w:bookmarkEnd w:id="68"/>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9" w:name="_Toc29283"/>
      <w:bookmarkStart w:id="70" w:name="_Toc508284013"/>
      <w:r>
        <w:rPr>
          <w:rFonts w:hint="eastAsia" w:ascii="宋体" w:hAnsi="宋体" w:eastAsia="宋体"/>
          <w:color w:val="auto"/>
          <w:sz w:val="21"/>
          <w:szCs w:val="21"/>
          <w:highlight w:val="none"/>
        </w:rPr>
        <w:t>30.发布采购结果</w:t>
      </w:r>
      <w:bookmarkEnd w:id="69"/>
      <w:bookmarkEnd w:id="7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4"/>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1" w:name="_Toc22451"/>
      <w:r>
        <w:rPr>
          <w:rFonts w:hint="eastAsia" w:ascii="宋体" w:hAnsi="宋体" w:eastAsia="宋体"/>
          <w:color w:val="auto"/>
          <w:sz w:val="21"/>
          <w:szCs w:val="21"/>
          <w:highlight w:val="none"/>
        </w:rPr>
        <w:t>31.合同的签订与履行</w:t>
      </w:r>
      <w:bookmarkEnd w:id="71"/>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政府采购合同的履行、违约责任和解决争议的方法等适用《中华人民共和国民法典》。</w:t>
      </w: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合同签订之日起2个工作日内，中标人应将所签订的合同副本（加盖公章）交至广东政通招标有限公司归档。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2" w:name="_Toc382049124"/>
      <w:bookmarkStart w:id="73" w:name="_Toc303084277"/>
      <w:bookmarkStart w:id="74" w:name="_Toc2744"/>
      <w:bookmarkStart w:id="75" w:name="_Toc29009"/>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2"/>
      <w:bookmarkEnd w:id="73"/>
      <w:bookmarkEnd w:id="74"/>
      <w:bookmarkEnd w:id="75"/>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76" w:name="_Toc13694"/>
      <w:r>
        <w:rPr>
          <w:rFonts w:hint="eastAsia" w:ascii="宋体" w:hAnsi="宋体"/>
          <w:color w:val="auto"/>
          <w:highlight w:val="none"/>
        </w:rPr>
        <w:t>询问或质疑</w:t>
      </w:r>
      <w:bookmarkEnd w:id="76"/>
    </w:p>
    <w:p>
      <w:pPr>
        <w:pStyle w:val="6"/>
        <w:widowControl w:val="0"/>
        <w:overflowPunct w:val="0"/>
        <w:spacing w:before="0" w:after="0" w:line="240" w:lineRule="auto"/>
        <w:rPr>
          <w:rFonts w:ascii="宋体" w:hAnsi="宋体" w:eastAsia="宋体"/>
          <w:color w:val="auto"/>
          <w:sz w:val="21"/>
          <w:szCs w:val="21"/>
          <w:highlight w:val="none"/>
        </w:rPr>
      </w:pPr>
      <w:bookmarkStart w:id="77" w:name="_Toc25498"/>
      <w:r>
        <w:rPr>
          <w:rFonts w:hint="eastAsia" w:ascii="宋体" w:hAnsi="宋体" w:eastAsia="宋体"/>
          <w:color w:val="auto"/>
          <w:sz w:val="21"/>
          <w:szCs w:val="21"/>
          <w:highlight w:val="none"/>
        </w:rPr>
        <w:t>33.询问</w:t>
      </w:r>
      <w:bookmarkEnd w:id="77"/>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8" w:name="_Toc8234"/>
      <w:r>
        <w:rPr>
          <w:rFonts w:hint="eastAsia" w:ascii="宋体" w:hAnsi="宋体" w:eastAsia="宋体"/>
          <w:color w:val="auto"/>
          <w:sz w:val="21"/>
          <w:szCs w:val="21"/>
          <w:highlight w:val="none"/>
        </w:rPr>
        <w:t>34.质疑</w:t>
      </w:r>
      <w:bookmarkEnd w:id="78"/>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5"/>
        <w:numPr>
          <w:ilvl w:val="0"/>
          <w:numId w:val="3"/>
        </w:numPr>
        <w:spacing w:after="0" w:line="480" w:lineRule="auto"/>
        <w:jc w:val="center"/>
        <w:rPr>
          <w:rFonts w:ascii="宋体" w:hAnsi="宋体"/>
          <w:color w:val="auto"/>
          <w:highlight w:val="none"/>
        </w:rPr>
      </w:pPr>
      <w:bookmarkStart w:id="79" w:name="_Toc24383"/>
      <w:r>
        <w:rPr>
          <w:rFonts w:hint="eastAsia" w:ascii="宋体" w:hAnsi="宋体"/>
          <w:color w:val="auto"/>
          <w:highlight w:val="none"/>
        </w:rPr>
        <w:t>其他</w:t>
      </w:r>
      <w:bookmarkEnd w:id="79"/>
    </w:p>
    <w:p>
      <w:pPr>
        <w:pStyle w:val="6"/>
        <w:widowControl w:val="0"/>
        <w:overflowPunct w:val="0"/>
        <w:spacing w:before="0" w:after="0" w:line="240" w:lineRule="auto"/>
        <w:rPr>
          <w:rFonts w:ascii="宋体" w:hAnsi="宋体" w:eastAsia="宋体"/>
          <w:color w:val="auto"/>
          <w:sz w:val="21"/>
          <w:szCs w:val="21"/>
          <w:highlight w:val="none"/>
        </w:rPr>
      </w:pPr>
      <w:bookmarkStart w:id="80" w:name="_Toc10082"/>
      <w:r>
        <w:rPr>
          <w:rFonts w:hint="eastAsia" w:ascii="宋体" w:hAnsi="宋体" w:eastAsia="宋体"/>
          <w:color w:val="auto"/>
          <w:sz w:val="21"/>
          <w:szCs w:val="21"/>
          <w:highlight w:val="none"/>
        </w:rPr>
        <w:t>35.招标文件的解释权</w:t>
      </w:r>
      <w:bookmarkEnd w:id="80"/>
    </w:p>
    <w:p>
      <w:pPr>
        <w:pStyle w:val="28"/>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招标文件版本号：广东政通20210101。</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spacing w:before="0" w:after="0" w:line="240" w:lineRule="auto"/>
        <w:rPr>
          <w:color w:val="auto"/>
          <w:sz w:val="28"/>
          <w:szCs w:val="28"/>
          <w:highlight w:val="none"/>
        </w:rPr>
      </w:pPr>
      <w:bookmarkStart w:id="81" w:name="_Toc21448"/>
      <w:r>
        <w:rPr>
          <w:rFonts w:hint="eastAsia"/>
          <w:color w:val="auto"/>
          <w:sz w:val="28"/>
          <w:szCs w:val="28"/>
          <w:highlight w:val="none"/>
        </w:rPr>
        <w:t>第五部分 合同格式（仅供参考）</w:t>
      </w:r>
      <w:bookmarkEnd w:id="81"/>
      <w:bookmarkStart w:id="82" w:name="_Toc1534"/>
      <w:bookmarkStart w:id="83" w:name="_Toc21155"/>
      <w:bookmarkStart w:id="84" w:name="_Toc13430"/>
    </w:p>
    <w:p>
      <w:pPr>
        <w:pStyle w:val="5"/>
        <w:spacing w:after="0" w:line="240" w:lineRule="auto"/>
        <w:jc w:val="center"/>
        <w:rPr>
          <w:rFonts w:ascii="宋体" w:hAnsi="宋体" w:cs="宋体"/>
          <w:color w:val="auto"/>
          <w:highlight w:val="none"/>
        </w:rPr>
      </w:pPr>
      <w:bookmarkStart w:id="85" w:name="_Toc16730"/>
      <w:r>
        <w:rPr>
          <w:rFonts w:hint="eastAsia" w:ascii="宋体" w:hAnsi="宋体" w:cs="宋体"/>
          <w:color w:val="auto"/>
          <w:highlight w:val="none"/>
        </w:rPr>
        <w:t>合同格式</w:t>
      </w:r>
      <w:bookmarkEnd w:id="82"/>
      <w:bookmarkEnd w:id="83"/>
      <w:bookmarkEnd w:id="84"/>
      <w:bookmarkEnd w:id="85"/>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6"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pStyle w:val="2"/>
        <w:rPr>
          <w:color w:val="auto"/>
          <w:highlight w:val="none"/>
          <w:lang w:val="en-US"/>
        </w:rPr>
      </w:pPr>
      <w:r>
        <w:rPr>
          <w:rFonts w:hint="eastAsia" w:cs="仿宋"/>
          <w:color w:val="auto"/>
          <w:sz w:val="21"/>
          <w:szCs w:val="21"/>
          <w:highlight w:val="none"/>
          <w:shd w:val="clear" w:color="auto" w:fill="FFFFFF"/>
          <w:lang w:val="en-US"/>
        </w:rPr>
        <w:t>5、项目实施方案</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8"/>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8"/>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8"/>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6"/>
    <w:p>
      <w:pPr>
        <w:spacing w:after="0" w:line="360" w:lineRule="auto"/>
        <w:ind w:firstLine="422" w:firstLineChars="200"/>
        <w:rPr>
          <w:rFonts w:ascii="宋体" w:hAnsi="宋体" w:eastAsia="宋体"/>
          <w:b/>
          <w:color w:val="auto"/>
          <w:sz w:val="21"/>
          <w:szCs w:val="21"/>
          <w:highlight w:val="none"/>
        </w:rPr>
      </w:pPr>
      <w:bookmarkStart w:id="87"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8" w:name="_Toc86481569"/>
      <w:r>
        <w:rPr>
          <w:rFonts w:hint="eastAsia" w:ascii="宋体" w:hAnsi="宋体" w:eastAsia="宋体"/>
          <w:b/>
          <w:color w:val="auto"/>
          <w:sz w:val="21"/>
          <w:szCs w:val="21"/>
          <w:highlight w:val="none"/>
        </w:rPr>
        <w:t>第十二条 合同生效</w:t>
      </w:r>
      <w:bookmarkEnd w:id="88"/>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7"/>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4"/>
        <w:spacing w:before="0" w:after="0" w:line="240" w:lineRule="auto"/>
        <w:rPr>
          <w:color w:val="auto"/>
          <w:sz w:val="28"/>
          <w:szCs w:val="28"/>
          <w:highlight w:val="none"/>
        </w:rPr>
      </w:pPr>
      <w:bookmarkStart w:id="89" w:name="_Toc23749"/>
      <w:r>
        <w:rPr>
          <w:rFonts w:hint="eastAsia"/>
          <w:color w:val="auto"/>
          <w:sz w:val="28"/>
          <w:szCs w:val="28"/>
          <w:highlight w:val="none"/>
        </w:rPr>
        <w:t>第六部分  附件－投标文件格式</w:t>
      </w:r>
      <w:bookmarkEnd w:id="89"/>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90" w:name="_Toc26830"/>
      <w:r>
        <w:rPr>
          <w:rFonts w:hint="eastAsia" w:ascii="宋体" w:hAnsi="宋体" w:eastAsia="宋体"/>
          <w:color w:val="auto"/>
          <w:sz w:val="21"/>
          <w:szCs w:val="21"/>
          <w:highlight w:val="none"/>
        </w:rPr>
        <w:t>附件1.投标文件目录</w:t>
      </w:r>
      <w:bookmarkEnd w:id="9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1" w:name="_Toc18893"/>
      <w:r>
        <w:rPr>
          <w:rFonts w:hint="eastAsia" w:ascii="宋体" w:hAnsi="宋体" w:eastAsia="宋体"/>
          <w:color w:val="auto"/>
          <w:sz w:val="21"/>
          <w:szCs w:val="21"/>
          <w:highlight w:val="none"/>
        </w:rPr>
        <w:t>附件1-1 评分标准索引表</w:t>
      </w:r>
      <w:bookmarkEnd w:id="91"/>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0"/>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2" w:name="_Toc30640"/>
      <w:r>
        <w:rPr>
          <w:rFonts w:hint="eastAsia" w:ascii="宋体" w:hAnsi="宋体" w:eastAsia="宋体"/>
          <w:color w:val="auto"/>
          <w:sz w:val="21"/>
          <w:szCs w:val="21"/>
          <w:highlight w:val="none"/>
        </w:rPr>
        <w:t>附件2.投标书格式</w:t>
      </w:r>
      <w:bookmarkEnd w:id="92"/>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6"/>
        <w:widowControl w:val="0"/>
        <w:overflowPunct w:val="0"/>
        <w:spacing w:before="0" w:after="0" w:line="240" w:lineRule="auto"/>
        <w:rPr>
          <w:rFonts w:ascii="宋体" w:hAnsi="宋体" w:eastAsia="宋体"/>
          <w:color w:val="auto"/>
          <w:sz w:val="21"/>
          <w:szCs w:val="21"/>
          <w:highlight w:val="none"/>
        </w:rPr>
      </w:pPr>
      <w:bookmarkStart w:id="93" w:name="_Toc6866"/>
      <w:r>
        <w:rPr>
          <w:rFonts w:hint="eastAsia" w:ascii="宋体" w:hAnsi="宋体" w:eastAsia="宋体"/>
          <w:color w:val="auto"/>
          <w:sz w:val="21"/>
          <w:szCs w:val="21"/>
          <w:highlight w:val="none"/>
        </w:rPr>
        <w:t>附件3.开标一览表格式</w:t>
      </w:r>
      <w:bookmarkEnd w:id="93"/>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4"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4"/>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8"/>
                <w:rFonts w:hint="eastAsia" w:ascii="宋体" w:hAnsi="宋体" w:eastAsia="宋体" w:cs="宋体"/>
                <w:b/>
                <w:color w:val="auto"/>
                <w:sz w:val="21"/>
                <w:szCs w:val="21"/>
                <w:highlight w:val="none"/>
              </w:rPr>
              <w:t>；</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8"/>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5" w:name="_Toc16412"/>
      <w:r>
        <w:rPr>
          <w:rFonts w:hint="eastAsia" w:ascii="宋体" w:hAnsi="宋体" w:eastAsia="宋体"/>
          <w:color w:val="auto"/>
          <w:sz w:val="21"/>
          <w:szCs w:val="21"/>
          <w:highlight w:val="none"/>
        </w:rPr>
        <w:t>附件5. 法定代表人证明书格式</w:t>
      </w:r>
      <w:bookmarkEnd w:id="9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1"/>
        <w:spacing w:line="420" w:lineRule="atLeast"/>
        <w:ind w:firstLine="433"/>
        <w:rPr>
          <w:rFonts w:ascii="宋体" w:eastAsia="宋体"/>
          <w:color w:val="auto"/>
          <w:sz w:val="21"/>
          <w:szCs w:val="21"/>
          <w:highlight w:val="none"/>
        </w:rPr>
      </w:pP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bookmarkStart w:id="96" w:name="_Toc31205"/>
      <w:r>
        <w:rPr>
          <w:rFonts w:hint="eastAsia" w:ascii="宋体" w:hAnsi="宋体" w:eastAsia="宋体"/>
          <w:color w:val="auto"/>
          <w:sz w:val="21"/>
          <w:szCs w:val="21"/>
          <w:highlight w:val="none"/>
        </w:rPr>
        <w:t>附件6.法定代表人授权书格式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1"/>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7" w:name="_Toc22486"/>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8" w:name="_Toc17164"/>
      <w:r>
        <w:rPr>
          <w:rFonts w:hint="eastAsia" w:ascii="宋体" w:hAnsi="宋体" w:eastAsia="宋体"/>
          <w:color w:val="auto"/>
          <w:sz w:val="21"/>
          <w:szCs w:val="21"/>
          <w:highlight w:val="none"/>
        </w:rPr>
        <w:t>附件7.资格申明</w:t>
      </w:r>
      <w:bookmarkEnd w:id="98"/>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广东政通招标有限公司：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9" w:name="_Toc27839"/>
      <w:r>
        <w:rPr>
          <w:rFonts w:hint="eastAsia" w:ascii="宋体" w:hAnsi="宋体" w:eastAsia="宋体"/>
          <w:color w:val="auto"/>
          <w:sz w:val="21"/>
          <w:szCs w:val="21"/>
          <w:highlight w:val="none"/>
        </w:rPr>
        <w:t>附件8.营业执照</w:t>
      </w:r>
      <w:bookmarkEnd w:id="99"/>
    </w:p>
    <w:p>
      <w:pPr>
        <w:jc w:val="center"/>
        <w:rPr>
          <w:rFonts w:ascii="黑体" w:eastAsia="黑体"/>
          <w:color w:val="auto"/>
          <w:sz w:val="28"/>
          <w:szCs w:val="28"/>
          <w:highlight w:val="none"/>
        </w:rPr>
      </w:pPr>
      <w:bookmarkStart w:id="100" w:name="_Toc4926"/>
      <w:bookmarkStart w:id="101" w:name="_Toc5919"/>
      <w:bookmarkStart w:id="102" w:name="_Toc1511"/>
      <w:bookmarkStart w:id="103" w:name="_Toc24210"/>
      <w:bookmarkStart w:id="104" w:name="_Toc17470"/>
      <w:r>
        <w:rPr>
          <w:rFonts w:hint="eastAsia" w:ascii="黑体" w:eastAsia="黑体"/>
          <w:color w:val="auto"/>
          <w:sz w:val="28"/>
          <w:szCs w:val="28"/>
          <w:highlight w:val="none"/>
        </w:rPr>
        <w:t>营业执照</w:t>
      </w:r>
      <w:bookmarkEnd w:id="100"/>
      <w:bookmarkEnd w:id="101"/>
      <w:bookmarkEnd w:id="102"/>
      <w:bookmarkEnd w:id="103"/>
      <w:bookmarkEnd w:id="10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5" w:name="_Toc26141"/>
      <w:r>
        <w:rPr>
          <w:rFonts w:hint="eastAsia" w:ascii="宋体" w:hAnsi="宋体" w:eastAsia="宋体"/>
          <w:color w:val="auto"/>
          <w:sz w:val="21"/>
          <w:szCs w:val="21"/>
          <w:highlight w:val="none"/>
        </w:rPr>
        <w:t>附件9.相关资质证明文件</w:t>
      </w:r>
      <w:bookmarkEnd w:id="105"/>
    </w:p>
    <w:p>
      <w:pPr>
        <w:rPr>
          <w:color w:val="auto"/>
          <w:highlight w:val="none"/>
        </w:rPr>
      </w:pPr>
    </w:p>
    <w:p>
      <w:pPr>
        <w:jc w:val="center"/>
        <w:rPr>
          <w:rFonts w:ascii="黑体" w:eastAsia="黑体"/>
          <w:color w:val="auto"/>
          <w:sz w:val="28"/>
          <w:szCs w:val="28"/>
          <w:highlight w:val="none"/>
        </w:rPr>
      </w:pPr>
      <w:bookmarkStart w:id="106" w:name="_Toc16698"/>
      <w:bookmarkStart w:id="107" w:name="_Toc16233"/>
      <w:bookmarkStart w:id="108" w:name="_Toc9592"/>
      <w:bookmarkStart w:id="109" w:name="_Toc30307"/>
      <w:bookmarkStart w:id="110" w:name="_Toc13458"/>
      <w:r>
        <w:rPr>
          <w:rFonts w:hint="eastAsia" w:ascii="黑体" w:eastAsia="黑体"/>
          <w:color w:val="auto"/>
          <w:sz w:val="28"/>
          <w:szCs w:val="28"/>
          <w:highlight w:val="none"/>
        </w:rPr>
        <w:t>相关资质证明文件</w:t>
      </w:r>
      <w:bookmarkEnd w:id="97"/>
      <w:bookmarkEnd w:id="106"/>
      <w:bookmarkEnd w:id="107"/>
      <w:bookmarkEnd w:id="108"/>
      <w:bookmarkEnd w:id="109"/>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1" w:name="_Toc17618"/>
      <w:r>
        <w:rPr>
          <w:rFonts w:hint="eastAsia" w:ascii="宋体" w:hAnsi="宋体" w:eastAsia="宋体"/>
          <w:color w:val="auto"/>
          <w:sz w:val="21"/>
          <w:szCs w:val="21"/>
          <w:highlight w:val="none"/>
        </w:rPr>
        <w:t>附件10. 商务条款偏离表格式</w:t>
      </w:r>
      <w:bookmarkEnd w:id="111"/>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2" w:name="_Toc32183"/>
      <w:r>
        <w:rPr>
          <w:rFonts w:hint="eastAsia" w:ascii="宋体" w:hAnsi="宋体" w:eastAsia="宋体"/>
          <w:color w:val="auto"/>
          <w:sz w:val="21"/>
          <w:szCs w:val="21"/>
          <w:highlight w:val="none"/>
        </w:rPr>
        <w:t>附件11. 技术规格偏离表格式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3" w:name="_Toc17691"/>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s="Times New Roman"/>
          <w:b w:val="0"/>
          <w:bCs w:val="0"/>
          <w:color w:val="auto"/>
          <w:sz w:val="32"/>
          <w:szCs w:val="32"/>
          <w:highlight w:val="none"/>
        </w:rPr>
      </w:pPr>
      <w:bookmarkStart w:id="114" w:name="_Toc29613"/>
      <w:r>
        <w:rPr>
          <w:rFonts w:hint="eastAsia" w:ascii="宋体" w:hAnsi="宋体" w:eastAsia="宋体"/>
          <w:color w:val="auto"/>
          <w:sz w:val="21"/>
          <w:szCs w:val="21"/>
          <w:highlight w:val="none"/>
        </w:rPr>
        <w:t>附件12.重要技术参数（▲）响应表</w:t>
      </w:r>
      <w:bookmarkEnd w:id="113"/>
      <w:bookmarkEnd w:id="114"/>
    </w:p>
    <w:p>
      <w:pPr>
        <w:jc w:val="center"/>
        <w:rPr>
          <w:rFonts w:ascii="黑体" w:eastAsia="黑体"/>
          <w:color w:val="auto"/>
          <w:sz w:val="28"/>
          <w:szCs w:val="28"/>
          <w:highlight w:val="none"/>
        </w:rPr>
      </w:pPr>
      <w:bookmarkStart w:id="115" w:name="_Toc26078"/>
      <w:bookmarkStart w:id="116" w:name="_Toc1274"/>
      <w:bookmarkStart w:id="117" w:name="_Toc6080"/>
      <w:bookmarkStart w:id="118" w:name="_Toc4827"/>
      <w:bookmarkStart w:id="119" w:name="_Toc4464"/>
      <w:bookmarkStart w:id="120" w:name="_Toc18668"/>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5"/>
      <w:bookmarkEnd w:id="116"/>
      <w:bookmarkEnd w:id="117"/>
      <w:bookmarkEnd w:id="118"/>
      <w:bookmarkEnd w:id="119"/>
      <w:bookmarkEnd w:id="120"/>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21" w:name="_Toc14815"/>
            <w:bookmarkStart w:id="122" w:name="_Toc15903"/>
            <w:bookmarkStart w:id="123" w:name="_Toc27090"/>
            <w:bookmarkStart w:id="124" w:name="_Toc22448"/>
            <w:bookmarkStart w:id="125" w:name="_Toc16872"/>
            <w:bookmarkStart w:id="126" w:name="_Toc21739"/>
            <w:bookmarkStart w:id="127" w:name="_Toc4304"/>
            <w:bookmarkStart w:id="128" w:name="_Toc2700"/>
            <w:bookmarkStart w:id="129" w:name="_Toc12049"/>
            <w:bookmarkStart w:id="130" w:name="_Toc10045"/>
            <w:r>
              <w:rPr>
                <w:rFonts w:hint="eastAsia" w:ascii="宋体" w:hAnsi="宋体" w:eastAsia="宋体" w:cs="Times New Roman"/>
                <w:color w:val="auto"/>
                <w:sz w:val="21"/>
                <w:szCs w:val="21"/>
                <w:highlight w:val="none"/>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31" w:name="_Toc8312"/>
            <w:bookmarkStart w:id="132" w:name="_Toc24662"/>
            <w:bookmarkStart w:id="133" w:name="_Toc8490"/>
            <w:bookmarkStart w:id="134" w:name="_Toc19251"/>
            <w:bookmarkStart w:id="135" w:name="_Toc32531"/>
            <w:bookmarkStart w:id="136" w:name="_Toc27442"/>
            <w:bookmarkStart w:id="137" w:name="_Toc22879"/>
            <w:bookmarkStart w:id="138" w:name="_Toc22917"/>
            <w:bookmarkStart w:id="139" w:name="_Toc21809"/>
            <w:bookmarkStart w:id="140" w:name="_Toc7333"/>
            <w:r>
              <w:rPr>
                <w:rFonts w:hint="eastAsia" w:ascii="宋体" w:hAnsi="宋体" w:eastAsia="宋体" w:cs="Times New Roman"/>
                <w:color w:val="auto"/>
                <w:sz w:val="21"/>
                <w:szCs w:val="21"/>
                <w:highlight w:val="none"/>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41" w:name="_Toc1912"/>
            <w:bookmarkStart w:id="142" w:name="_Toc5992"/>
            <w:bookmarkStart w:id="143" w:name="_Toc17642"/>
            <w:bookmarkStart w:id="144" w:name="_Toc17296"/>
            <w:bookmarkStart w:id="145" w:name="_Toc3701"/>
            <w:bookmarkStart w:id="146" w:name="_Toc27185"/>
            <w:bookmarkStart w:id="147" w:name="_Toc20139"/>
            <w:bookmarkStart w:id="148" w:name="_Toc20820"/>
            <w:bookmarkStart w:id="149" w:name="_Toc5563"/>
            <w:bookmarkStart w:id="150" w:name="_Toc1330"/>
            <w:r>
              <w:rPr>
                <w:rFonts w:hint="eastAsia" w:ascii="宋体" w:hAnsi="宋体" w:eastAsia="宋体" w:cs="Times New Roman"/>
                <w:color w:val="auto"/>
                <w:sz w:val="21"/>
                <w:szCs w:val="21"/>
                <w:highlight w:val="none"/>
              </w:rPr>
              <w:t>页码范围</w:t>
            </w:r>
            <w:bookmarkEnd w:id="141"/>
            <w:bookmarkEnd w:id="142"/>
            <w:bookmarkEnd w:id="143"/>
            <w:bookmarkEnd w:id="144"/>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8"/>
        <w:spacing w:after="0" w:line="360" w:lineRule="auto"/>
        <w:rPr>
          <w:rFonts w:ascii="宋体" w:hAnsi="宋体" w:eastAsia="宋体"/>
          <w:color w:val="auto"/>
          <w:sz w:val="21"/>
          <w:szCs w:val="21"/>
          <w:highlight w:val="none"/>
        </w:rPr>
      </w:pPr>
    </w:p>
    <w:p>
      <w:pPr>
        <w:pStyle w:val="28"/>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2"/>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8"/>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30"/>
          <w:szCs w:val="30"/>
          <w:highlight w:val="none"/>
        </w:rPr>
      </w:pPr>
      <w:bookmarkStart w:id="151" w:name="_Toc27674"/>
      <w:r>
        <w:rPr>
          <w:rFonts w:hint="eastAsia" w:ascii="宋体" w:hAnsi="宋体" w:eastAsia="宋体"/>
          <w:color w:val="auto"/>
          <w:sz w:val="21"/>
          <w:szCs w:val="21"/>
          <w:highlight w:val="none"/>
        </w:rPr>
        <w:t>附件13.业绩表</w:t>
      </w:r>
      <w:bookmarkEnd w:id="151"/>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8"/>
        <w:spacing w:after="0"/>
        <w:rPr>
          <w:rFonts w:ascii="宋体" w:hAnsi="宋体" w:eastAsia="宋体"/>
          <w:color w:val="auto"/>
          <w:sz w:val="21"/>
          <w:szCs w:val="21"/>
          <w:highlight w:val="none"/>
        </w:rPr>
      </w:pPr>
    </w:p>
    <w:p>
      <w:pPr>
        <w:pStyle w:val="28"/>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8"/>
        <w:numPr>
          <w:ilvl w:val="0"/>
          <w:numId w:val="13"/>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2" w:name="_Toc7860"/>
      <w:r>
        <w:rPr>
          <w:rFonts w:hint="eastAsia" w:ascii="宋体" w:hAnsi="宋体" w:eastAsia="宋体"/>
          <w:color w:val="auto"/>
          <w:sz w:val="21"/>
          <w:szCs w:val="21"/>
          <w:highlight w:val="none"/>
        </w:rPr>
        <w:t>附件14. 项目实施方案格式</w:t>
      </w:r>
      <w:bookmarkEnd w:id="152"/>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3" w:name="_Toc8596"/>
      <w:r>
        <w:rPr>
          <w:rFonts w:hint="eastAsia" w:ascii="宋体" w:hAnsi="宋体" w:eastAsia="宋体"/>
          <w:color w:val="auto"/>
          <w:sz w:val="21"/>
          <w:szCs w:val="21"/>
          <w:highlight w:val="none"/>
        </w:rPr>
        <w:t>附件15. 实施本项目的有关人员资料表格式</w:t>
      </w:r>
      <w:bookmarkEnd w:id="153"/>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8"/>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4" w:name="_Toc21598"/>
      <w:r>
        <w:rPr>
          <w:rFonts w:hint="eastAsia" w:ascii="宋体" w:hAnsi="宋体" w:eastAsia="宋体"/>
          <w:color w:val="auto"/>
          <w:sz w:val="21"/>
          <w:szCs w:val="21"/>
          <w:highlight w:val="none"/>
        </w:rPr>
        <w:t>附件16.投标货物说明一览表格式</w:t>
      </w:r>
      <w:bookmarkEnd w:id="154"/>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55" w:name="_Toc10094"/>
      <w:bookmarkStart w:id="156" w:name="_Toc417907703"/>
      <w:bookmarkStart w:id="157" w:name="_Toc21223"/>
      <w:r>
        <w:rPr>
          <w:rFonts w:hint="eastAsia" w:ascii="宋体" w:hAnsi="宋体" w:eastAsia="宋体"/>
          <w:color w:val="auto"/>
          <w:sz w:val="21"/>
          <w:szCs w:val="21"/>
          <w:highlight w:val="none"/>
        </w:rPr>
        <w:t>附件17.在经营活动中没有重大违法记录的书面声明格式</w:t>
      </w:r>
      <w:bookmarkEnd w:id="15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6"/>
      <w:bookmarkEnd w:id="157"/>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中小企业声明函（货物）</w:t>
      </w:r>
    </w:p>
    <w:p>
      <w:pPr>
        <w:spacing w:line="360" w:lineRule="auto"/>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rPr>
        <w:t>（含联合体中的中小企业、签订分包意向协议的中小企业）</w:t>
      </w:r>
      <w:r>
        <w:rPr>
          <w:rFonts w:hint="eastAsia" w:asciiTheme="minorEastAsia" w:hAnsiTheme="minorEastAsia" w:eastAsiaTheme="minorEastAsia" w:cstheme="minorEastAsia"/>
          <w:color w:val="auto"/>
          <w:sz w:val="21"/>
          <w:szCs w:val="21"/>
          <w:highlight w:val="none"/>
        </w:rPr>
        <w:t>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lang w:val="en-US"/>
        </w:rPr>
        <w:footnoteReference w:id="0"/>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wordWrap w:val="0"/>
        <w:spacing w:line="360" w:lineRule="auto"/>
        <w:ind w:left="0" w:firstLine="480"/>
        <w:jc w:val="right"/>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spacing w:line="360" w:lineRule="auto"/>
        <w:ind w:firstLine="220" w:firstLineChars="100"/>
        <w:rPr>
          <w:rFonts w:asciiTheme="minorEastAsia" w:hAnsiTheme="minorEastAsia" w:eastAsiaTheme="minorEastAsia" w:cstheme="minorEastAsia"/>
          <w:color w:val="auto"/>
          <w:sz w:val="21"/>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lang w:val="en-US"/>
        </w:rPr>
        <w:footnoteReference w:id="1"/>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spacing w:line="360" w:lineRule="auto"/>
        <w:ind w:left="0" w:firstLine="48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58" w:name="_Toc28081"/>
      <w:r>
        <w:rPr>
          <w:rFonts w:hint="eastAsia" w:ascii="宋体" w:hAnsi="宋体" w:eastAsia="宋体"/>
          <w:color w:val="auto"/>
          <w:sz w:val="21"/>
          <w:szCs w:val="21"/>
          <w:highlight w:val="none"/>
        </w:rPr>
        <w:t>附件19.《残疾人福利性单位声明函》（残疾人福利性单位适用）</w:t>
      </w:r>
      <w:bookmarkEnd w:id="158"/>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59" w:name="_Toc17761"/>
      <w:bookmarkStart w:id="160" w:name="_Toc509844825"/>
      <w:bookmarkStart w:id="161" w:name="_Toc30247"/>
      <w:bookmarkStart w:id="162" w:name="_Toc20910"/>
      <w:bookmarkStart w:id="163" w:name="_Toc509927455"/>
      <w:bookmarkStart w:id="164" w:name="_Toc510171693"/>
      <w:bookmarkStart w:id="165" w:name="_Toc30277"/>
      <w:bookmarkStart w:id="166" w:name="_Toc22970"/>
      <w:bookmarkStart w:id="167" w:name="_Toc508898066"/>
      <w:bookmarkStart w:id="168" w:name="_Toc509479530"/>
      <w:bookmarkStart w:id="169" w:name="_Toc508958703"/>
      <w:bookmarkStart w:id="170" w:name="_Toc50896015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59"/>
      <w:bookmarkEnd w:id="160"/>
      <w:bookmarkEnd w:id="161"/>
      <w:bookmarkEnd w:id="162"/>
      <w:bookmarkEnd w:id="163"/>
      <w:bookmarkEnd w:id="164"/>
      <w:bookmarkEnd w:id="165"/>
      <w:bookmarkEnd w:id="166"/>
      <w:bookmarkEnd w:id="167"/>
      <w:bookmarkEnd w:id="168"/>
      <w:bookmarkEnd w:id="169"/>
      <w:bookmarkEnd w:id="170"/>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1" w:name="_Toc21053"/>
      <w:bookmarkStart w:id="172" w:name="_Toc508898067"/>
      <w:bookmarkStart w:id="173" w:name="_Toc31520"/>
      <w:bookmarkStart w:id="174" w:name="_Toc26216"/>
      <w:bookmarkStart w:id="175" w:name="_Toc509844826"/>
      <w:bookmarkStart w:id="176" w:name="_Toc508958704"/>
      <w:bookmarkStart w:id="177" w:name="_Toc509479531"/>
      <w:bookmarkStart w:id="178" w:name="_Toc5447"/>
      <w:bookmarkStart w:id="179" w:name="_Toc28527"/>
      <w:bookmarkStart w:id="180" w:name="_Toc508960154"/>
      <w:bookmarkStart w:id="181" w:name="_Toc510171694"/>
      <w:bookmarkStart w:id="182" w:name="_Toc50992745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pPr>
        <w:spacing w:after="0" w:line="480" w:lineRule="auto"/>
        <w:ind w:firstLine="420" w:firstLineChars="200"/>
        <w:rPr>
          <w:rFonts w:ascii="宋体" w:hAnsi="宋体" w:eastAsia="宋体"/>
          <w:color w:val="auto"/>
          <w:sz w:val="21"/>
          <w:szCs w:val="21"/>
          <w:highlight w:val="none"/>
        </w:rPr>
      </w:pPr>
      <w:bookmarkStart w:id="183" w:name="_Toc28126"/>
      <w:bookmarkStart w:id="184" w:name="_Toc9148"/>
      <w:bookmarkStart w:id="185" w:name="_Toc509927457"/>
      <w:bookmarkStart w:id="186" w:name="_Toc508958705"/>
      <w:bookmarkStart w:id="187" w:name="_Toc509479532"/>
      <w:bookmarkStart w:id="188" w:name="_Toc509844827"/>
      <w:bookmarkStart w:id="189" w:name="_Toc508898068"/>
      <w:bookmarkStart w:id="190" w:name="_Toc510171695"/>
      <w:bookmarkStart w:id="191" w:name="_Toc14653"/>
      <w:bookmarkStart w:id="192" w:name="_Toc28626"/>
      <w:bookmarkStart w:id="193" w:name="_Toc24848"/>
      <w:bookmarkStart w:id="194" w:name="_Toc508960155"/>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pPr>
        <w:spacing w:after="0" w:line="480" w:lineRule="auto"/>
        <w:ind w:firstLine="420" w:firstLineChars="200"/>
        <w:rPr>
          <w:rFonts w:ascii="宋体" w:hAnsi="宋体" w:eastAsia="宋体"/>
          <w:color w:val="auto"/>
          <w:sz w:val="21"/>
          <w:szCs w:val="21"/>
          <w:highlight w:val="none"/>
        </w:rPr>
      </w:pPr>
      <w:bookmarkStart w:id="195" w:name="_Toc28044"/>
      <w:bookmarkStart w:id="196" w:name="_Toc510171696"/>
      <w:bookmarkStart w:id="197" w:name="_Toc508960156"/>
      <w:bookmarkStart w:id="198" w:name="_Toc508958706"/>
      <w:bookmarkStart w:id="199" w:name="_Toc509479533"/>
      <w:bookmarkStart w:id="200" w:name="_Toc7858"/>
      <w:bookmarkStart w:id="201" w:name="_Toc509844828"/>
      <w:bookmarkStart w:id="202" w:name="_Toc22981"/>
      <w:bookmarkStart w:id="203" w:name="_Toc509927458"/>
      <w:bookmarkStart w:id="204" w:name="_Toc9837"/>
      <w:bookmarkStart w:id="205" w:name="_Toc508898069"/>
      <w:bookmarkStart w:id="206" w:name="_Toc28686"/>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pPr>
        <w:spacing w:after="0" w:line="480" w:lineRule="auto"/>
        <w:ind w:firstLine="420" w:firstLineChars="200"/>
        <w:rPr>
          <w:rFonts w:ascii="宋体" w:hAnsi="宋体" w:eastAsia="宋体"/>
          <w:color w:val="auto"/>
          <w:sz w:val="21"/>
          <w:szCs w:val="21"/>
          <w:highlight w:val="none"/>
        </w:rPr>
      </w:pPr>
      <w:bookmarkStart w:id="207" w:name="_Toc18843"/>
      <w:bookmarkStart w:id="208" w:name="_Toc508960157"/>
      <w:bookmarkStart w:id="209" w:name="_Toc5289"/>
      <w:bookmarkStart w:id="210" w:name="_Toc508958707"/>
      <w:bookmarkStart w:id="211" w:name="_Toc509479534"/>
      <w:bookmarkStart w:id="212" w:name="_Toc508898070"/>
      <w:bookmarkStart w:id="213" w:name="_Toc509844829"/>
      <w:bookmarkStart w:id="214" w:name="_Toc509927459"/>
      <w:bookmarkStart w:id="215" w:name="_Toc51017169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6"/>
        <w:widowControl w:val="0"/>
        <w:overflowPunct w:val="0"/>
        <w:spacing w:before="0" w:after="0" w:line="240" w:lineRule="auto"/>
        <w:rPr>
          <w:color w:val="auto"/>
          <w:highlight w:val="none"/>
        </w:rPr>
      </w:pPr>
      <w:bookmarkStart w:id="216" w:name="_Toc25634"/>
      <w:r>
        <w:rPr>
          <w:rFonts w:hint="eastAsia" w:ascii="宋体" w:hAnsi="宋体" w:eastAsia="宋体"/>
          <w:color w:val="auto"/>
          <w:sz w:val="21"/>
          <w:szCs w:val="21"/>
          <w:highlight w:val="none"/>
        </w:rPr>
        <w:t>附件20. 投标保证金汇入情况说明格式</w:t>
      </w:r>
      <w:bookmarkEnd w:id="21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217" w:name="_Toc4363"/>
      <w:r>
        <w:rPr>
          <w:rFonts w:hint="eastAsia" w:ascii="宋体" w:hAnsi="宋体" w:eastAsia="宋体"/>
          <w:color w:val="auto"/>
          <w:sz w:val="21"/>
          <w:szCs w:val="21"/>
          <w:highlight w:val="none"/>
        </w:rPr>
        <w:t>附件21.政府采购投标担保函</w:t>
      </w:r>
      <w:bookmarkEnd w:id="21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18" w:name="_Toc27534"/>
      <w:r>
        <w:rPr>
          <w:rStyle w:val="29"/>
          <w:rFonts w:hint="eastAsia" w:ascii="宋体" w:hAnsi="宋体" w:eastAsia="宋体" w:cs="宋体"/>
          <w:color w:val="auto"/>
          <w:sz w:val="21"/>
          <w:szCs w:val="21"/>
          <w:highlight w:val="none"/>
        </w:rPr>
        <w:t>附件22.政府采购履约担保函</w:t>
      </w:r>
      <w:bookmarkEnd w:id="218"/>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pStyle w:val="4"/>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6"/>
        <w:spacing w:before="0" w:after="0" w:line="240" w:lineRule="auto"/>
        <w:rPr>
          <w:rFonts w:ascii="宋体" w:hAnsi="宋体" w:eastAsia="宋体" w:cs="宋体"/>
          <w:color w:val="auto"/>
          <w:sz w:val="21"/>
          <w:szCs w:val="21"/>
          <w:highlight w:val="none"/>
        </w:rPr>
      </w:pPr>
      <w:bookmarkStart w:id="219" w:name="_Toc17023"/>
      <w:r>
        <w:rPr>
          <w:rFonts w:hint="eastAsia" w:ascii="宋体" w:hAnsi="宋体" w:eastAsia="宋体" w:cs="宋体"/>
          <w:color w:val="auto"/>
          <w:sz w:val="21"/>
          <w:szCs w:val="21"/>
          <w:highlight w:val="none"/>
        </w:rPr>
        <w:t>附件23.获取招标文件登记表</w:t>
      </w:r>
      <w:bookmarkEnd w:id="219"/>
    </w:p>
    <w:p>
      <w:pPr>
        <w:pStyle w:val="4"/>
        <w:spacing w:before="0" w:after="0" w:line="240" w:lineRule="auto"/>
        <w:jc w:val="center"/>
        <w:rPr>
          <w:rFonts w:ascii="黑体" w:hAnsi="宋体"/>
          <w:color w:val="auto"/>
          <w:sz w:val="44"/>
          <w:szCs w:val="44"/>
          <w:highlight w:val="none"/>
        </w:rPr>
      </w:pPr>
      <w:bookmarkStart w:id="220"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20"/>
    </w:p>
    <w:tbl>
      <w:tblPr>
        <w:tblStyle w:val="20"/>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6"/>
        <w:spacing w:before="0" w:after="0" w:line="240" w:lineRule="auto"/>
        <w:rPr>
          <w:rFonts w:ascii="宋体" w:hAnsi="宋体" w:eastAsia="宋体" w:cs="宋体"/>
          <w:color w:val="auto"/>
          <w:sz w:val="21"/>
          <w:szCs w:val="21"/>
          <w:highlight w:val="none"/>
        </w:rPr>
      </w:pPr>
      <w:bookmarkStart w:id="221" w:name="_Toc11182"/>
      <w:r>
        <w:rPr>
          <w:rFonts w:hint="eastAsia" w:ascii="宋体" w:hAnsi="宋体" w:eastAsia="宋体" w:cs="宋体"/>
          <w:color w:val="auto"/>
          <w:sz w:val="21"/>
          <w:szCs w:val="21"/>
          <w:highlight w:val="none"/>
        </w:rPr>
        <w:t>附件 24.质疑函范本</w:t>
      </w:r>
      <w:bookmarkEnd w:id="221"/>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11" w:type="first"/>
      <w:footerReference r:id="rId10"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86</w:instrText>
                          </w:r>
                          <w:r>
                            <w:fldChar w:fldCharType="end"/>
                          </w:r>
                          <w:r>
                            <w:rPr>
                              <w:rFonts w:hint="eastAsia"/>
                            </w:rPr>
                            <w:instrText xml:space="preserve">-1</w:instrText>
                          </w:r>
                          <w:r>
                            <w:fldChar w:fldCharType="separate"/>
                          </w:r>
                          <w:r>
                            <w:t>85</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x8o09MBAACnAwAADgAAAAAAAAABACAAAAAeAQAA&#10;ZHJzL2Uyb0RvYy54bWxQSwUGAAAAAAYABgBZAQAAYwU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86</w:instrText>
                    </w:r>
                    <w:r>
                      <w:fldChar w:fldCharType="end"/>
                    </w:r>
                    <w:r>
                      <w:rPr>
                        <w:rFonts w:hint="eastAsia"/>
                      </w:rPr>
                      <w:instrText xml:space="preserve">-1</w:instrText>
                    </w:r>
                    <w:r>
                      <w:fldChar w:fldCharType="separate"/>
                    </w:r>
                    <w:r>
                      <w:t>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86</w:instrText>
                          </w:r>
                          <w:r>
                            <w:fldChar w:fldCharType="end"/>
                          </w:r>
                          <w:r>
                            <w:rPr>
                              <w:rFonts w:hint="eastAsia"/>
                            </w:rPr>
                            <w:instrText xml:space="preserve">-1</w:instrText>
                          </w:r>
                          <w:r>
                            <w:fldChar w:fldCharType="separate"/>
                          </w:r>
                          <w:r>
                            <w:t>85</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86</w:instrText>
                    </w:r>
                    <w:r>
                      <w:fldChar w:fldCharType="end"/>
                    </w:r>
                    <w:r>
                      <w:rPr>
                        <w:rFonts w:hint="eastAsia"/>
                      </w:rPr>
                      <w:instrText xml:space="preserve">-1</w:instrText>
                    </w:r>
                    <w:r>
                      <w:fldChar w:fldCharType="separate"/>
                    </w:r>
                    <w:r>
                      <w:t>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6"/>
      </w:pPr>
      <w:r>
        <w:rPr>
          <w:rStyle w:val="25"/>
        </w:rPr>
        <w:footnoteRef/>
      </w:r>
      <w:r>
        <w:t xml:space="preserve"> </w:t>
      </w:r>
      <w:r>
        <w:rPr>
          <w:rFonts w:hint="eastAsia"/>
        </w:rPr>
        <w:t>从业人员、营业人员、资产总额填报上一年度数据，无上一年度数据的新成立企业可不填报。</w:t>
      </w:r>
    </w:p>
  </w:footnote>
  <w:footnote w:id="1">
    <w:p>
      <w:pPr>
        <w:pStyle w:val="16"/>
      </w:pPr>
      <w:r>
        <w:rPr>
          <w:rStyle w:val="25"/>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东莞市政府采购公开招标文件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chineseCountingThousand"/>
      <w:suff w:val="space"/>
      <w:lvlText w:val="第%1部分"/>
      <w:lvlJc w:val="center"/>
      <w:pPr>
        <w:ind w:left="3780"/>
      </w:pPr>
      <w:rPr>
        <w:rFonts w:hint="eastAsia" w:eastAsia="华康简标题宋"/>
        <w:b/>
        <w:bCs/>
        <w:i w:val="0"/>
        <w:iCs w:val="0"/>
        <w:sz w:val="32"/>
        <w:szCs w:val="32"/>
      </w:rPr>
    </w:lvl>
    <w:lvl w:ilvl="1" w:tentative="0">
      <w:start w:val="1"/>
      <w:numFmt w:val="decimal"/>
      <w:pStyle w:val="48"/>
      <w:suff w:val="space"/>
      <w:lvlText w:val="%2."/>
      <w:lvlJc w:val="left"/>
      <w:pPr>
        <w:ind w:left="360"/>
      </w:pPr>
      <w:rPr>
        <w:rFonts w:hint="default" w:ascii="Times New Roman" w:hAnsi="Times New Roman" w:eastAsia="宋体"/>
        <w:b/>
        <w:bCs/>
        <w:i w:val="0"/>
        <w:iCs w:val="0"/>
        <w:sz w:val="24"/>
        <w:szCs w:val="24"/>
      </w:rPr>
    </w:lvl>
    <w:lvl w:ilvl="2" w:tentative="0">
      <w:start w:val="1"/>
      <w:numFmt w:val="decimal"/>
      <w:suff w:val="space"/>
      <w:lvlText w:val="%2.%3"/>
      <w:lvlJc w:val="left"/>
      <w:pPr>
        <w:ind w:firstLine="425"/>
      </w:pPr>
      <w:rPr>
        <w:rFonts w:hint="default" w:ascii="Times New Roman" w:hAnsi="Times New Roman" w:eastAsia="宋体"/>
        <w:b w:val="0"/>
        <w:bCs w:val="0"/>
        <w:i w:val="0"/>
        <w:iCs w:val="0"/>
        <w:color w:val="auto"/>
        <w:sz w:val="24"/>
        <w:szCs w:val="24"/>
      </w:rPr>
    </w:lvl>
    <w:lvl w:ilvl="3" w:tentative="0">
      <w:start w:val="1"/>
      <w:numFmt w:val="lowerLetter"/>
      <w:suff w:val="space"/>
      <w:lvlText w:val="%4)"/>
      <w:lvlJc w:val="left"/>
      <w:pPr>
        <w:ind w:firstLine="425"/>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2821B185"/>
    <w:multiLevelType w:val="singleLevel"/>
    <w:tmpl w:val="2821B185"/>
    <w:lvl w:ilvl="0" w:tentative="0">
      <w:start w:val="5"/>
      <w:numFmt w:val="chineseCounting"/>
      <w:suff w:val="nothing"/>
      <w:lvlText w:val="%1、"/>
      <w:lvlJc w:val="left"/>
      <w:rPr>
        <w:rFonts w:hint="eastAsia"/>
      </w:rPr>
    </w:lvl>
  </w:abstractNum>
  <w:abstractNum w:abstractNumId="11">
    <w:nsid w:val="3F88662E"/>
    <w:multiLevelType w:val="singleLevel"/>
    <w:tmpl w:val="3F88662E"/>
    <w:lvl w:ilvl="0" w:tentative="0">
      <w:start w:val="1"/>
      <w:numFmt w:val="decimal"/>
      <w:suff w:val="space"/>
      <w:lvlText w:val="%1)"/>
      <w:lvlJc w:val="left"/>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0"/>
  </w:num>
  <w:num w:numId="3">
    <w:abstractNumId w:val="12"/>
  </w:num>
  <w:num w:numId="4">
    <w:abstractNumId w:val="8"/>
  </w:num>
  <w:num w:numId="5">
    <w:abstractNumId w:val="11"/>
  </w:num>
  <w:num w:numId="6">
    <w:abstractNumId w:val="9"/>
  </w:num>
  <w:num w:numId="7">
    <w:abstractNumId w:val="4"/>
  </w:num>
  <w:num w:numId="8">
    <w:abstractNumId w:val="5"/>
  </w:num>
  <w:num w:numId="9">
    <w:abstractNumId w:val="1"/>
  </w:num>
  <w:num w:numId="10">
    <w:abstractNumId w:val="2"/>
  </w:num>
  <w:num w:numId="11">
    <w:abstractNumId w:val="6"/>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footnotePr>
    <w:footnote w:id="4"/>
    <w:footnote w:id="5"/>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260F3"/>
    <w:rsid w:val="000300E4"/>
    <w:rsid w:val="0003307E"/>
    <w:rsid w:val="000336BA"/>
    <w:rsid w:val="000359A1"/>
    <w:rsid w:val="0006605A"/>
    <w:rsid w:val="0007500F"/>
    <w:rsid w:val="0008282E"/>
    <w:rsid w:val="000A363F"/>
    <w:rsid w:val="000A42A8"/>
    <w:rsid w:val="000A5063"/>
    <w:rsid w:val="000A5DBD"/>
    <w:rsid w:val="000C4524"/>
    <w:rsid w:val="000D44A6"/>
    <w:rsid w:val="000D5273"/>
    <w:rsid w:val="000F09D9"/>
    <w:rsid w:val="000F0E98"/>
    <w:rsid w:val="001049A5"/>
    <w:rsid w:val="001242F3"/>
    <w:rsid w:val="0012550D"/>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13902"/>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0669"/>
    <w:rsid w:val="009910F6"/>
    <w:rsid w:val="009A7058"/>
    <w:rsid w:val="009C6AD9"/>
    <w:rsid w:val="009D55C3"/>
    <w:rsid w:val="009E398C"/>
    <w:rsid w:val="009E6A3C"/>
    <w:rsid w:val="009E6F05"/>
    <w:rsid w:val="00A10906"/>
    <w:rsid w:val="00A14EEF"/>
    <w:rsid w:val="00A25E78"/>
    <w:rsid w:val="00A56B6C"/>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93045"/>
    <w:rsid w:val="00BA0892"/>
    <w:rsid w:val="00BA4130"/>
    <w:rsid w:val="00BB2CAF"/>
    <w:rsid w:val="00BC3E74"/>
    <w:rsid w:val="00BD450C"/>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144B"/>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16CEE"/>
    <w:rsid w:val="00F218C1"/>
    <w:rsid w:val="00F321EB"/>
    <w:rsid w:val="00F346CF"/>
    <w:rsid w:val="00F3610C"/>
    <w:rsid w:val="00F4774B"/>
    <w:rsid w:val="00F52A5F"/>
    <w:rsid w:val="00F55954"/>
    <w:rsid w:val="00F61962"/>
    <w:rsid w:val="00F62865"/>
    <w:rsid w:val="00F64022"/>
    <w:rsid w:val="00F64660"/>
    <w:rsid w:val="00F97062"/>
    <w:rsid w:val="00F9745D"/>
    <w:rsid w:val="00F97C6D"/>
    <w:rsid w:val="00FC7B53"/>
    <w:rsid w:val="00FD48CC"/>
    <w:rsid w:val="00FE62D1"/>
    <w:rsid w:val="00FF26BF"/>
    <w:rsid w:val="01024D97"/>
    <w:rsid w:val="018023CE"/>
    <w:rsid w:val="01881AD6"/>
    <w:rsid w:val="01B938AA"/>
    <w:rsid w:val="01D000F6"/>
    <w:rsid w:val="01DF1BAD"/>
    <w:rsid w:val="02126CDB"/>
    <w:rsid w:val="021832B7"/>
    <w:rsid w:val="024E2E49"/>
    <w:rsid w:val="02A741FD"/>
    <w:rsid w:val="02C16E5D"/>
    <w:rsid w:val="02D964CF"/>
    <w:rsid w:val="0340787C"/>
    <w:rsid w:val="03486AC7"/>
    <w:rsid w:val="03707410"/>
    <w:rsid w:val="037F03E3"/>
    <w:rsid w:val="038418A4"/>
    <w:rsid w:val="03A0770F"/>
    <w:rsid w:val="03A27BF9"/>
    <w:rsid w:val="03A448B8"/>
    <w:rsid w:val="03AD071E"/>
    <w:rsid w:val="03F9267C"/>
    <w:rsid w:val="04082923"/>
    <w:rsid w:val="042A2209"/>
    <w:rsid w:val="04540A7E"/>
    <w:rsid w:val="047162C6"/>
    <w:rsid w:val="04DF1036"/>
    <w:rsid w:val="05A97DEC"/>
    <w:rsid w:val="05C81981"/>
    <w:rsid w:val="06BC41F2"/>
    <w:rsid w:val="070A2472"/>
    <w:rsid w:val="07197D08"/>
    <w:rsid w:val="071C2CFD"/>
    <w:rsid w:val="071E5C55"/>
    <w:rsid w:val="073F1A42"/>
    <w:rsid w:val="073F7319"/>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A534D5"/>
    <w:rsid w:val="0AA650EB"/>
    <w:rsid w:val="0AB8066A"/>
    <w:rsid w:val="0AF47339"/>
    <w:rsid w:val="0B0659BA"/>
    <w:rsid w:val="0B22594B"/>
    <w:rsid w:val="0BAD0870"/>
    <w:rsid w:val="0BC044BE"/>
    <w:rsid w:val="0BDF26F7"/>
    <w:rsid w:val="0C264099"/>
    <w:rsid w:val="0C2B4952"/>
    <w:rsid w:val="0C7B2220"/>
    <w:rsid w:val="0CF21113"/>
    <w:rsid w:val="0D773597"/>
    <w:rsid w:val="0D890E47"/>
    <w:rsid w:val="0DC64A00"/>
    <w:rsid w:val="0DFC60BA"/>
    <w:rsid w:val="0E4249F1"/>
    <w:rsid w:val="0F7C5FF6"/>
    <w:rsid w:val="0FC63FBD"/>
    <w:rsid w:val="106C564D"/>
    <w:rsid w:val="107B7B8F"/>
    <w:rsid w:val="107C67CE"/>
    <w:rsid w:val="109D68CB"/>
    <w:rsid w:val="10A949B8"/>
    <w:rsid w:val="11200D07"/>
    <w:rsid w:val="11DA73AF"/>
    <w:rsid w:val="12C60D80"/>
    <w:rsid w:val="131F7A3A"/>
    <w:rsid w:val="132645D0"/>
    <w:rsid w:val="13455ABC"/>
    <w:rsid w:val="1370322B"/>
    <w:rsid w:val="1399581A"/>
    <w:rsid w:val="13B27845"/>
    <w:rsid w:val="13B85EB4"/>
    <w:rsid w:val="141A03E1"/>
    <w:rsid w:val="143B2E0B"/>
    <w:rsid w:val="14672B11"/>
    <w:rsid w:val="14892735"/>
    <w:rsid w:val="14942047"/>
    <w:rsid w:val="14CC769D"/>
    <w:rsid w:val="156A50B0"/>
    <w:rsid w:val="15D359D7"/>
    <w:rsid w:val="15D81E0F"/>
    <w:rsid w:val="163C77BE"/>
    <w:rsid w:val="1679588C"/>
    <w:rsid w:val="16994962"/>
    <w:rsid w:val="169E64A9"/>
    <w:rsid w:val="16A71041"/>
    <w:rsid w:val="16AA24BF"/>
    <w:rsid w:val="16F72341"/>
    <w:rsid w:val="17680CAB"/>
    <w:rsid w:val="176E4128"/>
    <w:rsid w:val="1783371F"/>
    <w:rsid w:val="17E62B67"/>
    <w:rsid w:val="180F4499"/>
    <w:rsid w:val="18221ECE"/>
    <w:rsid w:val="1919710F"/>
    <w:rsid w:val="19A2789F"/>
    <w:rsid w:val="1A460CF5"/>
    <w:rsid w:val="1A7F297D"/>
    <w:rsid w:val="1AB16AC1"/>
    <w:rsid w:val="1B034A52"/>
    <w:rsid w:val="1B1F34AD"/>
    <w:rsid w:val="1B8D5DC6"/>
    <w:rsid w:val="1B95767D"/>
    <w:rsid w:val="1BBD40A3"/>
    <w:rsid w:val="1BFE1D3B"/>
    <w:rsid w:val="1C2775EC"/>
    <w:rsid w:val="1C750ECE"/>
    <w:rsid w:val="1CF63050"/>
    <w:rsid w:val="1D0836D7"/>
    <w:rsid w:val="1D196139"/>
    <w:rsid w:val="1DB85900"/>
    <w:rsid w:val="1E010AF7"/>
    <w:rsid w:val="1E0178EB"/>
    <w:rsid w:val="1E301173"/>
    <w:rsid w:val="1E38333E"/>
    <w:rsid w:val="1E5F573B"/>
    <w:rsid w:val="1EA40BB4"/>
    <w:rsid w:val="1F43381C"/>
    <w:rsid w:val="1FA4148D"/>
    <w:rsid w:val="20121621"/>
    <w:rsid w:val="201A421D"/>
    <w:rsid w:val="204E554F"/>
    <w:rsid w:val="20590035"/>
    <w:rsid w:val="209E611B"/>
    <w:rsid w:val="20DB1357"/>
    <w:rsid w:val="20FC799E"/>
    <w:rsid w:val="21EA4C1C"/>
    <w:rsid w:val="22154DDD"/>
    <w:rsid w:val="22213E42"/>
    <w:rsid w:val="22336873"/>
    <w:rsid w:val="238C2182"/>
    <w:rsid w:val="239015D1"/>
    <w:rsid w:val="23BB4E7D"/>
    <w:rsid w:val="23C172D6"/>
    <w:rsid w:val="23F04F64"/>
    <w:rsid w:val="241E318F"/>
    <w:rsid w:val="244209E3"/>
    <w:rsid w:val="245F0F43"/>
    <w:rsid w:val="24814CBE"/>
    <w:rsid w:val="24AC168B"/>
    <w:rsid w:val="258C3BEC"/>
    <w:rsid w:val="260E3862"/>
    <w:rsid w:val="262569FC"/>
    <w:rsid w:val="26344C98"/>
    <w:rsid w:val="266D40AF"/>
    <w:rsid w:val="26F56CE2"/>
    <w:rsid w:val="272D6243"/>
    <w:rsid w:val="27435D49"/>
    <w:rsid w:val="27A34F71"/>
    <w:rsid w:val="27B36A67"/>
    <w:rsid w:val="27EB0D9B"/>
    <w:rsid w:val="283C0D8D"/>
    <w:rsid w:val="286602C8"/>
    <w:rsid w:val="28665C95"/>
    <w:rsid w:val="290B3EB9"/>
    <w:rsid w:val="291418C2"/>
    <w:rsid w:val="2950768C"/>
    <w:rsid w:val="295B22E8"/>
    <w:rsid w:val="296B05A3"/>
    <w:rsid w:val="297A5FC4"/>
    <w:rsid w:val="2A1113BC"/>
    <w:rsid w:val="2A8D4F8F"/>
    <w:rsid w:val="2A911082"/>
    <w:rsid w:val="2A917B34"/>
    <w:rsid w:val="2AD949D1"/>
    <w:rsid w:val="2AE3766F"/>
    <w:rsid w:val="2B7E4054"/>
    <w:rsid w:val="2BD81F0A"/>
    <w:rsid w:val="2BF22742"/>
    <w:rsid w:val="2C987C56"/>
    <w:rsid w:val="2CFF149A"/>
    <w:rsid w:val="2D201865"/>
    <w:rsid w:val="2D4B5CEA"/>
    <w:rsid w:val="2D652658"/>
    <w:rsid w:val="2DC80C49"/>
    <w:rsid w:val="2DCA6355"/>
    <w:rsid w:val="2DE46B7D"/>
    <w:rsid w:val="2DF0699F"/>
    <w:rsid w:val="2E166748"/>
    <w:rsid w:val="2E556F01"/>
    <w:rsid w:val="2E8E20B4"/>
    <w:rsid w:val="2ED06066"/>
    <w:rsid w:val="2ED1223D"/>
    <w:rsid w:val="2EE470F7"/>
    <w:rsid w:val="2EEE7431"/>
    <w:rsid w:val="2F000139"/>
    <w:rsid w:val="2F303D74"/>
    <w:rsid w:val="2F4326B0"/>
    <w:rsid w:val="2F561B8A"/>
    <w:rsid w:val="2F9F42DC"/>
    <w:rsid w:val="2FF37AB3"/>
    <w:rsid w:val="30823F5D"/>
    <w:rsid w:val="30925B88"/>
    <w:rsid w:val="30FF27D2"/>
    <w:rsid w:val="31170995"/>
    <w:rsid w:val="31264A30"/>
    <w:rsid w:val="316127C5"/>
    <w:rsid w:val="31884E67"/>
    <w:rsid w:val="31A0275E"/>
    <w:rsid w:val="31ED6B08"/>
    <w:rsid w:val="328464CE"/>
    <w:rsid w:val="328C66E2"/>
    <w:rsid w:val="32AB70C5"/>
    <w:rsid w:val="32DC33E0"/>
    <w:rsid w:val="335D0AF5"/>
    <w:rsid w:val="3370088C"/>
    <w:rsid w:val="33A3154A"/>
    <w:rsid w:val="33DC2F78"/>
    <w:rsid w:val="33EC5217"/>
    <w:rsid w:val="3428227C"/>
    <w:rsid w:val="35260F83"/>
    <w:rsid w:val="35602226"/>
    <w:rsid w:val="356B72E7"/>
    <w:rsid w:val="3572424F"/>
    <w:rsid w:val="35FC3844"/>
    <w:rsid w:val="36AD519D"/>
    <w:rsid w:val="36B57705"/>
    <w:rsid w:val="37895298"/>
    <w:rsid w:val="37A103ED"/>
    <w:rsid w:val="37EA5E6E"/>
    <w:rsid w:val="37FF016F"/>
    <w:rsid w:val="38427C0B"/>
    <w:rsid w:val="3869068D"/>
    <w:rsid w:val="387C5ABE"/>
    <w:rsid w:val="389B3A1E"/>
    <w:rsid w:val="38EB6119"/>
    <w:rsid w:val="39FE0BE9"/>
    <w:rsid w:val="3A3C1AAF"/>
    <w:rsid w:val="3A51228C"/>
    <w:rsid w:val="3A552E60"/>
    <w:rsid w:val="3A5D642F"/>
    <w:rsid w:val="3AB210FC"/>
    <w:rsid w:val="3AD95C13"/>
    <w:rsid w:val="3B261E51"/>
    <w:rsid w:val="3BCD72F7"/>
    <w:rsid w:val="3C323C11"/>
    <w:rsid w:val="3C414142"/>
    <w:rsid w:val="3CF737A2"/>
    <w:rsid w:val="3D10295A"/>
    <w:rsid w:val="3E0572FD"/>
    <w:rsid w:val="3E1A5292"/>
    <w:rsid w:val="3E5A7FE7"/>
    <w:rsid w:val="3EC8179E"/>
    <w:rsid w:val="3EF66B2E"/>
    <w:rsid w:val="3F217914"/>
    <w:rsid w:val="3F2D6CDF"/>
    <w:rsid w:val="3FD70BB0"/>
    <w:rsid w:val="3FFB55AC"/>
    <w:rsid w:val="401C5F9D"/>
    <w:rsid w:val="401C690C"/>
    <w:rsid w:val="401D7195"/>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567B40"/>
    <w:rsid w:val="479D1D34"/>
    <w:rsid w:val="47B609C0"/>
    <w:rsid w:val="482D31EA"/>
    <w:rsid w:val="485970A0"/>
    <w:rsid w:val="48A41906"/>
    <w:rsid w:val="48B65C71"/>
    <w:rsid w:val="48F303D7"/>
    <w:rsid w:val="492837FF"/>
    <w:rsid w:val="492E6A57"/>
    <w:rsid w:val="4A0030EE"/>
    <w:rsid w:val="4AC36065"/>
    <w:rsid w:val="4B3C1577"/>
    <w:rsid w:val="4B56715B"/>
    <w:rsid w:val="4B7501F5"/>
    <w:rsid w:val="4B8C2DEB"/>
    <w:rsid w:val="4BD311F0"/>
    <w:rsid w:val="4BFA3C9F"/>
    <w:rsid w:val="4C0E3379"/>
    <w:rsid w:val="4C107F48"/>
    <w:rsid w:val="4C3277BC"/>
    <w:rsid w:val="4CC25C70"/>
    <w:rsid w:val="4CC353EB"/>
    <w:rsid w:val="4CF36F3C"/>
    <w:rsid w:val="4D1906F1"/>
    <w:rsid w:val="4D1E146B"/>
    <w:rsid w:val="4D4F67BA"/>
    <w:rsid w:val="4D603399"/>
    <w:rsid w:val="4D867EE1"/>
    <w:rsid w:val="4DBC4C65"/>
    <w:rsid w:val="4DD03BE2"/>
    <w:rsid w:val="4DF6568D"/>
    <w:rsid w:val="4E381F57"/>
    <w:rsid w:val="4E550010"/>
    <w:rsid w:val="4E5F14CB"/>
    <w:rsid w:val="4F07189B"/>
    <w:rsid w:val="4F3705F8"/>
    <w:rsid w:val="4F535092"/>
    <w:rsid w:val="4FAC3540"/>
    <w:rsid w:val="4FBB12F4"/>
    <w:rsid w:val="4FCF1583"/>
    <w:rsid w:val="4FFA7625"/>
    <w:rsid w:val="501B0BF9"/>
    <w:rsid w:val="507D2599"/>
    <w:rsid w:val="5096229D"/>
    <w:rsid w:val="50DC4184"/>
    <w:rsid w:val="51475B39"/>
    <w:rsid w:val="514C3EA7"/>
    <w:rsid w:val="515D4679"/>
    <w:rsid w:val="519336F6"/>
    <w:rsid w:val="519849E5"/>
    <w:rsid w:val="51B36892"/>
    <w:rsid w:val="52506DA7"/>
    <w:rsid w:val="532106A7"/>
    <w:rsid w:val="533B2B84"/>
    <w:rsid w:val="5350798B"/>
    <w:rsid w:val="537A7243"/>
    <w:rsid w:val="539C1B81"/>
    <w:rsid w:val="53AC614D"/>
    <w:rsid w:val="53AE750F"/>
    <w:rsid w:val="53F263AD"/>
    <w:rsid w:val="5435526F"/>
    <w:rsid w:val="547173A9"/>
    <w:rsid w:val="549A6BFA"/>
    <w:rsid w:val="54E72921"/>
    <w:rsid w:val="550C3FED"/>
    <w:rsid w:val="55806F07"/>
    <w:rsid w:val="55FA2961"/>
    <w:rsid w:val="565E7F4F"/>
    <w:rsid w:val="56775789"/>
    <w:rsid w:val="56857D06"/>
    <w:rsid w:val="56914056"/>
    <w:rsid w:val="56DB613D"/>
    <w:rsid w:val="57FC2169"/>
    <w:rsid w:val="58096275"/>
    <w:rsid w:val="581C04F1"/>
    <w:rsid w:val="582E6EF7"/>
    <w:rsid w:val="58434392"/>
    <w:rsid w:val="584E30E6"/>
    <w:rsid w:val="58C47EAB"/>
    <w:rsid w:val="58F9507D"/>
    <w:rsid w:val="59014D02"/>
    <w:rsid w:val="59222444"/>
    <w:rsid w:val="5974007D"/>
    <w:rsid w:val="597B384D"/>
    <w:rsid w:val="59996DA8"/>
    <w:rsid w:val="59C30F1B"/>
    <w:rsid w:val="5A0D5854"/>
    <w:rsid w:val="5A20156F"/>
    <w:rsid w:val="5AC7121C"/>
    <w:rsid w:val="5AD90B8D"/>
    <w:rsid w:val="5AE12927"/>
    <w:rsid w:val="5AF404A8"/>
    <w:rsid w:val="5B2243E9"/>
    <w:rsid w:val="5B4E1A44"/>
    <w:rsid w:val="5B666742"/>
    <w:rsid w:val="5B873201"/>
    <w:rsid w:val="5B89551D"/>
    <w:rsid w:val="5B967767"/>
    <w:rsid w:val="5B9E55DE"/>
    <w:rsid w:val="5BB102B4"/>
    <w:rsid w:val="5C286807"/>
    <w:rsid w:val="5C446BC8"/>
    <w:rsid w:val="5C4C687B"/>
    <w:rsid w:val="5C7C2768"/>
    <w:rsid w:val="5CB23AE6"/>
    <w:rsid w:val="5CF55792"/>
    <w:rsid w:val="5CFD533A"/>
    <w:rsid w:val="5D103A34"/>
    <w:rsid w:val="5D893B14"/>
    <w:rsid w:val="5DA97135"/>
    <w:rsid w:val="5E2B7D62"/>
    <w:rsid w:val="5EA06921"/>
    <w:rsid w:val="5ED5006A"/>
    <w:rsid w:val="5EF66822"/>
    <w:rsid w:val="5F576E4B"/>
    <w:rsid w:val="5F7A2C30"/>
    <w:rsid w:val="5FBE370A"/>
    <w:rsid w:val="60292845"/>
    <w:rsid w:val="612E1A5D"/>
    <w:rsid w:val="61816046"/>
    <w:rsid w:val="62391564"/>
    <w:rsid w:val="62816669"/>
    <w:rsid w:val="62934D6F"/>
    <w:rsid w:val="62BA0953"/>
    <w:rsid w:val="62D03A7C"/>
    <w:rsid w:val="62F16BCB"/>
    <w:rsid w:val="62F648FE"/>
    <w:rsid w:val="63193441"/>
    <w:rsid w:val="63341DB1"/>
    <w:rsid w:val="63A10995"/>
    <w:rsid w:val="63C23EFA"/>
    <w:rsid w:val="63E727E5"/>
    <w:rsid w:val="63F520A2"/>
    <w:rsid w:val="643A070A"/>
    <w:rsid w:val="644C573D"/>
    <w:rsid w:val="648667A7"/>
    <w:rsid w:val="64DB383A"/>
    <w:rsid w:val="65032F85"/>
    <w:rsid w:val="65136B50"/>
    <w:rsid w:val="657E2A35"/>
    <w:rsid w:val="65A94E9D"/>
    <w:rsid w:val="65C60A92"/>
    <w:rsid w:val="65FC67D6"/>
    <w:rsid w:val="66165B7D"/>
    <w:rsid w:val="662203DD"/>
    <w:rsid w:val="66690856"/>
    <w:rsid w:val="66DD6702"/>
    <w:rsid w:val="67717763"/>
    <w:rsid w:val="679406CB"/>
    <w:rsid w:val="67C35C0B"/>
    <w:rsid w:val="67EE5681"/>
    <w:rsid w:val="6835707A"/>
    <w:rsid w:val="68652AB3"/>
    <w:rsid w:val="68AD17BB"/>
    <w:rsid w:val="68D94D22"/>
    <w:rsid w:val="692B2E4A"/>
    <w:rsid w:val="694303FB"/>
    <w:rsid w:val="696A0B34"/>
    <w:rsid w:val="698D6A17"/>
    <w:rsid w:val="69EE3535"/>
    <w:rsid w:val="69F954C1"/>
    <w:rsid w:val="6A1B53B3"/>
    <w:rsid w:val="6A2031B6"/>
    <w:rsid w:val="6A440C53"/>
    <w:rsid w:val="6AC61F6F"/>
    <w:rsid w:val="6ADE74F0"/>
    <w:rsid w:val="6B1002C0"/>
    <w:rsid w:val="6B723594"/>
    <w:rsid w:val="6B805156"/>
    <w:rsid w:val="6BD50977"/>
    <w:rsid w:val="6BEA2A9B"/>
    <w:rsid w:val="6C9C0875"/>
    <w:rsid w:val="6CAA3931"/>
    <w:rsid w:val="6CE16403"/>
    <w:rsid w:val="6D3933CA"/>
    <w:rsid w:val="6D7B4F14"/>
    <w:rsid w:val="6D7B61EC"/>
    <w:rsid w:val="6DD049FF"/>
    <w:rsid w:val="6E09491E"/>
    <w:rsid w:val="6E0D3655"/>
    <w:rsid w:val="6E5F4465"/>
    <w:rsid w:val="6E8C54DA"/>
    <w:rsid w:val="6EC07F0A"/>
    <w:rsid w:val="6EF11E03"/>
    <w:rsid w:val="6F111C62"/>
    <w:rsid w:val="6F2176E5"/>
    <w:rsid w:val="6F3053CA"/>
    <w:rsid w:val="6F592303"/>
    <w:rsid w:val="6F5F5B74"/>
    <w:rsid w:val="6F9B1C65"/>
    <w:rsid w:val="6FD47A25"/>
    <w:rsid w:val="6FFB146E"/>
    <w:rsid w:val="701A5C74"/>
    <w:rsid w:val="705D2716"/>
    <w:rsid w:val="706516C3"/>
    <w:rsid w:val="70896E68"/>
    <w:rsid w:val="708E3F52"/>
    <w:rsid w:val="715B60E9"/>
    <w:rsid w:val="718443C3"/>
    <w:rsid w:val="71EA1FED"/>
    <w:rsid w:val="72C16204"/>
    <w:rsid w:val="72E13547"/>
    <w:rsid w:val="730313F6"/>
    <w:rsid w:val="731E1007"/>
    <w:rsid w:val="73277D2D"/>
    <w:rsid w:val="73370D24"/>
    <w:rsid w:val="7359268C"/>
    <w:rsid w:val="739503EB"/>
    <w:rsid w:val="73A05B28"/>
    <w:rsid w:val="73C07D69"/>
    <w:rsid w:val="74B42AE4"/>
    <w:rsid w:val="750A429D"/>
    <w:rsid w:val="755D38A7"/>
    <w:rsid w:val="75614792"/>
    <w:rsid w:val="75784473"/>
    <w:rsid w:val="757E044C"/>
    <w:rsid w:val="75977BC3"/>
    <w:rsid w:val="75B161B3"/>
    <w:rsid w:val="75E470E3"/>
    <w:rsid w:val="763D7D49"/>
    <w:rsid w:val="76736B32"/>
    <w:rsid w:val="76904E06"/>
    <w:rsid w:val="76E3765E"/>
    <w:rsid w:val="76FC2AFA"/>
    <w:rsid w:val="77653671"/>
    <w:rsid w:val="778546CC"/>
    <w:rsid w:val="77B56730"/>
    <w:rsid w:val="77C04A8B"/>
    <w:rsid w:val="77D85DB3"/>
    <w:rsid w:val="780252A0"/>
    <w:rsid w:val="78027772"/>
    <w:rsid w:val="78640816"/>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0521AE"/>
    <w:rsid w:val="7C1724A5"/>
    <w:rsid w:val="7C223D0F"/>
    <w:rsid w:val="7C687F99"/>
    <w:rsid w:val="7C8E3CCF"/>
    <w:rsid w:val="7CA54112"/>
    <w:rsid w:val="7CE50CE4"/>
    <w:rsid w:val="7D0F54CC"/>
    <w:rsid w:val="7D2E5ABF"/>
    <w:rsid w:val="7E2142A2"/>
    <w:rsid w:val="7E4F5384"/>
    <w:rsid w:val="7E5A6DFA"/>
    <w:rsid w:val="7E624D62"/>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line="360" w:lineRule="auto"/>
      <w:outlineLvl w:val="2"/>
    </w:pPr>
    <w:rPr>
      <w:rFonts w:eastAsia="宋体"/>
      <w:b/>
      <w:bCs/>
      <w:sz w:val="24"/>
      <w:szCs w:val="32"/>
    </w:rPr>
  </w:style>
  <w:style w:type="paragraph" w:styleId="6">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eastAsia="宋体" w:cs="宋体"/>
      <w:sz w:val="24"/>
      <w:lang w:val="zh-CN" w:bidi="zh-CN"/>
    </w:rPr>
  </w:style>
  <w:style w:type="paragraph" w:styleId="3">
    <w:name w:val="Body Text First Indent"/>
    <w:basedOn w:val="2"/>
    <w:unhideWhenUsed/>
    <w:qFormat/>
    <w:uiPriority w:val="99"/>
    <w:pPr>
      <w:ind w:firstLine="420" w:firstLineChars="100"/>
    </w:pPr>
    <w:rPr>
      <w:rFonts w:ascii="Times New Roman" w:hAnsi="Times New Roman" w:cs="Times New Roman"/>
    </w:rPr>
  </w:style>
  <w:style w:type="paragraph" w:styleId="7">
    <w:name w:val="Normal Indent"/>
    <w:basedOn w:val="1"/>
    <w:qFormat/>
    <w:uiPriority w:val="0"/>
    <w:pPr>
      <w:ind w:firstLine="420" w:firstLineChars="200"/>
    </w:pPr>
    <w:rPr>
      <w:rFonts w:asciiTheme="minorHAnsi" w:hAnsiTheme="minorHAnsi"/>
      <w:szCs w:val="24"/>
    </w:rPr>
  </w:style>
  <w:style w:type="paragraph" w:styleId="8">
    <w:name w:val="annotation text"/>
    <w:basedOn w:val="1"/>
    <w:semiHidden/>
    <w:unhideWhenUsed/>
    <w:qFormat/>
    <w:uiPriority w:val="99"/>
  </w:style>
  <w:style w:type="paragraph" w:styleId="9">
    <w:name w:val="toc 3"/>
    <w:basedOn w:val="1"/>
    <w:next w:val="1"/>
    <w:unhideWhenUsed/>
    <w:qFormat/>
    <w:uiPriority w:val="39"/>
    <w:pPr>
      <w:tabs>
        <w:tab w:val="right" w:leader="dot" w:pos="8296"/>
      </w:tabs>
      <w:ind w:left="838" w:leftChars="381"/>
    </w:pPr>
    <w:rPr>
      <w:sz w:val="21"/>
      <w:szCs w:val="21"/>
    </w:rPr>
  </w:style>
  <w:style w:type="paragraph" w:styleId="10">
    <w:name w:val="Plain Text"/>
    <w:basedOn w:val="1"/>
    <w:link w:val="40"/>
    <w:qFormat/>
    <w:uiPriority w:val="0"/>
    <w:pPr>
      <w:widowControl w:val="0"/>
      <w:adjustRightInd/>
      <w:snapToGrid/>
      <w:spacing w:after="0"/>
      <w:jc w:val="both"/>
    </w:pPr>
    <w:rPr>
      <w:rFonts w:ascii="宋体" w:hAnsi="Courier New" w:eastAsia="宋体" w:cs="Times New Roman"/>
      <w:b/>
      <w:kern w:val="2"/>
      <w:sz w:val="21"/>
      <w:szCs w:val="20"/>
    </w:rPr>
  </w:style>
  <w:style w:type="paragraph" w:styleId="11">
    <w:name w:val="Balloon Text"/>
    <w:basedOn w:val="1"/>
    <w:link w:val="43"/>
    <w:semiHidden/>
    <w:unhideWhenUsed/>
    <w:qFormat/>
    <w:uiPriority w:val="99"/>
    <w:pPr>
      <w:spacing w:after="0"/>
    </w:pPr>
    <w:rPr>
      <w:sz w:val="18"/>
      <w:szCs w:val="18"/>
    </w:rPr>
  </w:style>
  <w:style w:type="paragraph" w:styleId="12">
    <w:name w:val="footer"/>
    <w:basedOn w:val="1"/>
    <w:link w:val="42"/>
    <w:unhideWhenUsed/>
    <w:qFormat/>
    <w:uiPriority w:val="99"/>
    <w:pPr>
      <w:tabs>
        <w:tab w:val="center" w:pos="4153"/>
        <w:tab w:val="right" w:pos="8306"/>
      </w:tabs>
    </w:pPr>
    <w:rPr>
      <w:sz w:val="18"/>
      <w:szCs w:val="18"/>
    </w:rPr>
  </w:style>
  <w:style w:type="paragraph" w:styleId="13">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semiHidden/>
    <w:unhideWhenUsed/>
    <w:qFormat/>
    <w:uiPriority w:val="39"/>
  </w:style>
  <w:style w:type="paragraph" w:styleId="15">
    <w:name w:val="toc 4"/>
    <w:basedOn w:val="1"/>
    <w:next w:val="1"/>
    <w:unhideWhenUsed/>
    <w:qFormat/>
    <w:uiPriority w:val="39"/>
    <w:pPr>
      <w:tabs>
        <w:tab w:val="right" w:leader="dot" w:pos="8296"/>
      </w:tabs>
      <w:spacing w:after="120"/>
      <w:ind w:left="1320" w:leftChars="600"/>
    </w:pPr>
  </w:style>
  <w:style w:type="paragraph" w:styleId="16">
    <w:name w:val="footnote text"/>
    <w:basedOn w:val="1"/>
    <w:semiHidden/>
    <w:unhideWhenUsed/>
    <w:qFormat/>
    <w:uiPriority w:val="99"/>
    <w:rPr>
      <w:sz w:val="18"/>
    </w:rPr>
  </w:style>
  <w:style w:type="paragraph" w:styleId="17">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8">
    <w:name w:val="Normal (Web)"/>
    <w:basedOn w:val="1"/>
    <w:link w:val="45"/>
    <w:qFormat/>
    <w:uiPriority w:val="0"/>
    <w:pPr>
      <w:widowControl w:val="0"/>
      <w:adjustRightInd/>
      <w:snapToGrid/>
      <w:spacing w:after="0"/>
      <w:jc w:val="both"/>
    </w:pPr>
    <w:rPr>
      <w:rFonts w:eastAsia="宋体" w:asciiTheme="minorHAnsi" w:hAnsiTheme="minorHAnsi"/>
      <w:kern w:val="2"/>
      <w:sz w:val="24"/>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2 Char"/>
    <w:basedOn w:val="21"/>
    <w:link w:val="4"/>
    <w:qFormat/>
    <w:uiPriority w:val="9"/>
    <w:rPr>
      <w:rFonts w:asciiTheme="majorHAnsi" w:hAnsiTheme="majorHAnsi" w:eastAsiaTheme="majorEastAsia" w:cstheme="majorBidi"/>
      <w:b/>
      <w:bCs/>
      <w:sz w:val="32"/>
      <w:szCs w:val="32"/>
    </w:rPr>
  </w:style>
  <w:style w:type="character" w:customStyle="1" w:styleId="27">
    <w:name w:val="标题 3 Char"/>
    <w:basedOn w:val="21"/>
    <w:link w:val="5"/>
    <w:qFormat/>
    <w:uiPriority w:val="9"/>
    <w:rPr>
      <w:rFonts w:ascii="Tahoma" w:hAnsi="Tahoma" w:eastAsia="宋体"/>
      <w:b/>
      <w:bCs/>
      <w:sz w:val="24"/>
      <w:szCs w:val="32"/>
    </w:rPr>
  </w:style>
  <w:style w:type="paragraph" w:styleId="28">
    <w:name w:val="List Paragraph"/>
    <w:basedOn w:val="1"/>
    <w:qFormat/>
    <w:uiPriority w:val="34"/>
    <w:pPr>
      <w:ind w:firstLine="420" w:firstLineChars="200"/>
    </w:pPr>
  </w:style>
  <w:style w:type="character" w:customStyle="1" w:styleId="29">
    <w:name w:val="标题 4 Char"/>
    <w:basedOn w:val="21"/>
    <w:link w:val="6"/>
    <w:qFormat/>
    <w:uiPriority w:val="9"/>
    <w:rPr>
      <w:rFonts w:asciiTheme="majorHAnsi" w:hAnsiTheme="majorHAnsi" w:eastAsiaTheme="majorEastAsia" w:cstheme="majorBidi"/>
      <w:b/>
      <w:bCs/>
      <w:sz w:val="28"/>
      <w:szCs w:val="28"/>
    </w:rPr>
  </w:style>
  <w:style w:type="character" w:customStyle="1" w:styleId="30">
    <w:name w:val="正文缩进2格 Char"/>
    <w:link w:val="31"/>
    <w:qFormat/>
    <w:uiPriority w:val="0"/>
    <w:rPr>
      <w:rFonts w:ascii="仿宋_GB2312" w:hAnsi="宋体" w:eastAsia="仿宋_GB2312"/>
      <w:kern w:val="2"/>
      <w:sz w:val="31"/>
    </w:rPr>
  </w:style>
  <w:style w:type="paragraph" w:customStyle="1" w:styleId="31">
    <w:name w:val="正文缩进2格"/>
    <w:basedOn w:val="1"/>
    <w:link w:val="30"/>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2">
    <w:name w:val="正文缩进4格"/>
    <w:basedOn w:val="31"/>
    <w:qFormat/>
    <w:uiPriority w:val="0"/>
    <w:pPr>
      <w:ind w:left="2" w:firstLine="538" w:firstLineChars="192"/>
    </w:pPr>
    <w:rPr>
      <w:color w:val="0000FF"/>
      <w:sz w:val="28"/>
    </w:rPr>
  </w:style>
  <w:style w:type="character" w:customStyle="1" w:styleId="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5">
    <w:name w:val="标题1"/>
    <w:qFormat/>
    <w:uiPriority w:val="0"/>
    <w:rPr>
      <w:rFonts w:ascii="Times New Roman" w:hAnsi="Times New Roman" w:eastAsia="宋体" w:cs="Times New Roman"/>
      <w:b/>
      <w:kern w:val="0"/>
      <w:sz w:val="24"/>
      <w:szCs w:val="20"/>
      <w:lang w:eastAsia="en-US"/>
    </w:rPr>
  </w:style>
  <w:style w:type="character" w:customStyle="1" w:styleId="36">
    <w:name w:val="标题 3.1 Char"/>
    <w:link w:val="37"/>
    <w:qFormat/>
    <w:uiPriority w:val="0"/>
    <w:rPr>
      <w:rFonts w:ascii="宋体" w:hAnsi="宋体" w:eastAsia="宋体"/>
      <w:b/>
      <w:color w:val="FF0000"/>
      <w:kern w:val="2"/>
      <w:sz w:val="32"/>
    </w:rPr>
  </w:style>
  <w:style w:type="paragraph" w:customStyle="1" w:styleId="37">
    <w:name w:val="标题 3.1"/>
    <w:basedOn w:val="5"/>
    <w:link w:val="36"/>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38">
    <w:name w:val="样式 楷体_GB2312 小四"/>
    <w:qFormat/>
    <w:uiPriority w:val="0"/>
    <w:rPr>
      <w:rFonts w:ascii="楷体_GB2312" w:hAnsi="楷体_GB2312" w:eastAsia="仿宋_GB2312"/>
      <w:sz w:val="24"/>
    </w:rPr>
  </w:style>
  <w:style w:type="character" w:customStyle="1" w:styleId="39">
    <w:name w:val="纯文本 Char"/>
    <w:qFormat/>
    <w:uiPriority w:val="0"/>
    <w:rPr>
      <w:rFonts w:ascii="宋体" w:hAnsi="Courier New" w:eastAsia="宋体" w:cs="Times New Roman"/>
      <w:b/>
      <w:kern w:val="2"/>
      <w:sz w:val="21"/>
      <w:szCs w:val="20"/>
    </w:rPr>
  </w:style>
  <w:style w:type="character" w:customStyle="1" w:styleId="40">
    <w:name w:val="纯文本 Char1"/>
    <w:basedOn w:val="21"/>
    <w:link w:val="10"/>
    <w:semiHidden/>
    <w:qFormat/>
    <w:uiPriority w:val="99"/>
    <w:rPr>
      <w:rFonts w:ascii="宋体" w:hAnsi="Courier New" w:eastAsia="宋体" w:cs="Courier New"/>
      <w:sz w:val="21"/>
      <w:szCs w:val="21"/>
    </w:rPr>
  </w:style>
  <w:style w:type="character" w:customStyle="1" w:styleId="41">
    <w:name w:val="页眉 Char"/>
    <w:basedOn w:val="21"/>
    <w:link w:val="13"/>
    <w:qFormat/>
    <w:uiPriority w:val="99"/>
    <w:rPr>
      <w:rFonts w:ascii="Tahoma" w:hAnsi="Tahoma"/>
      <w:sz w:val="18"/>
      <w:szCs w:val="18"/>
    </w:rPr>
  </w:style>
  <w:style w:type="character" w:customStyle="1" w:styleId="42">
    <w:name w:val="页脚 Char"/>
    <w:basedOn w:val="21"/>
    <w:link w:val="12"/>
    <w:qFormat/>
    <w:uiPriority w:val="99"/>
    <w:rPr>
      <w:rFonts w:ascii="Tahoma" w:hAnsi="Tahoma"/>
      <w:sz w:val="18"/>
      <w:szCs w:val="18"/>
    </w:rPr>
  </w:style>
  <w:style w:type="character" w:customStyle="1" w:styleId="43">
    <w:name w:val="批注框文本 Char"/>
    <w:basedOn w:val="21"/>
    <w:link w:val="11"/>
    <w:semiHidden/>
    <w:qFormat/>
    <w:uiPriority w:val="99"/>
    <w:rPr>
      <w:rFonts w:ascii="Tahoma" w:hAnsi="Tahoma"/>
      <w:sz w:val="18"/>
      <w:szCs w:val="18"/>
    </w:rPr>
  </w:style>
  <w:style w:type="paragraph" w:customStyle="1" w:styleId="44">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5">
    <w:name w:val="普通(网站) Char"/>
    <w:link w:val="18"/>
    <w:qFormat/>
    <w:uiPriority w:val="0"/>
    <w:rPr>
      <w:rFonts w:eastAsia="宋体"/>
      <w:kern w:val="2"/>
      <w:sz w:val="24"/>
      <w:szCs w:val="24"/>
    </w:rPr>
  </w:style>
  <w:style w:type="paragraph" w:customStyle="1" w:styleId="46">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7">
    <w:name w:val="p141"/>
    <w:qFormat/>
    <w:uiPriority w:val="0"/>
    <w:rPr>
      <w:sz w:val="21"/>
      <w:szCs w:val="21"/>
    </w:rPr>
  </w:style>
  <w:style w:type="paragraph" w:customStyle="1" w:styleId="48">
    <w:name w:val="ncgp标题2"/>
    <w:qFormat/>
    <w:uiPriority w:val="99"/>
    <w:pPr>
      <w:widowControl w:val="0"/>
      <w:numPr>
        <w:ilvl w:val="1"/>
        <w:numId w:val="1"/>
      </w:numPr>
      <w:spacing w:beforeLines="50"/>
      <w:jc w:val="both"/>
      <w:outlineLvl w:val="1"/>
    </w:pPr>
    <w:rPr>
      <w:rFonts w:ascii="Times New Roman" w:hAnsi="Times New Roman" w:eastAsia="宋体" w:cs="Times New Roman"/>
      <w:b/>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51F6C7-4A4C-4B29-9E62-8F1CAB44186D}">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1</Pages>
  <Words>7873</Words>
  <Characters>44881</Characters>
  <Lines>374</Lines>
  <Paragraphs>105</Paragraphs>
  <TotalTime>0</TotalTime>
  <ScaleCrop>false</ScaleCrop>
  <LinksUpToDate>false</LinksUpToDate>
  <CharactersWithSpaces>52649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2021-03-23T00:35:00Z</dcterms:created>
  <dc:creator>广东三方诚信招标有限公司东莞分公司</dc:creator>
  <cp:keywords>文件格式版本</cp:keywords>
  <cp:lastModifiedBy>嗨呀</cp:lastModifiedBy>
  <cp:lastPrinted>2021-04-12T07:52:00Z</cp:lastPrinted>
  <dcterms:modified xsi:type="dcterms:W3CDTF">2021-04-19T02:35:52Z</dcterms:modified>
  <dc:subject>公开招标文件版本</dc:subject>
  <dc:title>公开招标文件版本</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41D73E9FEBFA4287A7AF0E3EEA291827</vt:lpwstr>
  </property>
</Properties>
</file>