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highlight w:val="none"/>
        </w:rPr>
      </w:pPr>
      <w:r>
        <w:rPr>
          <w:rFonts w:hint="eastAsia" w:ascii="黑体" w:eastAsia="黑体"/>
          <w:color w:val="auto"/>
          <w:szCs w:val="21"/>
          <w:highlight w:val="none"/>
        </w:rPr>
        <w:drawing>
          <wp:inline distT="0" distB="0" distL="114300" distR="114300">
            <wp:extent cx="682625" cy="652145"/>
            <wp:effectExtent l="0" t="0" r="3175" b="14605"/>
            <wp:docPr id="9" name="图片 9" descr="QQ截图2020060316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603163454"/>
                    <pic:cNvPicPr>
                      <a:picLocks noChangeAspect="1"/>
                    </pic:cNvPicPr>
                  </pic:nvPicPr>
                  <pic:blipFill>
                    <a:blip r:embed="rId8"/>
                    <a:srcRect l="6233" t="18358" r="67326" b="19339"/>
                    <a:stretch>
                      <a:fillRect/>
                    </a:stretch>
                  </pic:blipFill>
                  <pic:spPr>
                    <a:xfrm>
                      <a:off x="0" y="0"/>
                      <a:ext cx="682625" cy="652145"/>
                    </a:xfrm>
                    <a:prstGeom prst="rect">
                      <a:avLst/>
                    </a:prstGeom>
                  </pic:spPr>
                </pic:pic>
              </a:graphicData>
            </a:graphic>
          </wp:inline>
        </w:drawing>
      </w:r>
    </w:p>
    <w:p>
      <w:pPr>
        <w:jc w:val="right"/>
        <w:rPr>
          <w:rFonts w:eastAsia="黑体"/>
          <w:b/>
          <w:color w:val="auto"/>
          <w:sz w:val="36"/>
          <w:highlight w:val="none"/>
        </w:rPr>
      </w:pPr>
    </w:p>
    <w:p>
      <w:pPr>
        <w:rPr>
          <w:color w:val="auto"/>
          <w:highlight w:val="none"/>
        </w:rPr>
      </w:pPr>
    </w:p>
    <w:p>
      <w:pPr>
        <w:rPr>
          <w:color w:val="auto"/>
          <w:highlight w:val="none"/>
        </w:rPr>
      </w:pPr>
    </w:p>
    <w:p>
      <w:pPr>
        <w:rPr>
          <w:color w:val="auto"/>
          <w:highlight w:val="none"/>
        </w:rPr>
      </w:pPr>
    </w:p>
    <w:p>
      <w:pPr>
        <w:spacing w:after="0"/>
        <w:ind w:right="-28"/>
        <w:jc w:val="center"/>
        <w:textAlignment w:val="bottom"/>
        <w:rPr>
          <w:rFonts w:ascii="黑体" w:hAnsi="黑体" w:eastAsia="黑体" w:cs="黑体"/>
          <w:bCs/>
          <w:color w:val="auto"/>
          <w:spacing w:val="57"/>
          <w:sz w:val="72"/>
          <w:szCs w:val="72"/>
          <w:highlight w:val="none"/>
        </w:rPr>
      </w:pPr>
      <w:r>
        <w:rPr>
          <w:rFonts w:hint="eastAsia" w:ascii="黑体" w:hAnsi="黑体" w:eastAsia="黑体" w:cs="黑体"/>
          <w:bCs/>
          <w:color w:val="auto"/>
          <w:spacing w:val="57"/>
          <w:sz w:val="72"/>
          <w:szCs w:val="72"/>
          <w:highlight w:val="none"/>
        </w:rPr>
        <w:t>公开招标文件</w:t>
      </w:r>
    </w:p>
    <w:p>
      <w:pPr>
        <w:jc w:val="center"/>
        <w:rPr>
          <w:rFonts w:ascii="黑体" w:hAnsi="黑体" w:eastAsia="黑体" w:cs="黑体"/>
          <w:color w:val="auto"/>
          <w:highlight w:val="none"/>
        </w:rPr>
      </w:pPr>
      <w:r>
        <w:rPr>
          <w:rFonts w:hint="eastAsia" w:ascii="黑体" w:hAnsi="黑体" w:eastAsia="黑体" w:cs="黑体"/>
          <w:bCs/>
          <w:color w:val="auto"/>
          <w:spacing w:val="57"/>
          <w:sz w:val="72"/>
          <w:szCs w:val="72"/>
          <w:highlight w:val="none"/>
        </w:rPr>
        <w:t>东莞市政府采购</w:t>
      </w:r>
    </w:p>
    <w:p>
      <w:pPr>
        <w:jc w:val="center"/>
        <w:rPr>
          <w:color w:val="auto"/>
          <w:highlight w:val="none"/>
        </w:rPr>
      </w:pPr>
    </w:p>
    <w:p>
      <w:pPr>
        <w:rPr>
          <w:color w:val="auto"/>
          <w:highlight w:val="none"/>
        </w:rPr>
      </w:pPr>
    </w:p>
    <w:tbl>
      <w:tblPr>
        <w:tblStyle w:val="25"/>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项目名称：</w:t>
            </w:r>
          </w:p>
        </w:tc>
        <w:tc>
          <w:tcPr>
            <w:tcW w:w="6203" w:type="dxa"/>
            <w:noWrap/>
            <w:vAlign w:val="center"/>
          </w:tcPr>
          <w:p>
            <w:pPr>
              <w:spacing w:before="200"/>
              <w:jc w:val="both"/>
              <w:rPr>
                <w:rFonts w:hint="eastAsia" w:ascii="黑体" w:hAnsi="黑体" w:eastAsia="黑体" w:cs="黑体"/>
                <w:bCs/>
                <w:color w:val="auto"/>
                <w:sz w:val="32"/>
                <w:szCs w:val="24"/>
                <w:highlight w:val="none"/>
                <w:lang w:eastAsia="zh-CN"/>
              </w:rPr>
            </w:pPr>
            <w:r>
              <w:rPr>
                <w:rFonts w:hint="eastAsia" w:ascii="黑体" w:hAnsi="黑体" w:eastAsia="黑体" w:cs="黑体"/>
                <w:bCs/>
                <w:color w:val="auto"/>
                <w:kern w:val="2"/>
                <w:sz w:val="32"/>
                <w:szCs w:val="24"/>
                <w:highlight w:val="none"/>
                <w:lang w:eastAsia="zh-CN"/>
              </w:rPr>
              <w:t>东莞滨海湾新区交椅湾智慧道路(二期）软件采购项目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项目采购编号：</w:t>
            </w:r>
          </w:p>
        </w:tc>
        <w:tc>
          <w:tcPr>
            <w:tcW w:w="6203" w:type="dxa"/>
            <w:noWrap/>
            <w:vAlign w:val="center"/>
          </w:tcPr>
          <w:p>
            <w:pPr>
              <w:spacing w:before="200"/>
              <w:jc w:val="both"/>
              <w:rPr>
                <w:rFonts w:ascii="黑体" w:hAnsi="黑体" w:eastAsia="黑体" w:cs="黑体"/>
                <w:bCs/>
                <w:color w:val="auto"/>
                <w:sz w:val="32"/>
                <w:szCs w:val="24"/>
                <w:highlight w:val="none"/>
              </w:rPr>
            </w:pPr>
            <w:r>
              <w:rPr>
                <w:rFonts w:ascii="黑体" w:hAnsi="黑体" w:eastAsia="黑体" w:cs="黑体"/>
                <w:bCs/>
                <w:color w:val="auto"/>
                <w:sz w:val="32"/>
                <w:szCs w:val="24"/>
                <w:highlight w:val="none"/>
              </w:rPr>
              <w:t>441900011-2021-00038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ign w:val="center"/>
          </w:tcPr>
          <w:p>
            <w:pPr>
              <w:spacing w:before="200"/>
              <w:jc w:val="both"/>
              <w:rPr>
                <w:rFonts w:ascii="黑体" w:hAnsi="黑体" w:eastAsia="黑体" w:cs="黑体"/>
                <w:bCs/>
                <w:color w:val="auto"/>
                <w:sz w:val="32"/>
                <w:szCs w:val="24"/>
                <w:highlight w:val="none"/>
              </w:rPr>
            </w:pPr>
            <w:r>
              <w:rPr>
                <w:rFonts w:hint="eastAsia" w:ascii="黑体" w:hAnsi="黑体" w:eastAsia="黑体" w:cs="黑体"/>
                <w:bCs/>
                <w:color w:val="auto"/>
                <w:sz w:val="32"/>
                <w:szCs w:val="24"/>
                <w:highlight w:val="none"/>
              </w:rPr>
              <w:t>采购人：</w:t>
            </w:r>
          </w:p>
        </w:tc>
        <w:tc>
          <w:tcPr>
            <w:tcW w:w="6203" w:type="dxa"/>
            <w:noWrap/>
            <w:vAlign w:val="center"/>
          </w:tcPr>
          <w:p>
            <w:pPr>
              <w:spacing w:before="200"/>
              <w:jc w:val="both"/>
              <w:rPr>
                <w:rFonts w:ascii="黑体" w:hAnsi="黑体" w:eastAsia="黑体" w:cs="黑体"/>
                <w:bCs/>
                <w:color w:val="auto"/>
                <w:sz w:val="32"/>
                <w:szCs w:val="24"/>
                <w:highlight w:val="none"/>
              </w:rPr>
            </w:pPr>
            <w:r>
              <w:rPr>
                <w:rFonts w:hint="eastAsia" w:ascii="Arial" w:hAnsi="Arial" w:eastAsia="黑体" w:cs="Arial"/>
                <w:bCs/>
                <w:color w:val="auto"/>
                <w:kern w:val="2"/>
                <w:sz w:val="32"/>
                <w:szCs w:val="24"/>
                <w:highlight w:val="none"/>
              </w:rPr>
              <w:t>东莞滨海湾新区管理委员会</w:t>
            </w:r>
          </w:p>
        </w:tc>
      </w:tr>
    </w:tbl>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jc w:val="center"/>
        <w:rPr>
          <w:rFonts w:ascii="黑体" w:eastAsia="黑体"/>
          <w:color w:val="auto"/>
          <w:szCs w:val="21"/>
          <w:highlight w:val="none"/>
        </w:rPr>
      </w:pPr>
    </w:p>
    <w:p>
      <w:pPr>
        <w:pStyle w:val="22"/>
        <w:rPr>
          <w:color w:val="auto"/>
          <w:sz w:val="32"/>
          <w:szCs w:val="32"/>
          <w:highlight w:val="none"/>
        </w:rPr>
        <w:sectPr>
          <w:headerReference r:id="rId4" w:type="default"/>
          <w:pgSz w:w="11906" w:h="16838"/>
          <w:pgMar w:top="1440" w:right="1800" w:bottom="1440" w:left="1800" w:header="708" w:footer="708" w:gutter="0"/>
          <w:pgNumType w:start="0"/>
          <w:cols w:space="708" w:num="1"/>
          <w:titlePg/>
          <w:docGrid w:type="lines" w:linePitch="360" w:charSpace="0"/>
        </w:sectPr>
      </w:pPr>
      <w:r>
        <w:rPr>
          <w:rFonts w:hint="eastAsia" w:ascii="黑体" w:eastAsia="黑体"/>
          <w:color w:val="auto"/>
          <w:szCs w:val="21"/>
          <w:highlight w:val="none"/>
        </w:rPr>
        <w:drawing>
          <wp:inline distT="0" distB="0" distL="114300" distR="114300">
            <wp:extent cx="3716020" cy="633730"/>
            <wp:effectExtent l="0" t="0" r="17780" b="13970"/>
            <wp:docPr id="14" name="图片 14" descr="QQ截图20200603163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QQ截图20200603163515"/>
                    <pic:cNvPicPr>
                      <a:picLocks noChangeAspect="1"/>
                    </pic:cNvPicPr>
                  </pic:nvPicPr>
                  <pic:blipFill>
                    <a:blip r:embed="rId9"/>
                    <a:srcRect l="6033" t="52170" r="5754" b="9299"/>
                    <a:stretch>
                      <a:fillRect/>
                    </a:stretch>
                  </pic:blipFill>
                  <pic:spPr>
                    <a:xfrm>
                      <a:off x="0" y="0"/>
                      <a:ext cx="3716020" cy="633730"/>
                    </a:xfrm>
                    <a:prstGeom prst="rect">
                      <a:avLst/>
                    </a:prstGeom>
                  </pic:spPr>
                </pic:pic>
              </a:graphicData>
            </a:graphic>
          </wp:inline>
        </w:drawing>
      </w:r>
    </w:p>
    <w:p>
      <w:pPr>
        <w:pStyle w:val="22"/>
        <w:rPr>
          <w:color w:val="auto"/>
          <w:sz w:val="40"/>
          <w:szCs w:val="40"/>
          <w:highlight w:val="none"/>
        </w:rPr>
      </w:pPr>
      <w:r>
        <w:rPr>
          <w:rFonts w:hint="eastAsia"/>
          <w:color w:val="auto"/>
          <w:sz w:val="40"/>
          <w:szCs w:val="40"/>
          <w:highlight w:val="none"/>
        </w:rPr>
        <w:t>目录</w:t>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TOC \o "1-4" \h \z \u </w:instrText>
      </w:r>
      <w:r>
        <w:rPr>
          <w:rFonts w:hint="eastAsia" w:ascii="宋体" w:hAns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"_Toc1420" </w:instrText>
      </w:r>
      <w:r>
        <w:rPr>
          <w:color w:val="auto"/>
          <w:highlight w:val="none"/>
        </w:rPr>
        <w:fldChar w:fldCharType="separate"/>
      </w:r>
      <w:r>
        <w:rPr>
          <w:rFonts w:hint="eastAsia" w:ascii="宋体" w:hAnsi="宋体" w:eastAsia="宋体" w:cs="宋体"/>
          <w:color w:val="auto"/>
          <w:highlight w:val="none"/>
        </w:rPr>
        <w:t>投标邀请书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_Toc1420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cs="宋体"/>
          <w:color w:val="auto"/>
          <w:sz w:val="21"/>
          <w:szCs w:val="21"/>
          <w:highlight w:val="none"/>
        </w:rPr>
        <w:t>第二部分 相关资料表格</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_Toc14146 </w:instrText>
      </w:r>
      <w:r>
        <w:rPr>
          <w:rFonts w:hint="eastAsia" w:cs="宋体"/>
          <w:color w:val="auto"/>
          <w:sz w:val="21"/>
          <w:szCs w:val="21"/>
          <w:highlight w:val="none"/>
        </w:rPr>
        <w:fldChar w:fldCharType="separate"/>
      </w:r>
      <w:r>
        <w:rPr>
          <w:rFonts w:hint="eastAsia" w:cs="宋体"/>
          <w:color w:val="auto"/>
          <w:sz w:val="21"/>
          <w:szCs w:val="21"/>
          <w:highlight w:val="none"/>
        </w:rPr>
        <w:t>7</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"_Toc20683" </w:instrText>
      </w:r>
      <w:r>
        <w:rPr>
          <w:color w:val="auto"/>
          <w:highlight w:val="none"/>
        </w:rPr>
        <w:fldChar w:fldCharType="separate"/>
      </w:r>
      <w:r>
        <w:rPr>
          <w:rFonts w:hint="eastAsia" w:ascii="宋体" w:hAnsi="宋体" w:eastAsia="宋体" w:cs="宋体"/>
          <w:color w:val="auto"/>
          <w:highlight w:val="none"/>
        </w:rPr>
        <w:t>附表一：投标资料表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_Toc20683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"_Toc9572" </w:instrText>
      </w:r>
      <w:r>
        <w:rPr>
          <w:color w:val="auto"/>
          <w:highlight w:val="none"/>
        </w:rPr>
        <w:fldChar w:fldCharType="separate"/>
      </w:r>
      <w:r>
        <w:rPr>
          <w:rFonts w:hint="eastAsia" w:ascii="宋体" w:hAnsi="宋体" w:eastAsia="宋体" w:cs="宋体"/>
          <w:color w:val="auto"/>
          <w:highlight w:val="none"/>
        </w:rPr>
        <w:t>附表二：商务技术评分及价格权重表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_Toc9572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"_Toc31854" </w:instrText>
      </w:r>
      <w:r>
        <w:rPr>
          <w:color w:val="auto"/>
          <w:highlight w:val="none"/>
        </w:rPr>
        <w:fldChar w:fldCharType="separate"/>
      </w:r>
      <w:r>
        <w:rPr>
          <w:rFonts w:hint="eastAsia" w:cs="宋体"/>
          <w:color w:val="auto"/>
          <w:sz w:val="21"/>
          <w:szCs w:val="21"/>
          <w:highlight w:val="none"/>
        </w:rPr>
        <w:t>第三部分 用户需求书</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_Toc31854 </w:instrText>
      </w:r>
      <w:r>
        <w:rPr>
          <w:rFonts w:hint="eastAsia" w:cs="宋体"/>
          <w:color w:val="auto"/>
          <w:sz w:val="21"/>
          <w:szCs w:val="21"/>
          <w:highlight w:val="none"/>
        </w:rPr>
        <w:fldChar w:fldCharType="separate"/>
      </w:r>
      <w:r>
        <w:rPr>
          <w:rFonts w:hint="eastAsia" w:cs="宋体"/>
          <w:color w:val="auto"/>
          <w:sz w:val="21"/>
          <w:szCs w:val="21"/>
          <w:highlight w:val="none"/>
        </w:rPr>
        <w:t>14</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"_Toc3968" </w:instrText>
      </w:r>
      <w:r>
        <w:rPr>
          <w:color w:val="auto"/>
          <w:highlight w:val="none"/>
        </w:rPr>
        <w:fldChar w:fldCharType="separate"/>
      </w:r>
      <w:r>
        <w:rPr>
          <w:rFonts w:hint="eastAsia" w:ascii="宋体" w:hAnsi="宋体" w:eastAsia="宋体" w:cs="宋体"/>
          <w:color w:val="auto"/>
          <w:highlight w:val="none"/>
        </w:rPr>
        <w:t>用户需求明细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_Toc3968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14</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"_Toc2479" </w:instrText>
      </w:r>
      <w:r>
        <w:rPr>
          <w:color w:val="auto"/>
          <w:highlight w:val="none"/>
        </w:rPr>
        <w:fldChar w:fldCharType="separate"/>
      </w:r>
      <w:r>
        <w:rPr>
          <w:rFonts w:hint="eastAsia" w:cs="宋体"/>
          <w:color w:val="auto"/>
          <w:sz w:val="21"/>
          <w:szCs w:val="21"/>
          <w:highlight w:val="none"/>
        </w:rPr>
        <w:t>第四部分 投标人须知</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_Toc2479 </w:instrText>
      </w:r>
      <w:r>
        <w:rPr>
          <w:rFonts w:hint="eastAsia" w:cs="宋体"/>
          <w:color w:val="auto"/>
          <w:sz w:val="21"/>
          <w:szCs w:val="21"/>
          <w:highlight w:val="none"/>
        </w:rPr>
        <w:fldChar w:fldCharType="separate"/>
      </w:r>
      <w:r>
        <w:rPr>
          <w:rFonts w:hint="eastAsia" w:cs="宋体"/>
          <w:color w:val="auto"/>
          <w:sz w:val="21"/>
          <w:szCs w:val="21"/>
          <w:highlight w:val="none"/>
        </w:rPr>
        <w:t>36</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"_Toc19746" </w:instrText>
      </w:r>
      <w:r>
        <w:rPr>
          <w:color w:val="auto"/>
          <w:highlight w:val="none"/>
        </w:rPr>
        <w:fldChar w:fldCharType="separate"/>
      </w:r>
      <w:r>
        <w:rPr>
          <w:rFonts w:hint="eastAsia" w:ascii="宋体" w:hAnsi="宋体" w:eastAsia="宋体" w:cs="宋体"/>
          <w:color w:val="auto"/>
          <w:highlight w:val="none"/>
        </w:rPr>
        <w:t>一、 说明</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_Toc19746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36</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"_Toc18488" </w:instrText>
      </w:r>
      <w:r>
        <w:rPr>
          <w:color w:val="auto"/>
          <w:highlight w:val="none"/>
        </w:rPr>
        <w:fldChar w:fldCharType="separate"/>
      </w:r>
      <w:r>
        <w:rPr>
          <w:rFonts w:hint="eastAsia" w:ascii="宋体" w:hAnsi="宋体" w:eastAsia="宋体" w:cs="宋体"/>
          <w:color w:val="auto"/>
          <w:sz w:val="21"/>
          <w:szCs w:val="21"/>
          <w:highlight w:val="none"/>
        </w:rPr>
        <w:t>1.适用范围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"_Toc13400" </w:instrText>
      </w:r>
      <w:r>
        <w:rPr>
          <w:color w:val="auto"/>
          <w:highlight w:val="none"/>
        </w:rPr>
        <w:fldChar w:fldCharType="separate"/>
      </w:r>
      <w:r>
        <w:rPr>
          <w:rFonts w:hint="eastAsia" w:ascii="宋体" w:hAnsi="宋体" w:eastAsia="宋体" w:cs="宋体"/>
          <w:color w:val="auto"/>
          <w:sz w:val="21"/>
          <w:szCs w:val="21"/>
          <w:highlight w:val="none"/>
        </w:rPr>
        <w:t>2.定义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_Toc13400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"_Toc3780" </w:instrText>
      </w:r>
      <w:r>
        <w:rPr>
          <w:color w:val="auto"/>
          <w:highlight w:val="none"/>
        </w:rPr>
        <w:fldChar w:fldCharType="separate"/>
      </w:r>
      <w:r>
        <w:rPr>
          <w:rFonts w:hint="eastAsia" w:ascii="宋体" w:hAnsi="宋体" w:eastAsia="宋体" w:cs="宋体"/>
          <w:color w:val="auto"/>
          <w:sz w:val="21"/>
          <w:szCs w:val="21"/>
          <w:highlight w:val="none"/>
        </w:rPr>
        <w:t>3.货物和服务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_Toc3780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"_Toc15945" </w:instrText>
      </w:r>
      <w:r>
        <w:rPr>
          <w:color w:val="auto"/>
          <w:highlight w:val="none"/>
        </w:rPr>
        <w:fldChar w:fldCharType="separate"/>
      </w:r>
      <w:r>
        <w:rPr>
          <w:rFonts w:hint="eastAsia" w:ascii="宋体" w:hAnsi="宋体" w:eastAsia="宋体" w:cs="宋体"/>
          <w:color w:val="auto"/>
          <w:sz w:val="21"/>
          <w:szCs w:val="21"/>
          <w:highlight w:val="none"/>
        </w:rPr>
        <w:t>4.投标费用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"_Toc25040" </w:instrText>
      </w:r>
      <w:r>
        <w:rPr>
          <w:color w:val="auto"/>
          <w:highlight w:val="none"/>
        </w:rPr>
        <w:fldChar w:fldCharType="separate"/>
      </w:r>
      <w:r>
        <w:rPr>
          <w:rFonts w:hint="eastAsia" w:ascii="宋体" w:hAnsi="宋体" w:eastAsia="宋体" w:cs="宋体"/>
          <w:color w:val="auto"/>
          <w:sz w:val="21"/>
          <w:szCs w:val="21"/>
          <w:highlight w:val="none"/>
        </w:rPr>
        <w:t>5.知识产权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_Toc25040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"_Toc21930" </w:instrText>
      </w:r>
      <w:r>
        <w:rPr>
          <w:color w:val="auto"/>
          <w:highlight w:val="none"/>
        </w:rPr>
        <w:fldChar w:fldCharType="separate"/>
      </w:r>
      <w:r>
        <w:rPr>
          <w:rFonts w:hint="eastAsia" w:ascii="宋体" w:hAnsi="宋体" w:eastAsia="宋体" w:cs="宋体"/>
          <w:color w:val="auto"/>
          <w:sz w:val="21"/>
          <w:szCs w:val="21"/>
          <w:highlight w:val="none"/>
        </w:rPr>
        <w:t>6.关于联合体投标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"_Toc16571" </w:instrText>
      </w:r>
      <w:r>
        <w:rPr>
          <w:color w:val="auto"/>
          <w:highlight w:val="none"/>
        </w:rPr>
        <w:fldChar w:fldCharType="separate"/>
      </w:r>
      <w:r>
        <w:rPr>
          <w:rFonts w:hint="eastAsia" w:ascii="宋体" w:hAnsi="宋体" w:eastAsia="宋体" w:cs="宋体"/>
          <w:color w:val="auto"/>
          <w:sz w:val="21"/>
          <w:szCs w:val="21"/>
          <w:highlight w:val="none"/>
        </w:rPr>
        <w:t>7.关于分支机构投标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_Toc16571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"_Toc17879" </w:instrText>
      </w:r>
      <w:r>
        <w:rPr>
          <w:color w:val="auto"/>
          <w:highlight w:val="none"/>
        </w:rPr>
        <w:fldChar w:fldCharType="separate"/>
      </w:r>
      <w:r>
        <w:rPr>
          <w:rFonts w:hint="eastAsia" w:ascii="宋体" w:hAnsi="宋体" w:eastAsia="宋体" w:cs="宋体"/>
          <w:color w:val="auto"/>
          <w:highlight w:val="none"/>
        </w:rPr>
        <w:t>二、 招标文件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_Toc17879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"_Toc21771" </w:instrText>
      </w:r>
      <w:r>
        <w:rPr>
          <w:color w:val="auto"/>
          <w:highlight w:val="none"/>
        </w:rPr>
        <w:fldChar w:fldCharType="separate"/>
      </w:r>
      <w:r>
        <w:rPr>
          <w:rFonts w:hint="eastAsia" w:ascii="宋体" w:hAnsi="宋体" w:eastAsia="宋体" w:cs="宋体"/>
          <w:color w:val="auto"/>
          <w:sz w:val="21"/>
          <w:szCs w:val="21"/>
          <w:highlight w:val="none"/>
        </w:rPr>
        <w:t>8.招标文件的组成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_Toc21771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"_Toc14217" </w:instrText>
      </w:r>
      <w:r>
        <w:rPr>
          <w:color w:val="auto"/>
          <w:highlight w:val="none"/>
        </w:rPr>
        <w:fldChar w:fldCharType="separate"/>
      </w:r>
      <w:r>
        <w:rPr>
          <w:rFonts w:hint="eastAsia" w:ascii="宋体" w:hAnsi="宋体" w:eastAsia="宋体" w:cs="宋体"/>
          <w:color w:val="auto"/>
          <w:sz w:val="21"/>
          <w:szCs w:val="21"/>
          <w:highlight w:val="none"/>
        </w:rPr>
        <w:t>9.招标文件的澄清或修改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_Toc14217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"_Toc23726" </w:instrText>
      </w:r>
      <w:r>
        <w:rPr>
          <w:color w:val="auto"/>
          <w:highlight w:val="none"/>
        </w:rPr>
        <w:fldChar w:fldCharType="separate"/>
      </w:r>
      <w:r>
        <w:rPr>
          <w:rFonts w:hint="eastAsia" w:ascii="宋体" w:hAnsi="宋体" w:eastAsia="宋体" w:cs="宋体"/>
          <w:color w:val="auto"/>
          <w:highlight w:val="none"/>
        </w:rPr>
        <w:t>三、 投标文件的编制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_Toc23726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"_Toc20623" </w:instrText>
      </w:r>
      <w:r>
        <w:rPr>
          <w:color w:val="auto"/>
          <w:highlight w:val="none"/>
        </w:rPr>
        <w:fldChar w:fldCharType="separate"/>
      </w:r>
      <w:r>
        <w:rPr>
          <w:rFonts w:hint="eastAsia" w:ascii="宋体" w:hAnsi="宋体" w:eastAsia="宋体" w:cs="宋体"/>
          <w:color w:val="auto"/>
          <w:sz w:val="21"/>
          <w:szCs w:val="21"/>
          <w:highlight w:val="none"/>
        </w:rPr>
        <w:t>10.投标文件的语言及度量衡单位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_Toc20623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"_Toc12145" </w:instrText>
      </w:r>
      <w:r>
        <w:rPr>
          <w:color w:val="auto"/>
          <w:highlight w:val="none"/>
        </w:rPr>
        <w:fldChar w:fldCharType="separate"/>
      </w:r>
      <w:r>
        <w:rPr>
          <w:rFonts w:hint="eastAsia" w:ascii="宋体" w:hAnsi="宋体" w:eastAsia="宋体" w:cs="宋体"/>
          <w:color w:val="auto"/>
          <w:sz w:val="21"/>
          <w:szCs w:val="21"/>
          <w:highlight w:val="none"/>
        </w:rPr>
        <w:t>11.投标文件的组成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_Toc12145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"_Toc30189" </w:instrText>
      </w:r>
      <w:r>
        <w:rPr>
          <w:color w:val="auto"/>
          <w:highlight w:val="none"/>
        </w:rPr>
        <w:fldChar w:fldCharType="separate"/>
      </w:r>
      <w:r>
        <w:rPr>
          <w:rFonts w:hint="eastAsia" w:ascii="宋体" w:hAnsi="宋体" w:eastAsia="宋体" w:cs="宋体"/>
          <w:color w:val="auto"/>
          <w:sz w:val="21"/>
          <w:szCs w:val="21"/>
          <w:highlight w:val="none"/>
        </w:rPr>
        <w:t>12.投标文件编制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"_Toc259" </w:instrText>
      </w:r>
      <w:r>
        <w:rPr>
          <w:color w:val="auto"/>
          <w:highlight w:val="none"/>
        </w:rPr>
        <w:fldChar w:fldCharType="separate"/>
      </w:r>
      <w:r>
        <w:rPr>
          <w:rFonts w:hint="eastAsia" w:ascii="宋体" w:hAnsi="宋体" w:eastAsia="宋体" w:cs="宋体"/>
          <w:color w:val="auto"/>
          <w:sz w:val="21"/>
          <w:szCs w:val="21"/>
          <w:highlight w:val="none"/>
        </w:rPr>
        <w:t>13.投标报价说明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"_Toc27724" </w:instrText>
      </w:r>
      <w:r>
        <w:rPr>
          <w:color w:val="auto"/>
          <w:highlight w:val="none"/>
        </w:rPr>
        <w:fldChar w:fldCharType="separate"/>
      </w:r>
      <w:r>
        <w:rPr>
          <w:rFonts w:hint="eastAsia" w:ascii="宋体" w:hAnsi="宋体" w:eastAsia="宋体" w:cs="宋体"/>
          <w:color w:val="auto"/>
          <w:sz w:val="21"/>
          <w:szCs w:val="21"/>
          <w:highlight w:val="none"/>
        </w:rPr>
        <w:t>14.投标人所提供的服务或货物的证明文件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"_Toc19520" </w:instrText>
      </w:r>
      <w:r>
        <w:rPr>
          <w:color w:val="auto"/>
          <w:highlight w:val="none"/>
        </w:rPr>
        <w:fldChar w:fldCharType="separate"/>
      </w:r>
      <w:r>
        <w:rPr>
          <w:rFonts w:hint="eastAsia" w:ascii="宋体" w:hAnsi="宋体" w:eastAsia="宋体" w:cs="宋体"/>
          <w:color w:val="auto"/>
          <w:sz w:val="21"/>
          <w:szCs w:val="21"/>
          <w:highlight w:val="none"/>
        </w:rPr>
        <w:t>15.投标有效期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_Toc19520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"_Toc12456" </w:instrText>
      </w:r>
      <w:r>
        <w:rPr>
          <w:color w:val="auto"/>
          <w:highlight w:val="none"/>
        </w:rPr>
        <w:fldChar w:fldCharType="separate"/>
      </w:r>
      <w:r>
        <w:rPr>
          <w:rFonts w:hint="eastAsia" w:ascii="宋体" w:hAnsi="宋体" w:eastAsia="宋体" w:cs="宋体"/>
          <w:color w:val="auto"/>
          <w:sz w:val="21"/>
          <w:szCs w:val="21"/>
          <w:highlight w:val="none"/>
        </w:rPr>
        <w:t>16.投标保证金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_Toc12456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"_Toc31124" </w:instrText>
      </w:r>
      <w:r>
        <w:rPr>
          <w:color w:val="auto"/>
          <w:highlight w:val="none"/>
        </w:rPr>
        <w:fldChar w:fldCharType="separate"/>
      </w:r>
      <w:r>
        <w:rPr>
          <w:rFonts w:hint="eastAsia" w:ascii="宋体" w:hAnsi="宋体" w:eastAsia="宋体" w:cs="宋体"/>
          <w:color w:val="auto"/>
          <w:highlight w:val="none"/>
        </w:rPr>
        <w:t>四、 投标文件的递交</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_Toc31124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"_Toc29590" </w:instrText>
      </w:r>
      <w:r>
        <w:rPr>
          <w:color w:val="auto"/>
          <w:highlight w:val="none"/>
        </w:rPr>
        <w:fldChar w:fldCharType="separate"/>
      </w:r>
      <w:r>
        <w:rPr>
          <w:rFonts w:hint="eastAsia" w:ascii="宋体" w:hAnsi="宋体" w:eastAsia="宋体" w:cs="宋体"/>
          <w:color w:val="auto"/>
          <w:sz w:val="21"/>
          <w:szCs w:val="21"/>
          <w:highlight w:val="none"/>
        </w:rPr>
        <w:t>17.投标文件的装订，签署，密封和标记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_Toc29590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"_Toc8628" </w:instrText>
      </w:r>
      <w:r>
        <w:rPr>
          <w:color w:val="auto"/>
          <w:highlight w:val="none"/>
        </w:rPr>
        <w:fldChar w:fldCharType="separate"/>
      </w:r>
      <w:r>
        <w:rPr>
          <w:rFonts w:hint="eastAsia" w:ascii="宋体" w:hAnsi="宋体" w:eastAsia="宋体" w:cs="宋体"/>
          <w:color w:val="auto"/>
          <w:sz w:val="21"/>
          <w:szCs w:val="21"/>
          <w:highlight w:val="none"/>
        </w:rPr>
        <w:t>18.迟交的投标文件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_Toc8628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"_Toc13212" </w:instrText>
      </w:r>
      <w:r>
        <w:rPr>
          <w:color w:val="auto"/>
          <w:highlight w:val="none"/>
        </w:rPr>
        <w:fldChar w:fldCharType="separate"/>
      </w:r>
      <w:r>
        <w:rPr>
          <w:rFonts w:hint="eastAsia" w:ascii="宋体" w:hAnsi="宋体" w:eastAsia="宋体" w:cs="宋体"/>
          <w:color w:val="auto"/>
          <w:sz w:val="21"/>
          <w:szCs w:val="21"/>
          <w:highlight w:val="none"/>
        </w:rPr>
        <w:t>19.投标样品（如需提交）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"_Toc5900" </w:instrText>
      </w:r>
      <w:r>
        <w:rPr>
          <w:color w:val="auto"/>
          <w:highlight w:val="none"/>
        </w:rPr>
        <w:fldChar w:fldCharType="separate"/>
      </w:r>
      <w:r>
        <w:rPr>
          <w:rFonts w:hint="eastAsia" w:ascii="宋体" w:hAnsi="宋体" w:eastAsia="宋体" w:cs="宋体"/>
          <w:color w:val="auto"/>
          <w:sz w:val="21"/>
          <w:szCs w:val="21"/>
          <w:highlight w:val="none"/>
        </w:rPr>
        <w:t>20.投标截止期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_Toc5900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"_Toc6003" </w:instrText>
      </w:r>
      <w:r>
        <w:rPr>
          <w:color w:val="auto"/>
          <w:highlight w:val="none"/>
        </w:rPr>
        <w:fldChar w:fldCharType="separate"/>
      </w:r>
      <w:r>
        <w:rPr>
          <w:rFonts w:hint="eastAsia" w:ascii="宋体" w:hAnsi="宋体" w:eastAsia="宋体" w:cs="宋体"/>
          <w:color w:val="auto"/>
          <w:sz w:val="21"/>
          <w:szCs w:val="21"/>
          <w:highlight w:val="none"/>
        </w:rPr>
        <w:t>21.投标文件的补充、修改与撤回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_Toc6003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"_Toc29574" </w:instrText>
      </w:r>
      <w:r>
        <w:rPr>
          <w:color w:val="auto"/>
          <w:highlight w:val="none"/>
        </w:rPr>
        <w:fldChar w:fldCharType="separate"/>
      </w:r>
      <w:r>
        <w:rPr>
          <w:rFonts w:hint="eastAsia" w:ascii="宋体" w:hAnsi="宋体" w:eastAsia="宋体" w:cs="宋体"/>
          <w:color w:val="auto"/>
          <w:highlight w:val="none"/>
        </w:rPr>
        <w:t>五、 开标与评标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_Toc29574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"_Toc28458" </w:instrText>
      </w:r>
      <w:r>
        <w:rPr>
          <w:color w:val="auto"/>
          <w:highlight w:val="none"/>
        </w:rPr>
        <w:fldChar w:fldCharType="separate"/>
      </w:r>
      <w:r>
        <w:rPr>
          <w:rFonts w:hint="eastAsia" w:ascii="宋体" w:hAnsi="宋体" w:eastAsia="宋体" w:cs="宋体"/>
          <w:color w:val="auto"/>
          <w:sz w:val="21"/>
          <w:szCs w:val="21"/>
          <w:highlight w:val="none"/>
        </w:rPr>
        <w:t>22.开标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_Toc28458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"_Toc5524" </w:instrText>
      </w:r>
      <w:r>
        <w:rPr>
          <w:color w:val="auto"/>
          <w:highlight w:val="none"/>
        </w:rPr>
        <w:fldChar w:fldCharType="separate"/>
      </w:r>
      <w:r>
        <w:rPr>
          <w:rFonts w:hint="eastAsia" w:ascii="宋体" w:hAnsi="宋体" w:eastAsia="宋体" w:cs="宋体"/>
          <w:color w:val="auto"/>
          <w:sz w:val="21"/>
          <w:szCs w:val="21"/>
          <w:highlight w:val="none"/>
        </w:rPr>
        <w:t>23.评标委员会及评标方法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_Toc5524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"_Toc15231" </w:instrText>
      </w:r>
      <w:r>
        <w:rPr>
          <w:color w:val="auto"/>
          <w:highlight w:val="none"/>
        </w:rPr>
        <w:fldChar w:fldCharType="separate"/>
      </w:r>
      <w:r>
        <w:rPr>
          <w:rFonts w:hint="eastAsia" w:ascii="宋体" w:hAnsi="宋体" w:eastAsia="宋体" w:cs="宋体"/>
          <w:color w:val="auto"/>
          <w:sz w:val="21"/>
          <w:szCs w:val="21"/>
          <w:highlight w:val="none"/>
        </w:rPr>
        <w:t>24.评审原则及评标过程的保密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_Toc15231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"_Toc3762" </w:instrText>
      </w:r>
      <w:r>
        <w:rPr>
          <w:color w:val="auto"/>
          <w:highlight w:val="none"/>
        </w:rPr>
        <w:fldChar w:fldCharType="separate"/>
      </w:r>
      <w:r>
        <w:rPr>
          <w:rFonts w:hint="eastAsia" w:ascii="宋体" w:hAnsi="宋体" w:eastAsia="宋体" w:cs="宋体"/>
          <w:color w:val="auto"/>
          <w:sz w:val="21"/>
          <w:szCs w:val="21"/>
          <w:highlight w:val="none"/>
        </w:rPr>
        <w:t>25.投标文件的初审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_Toc3762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"_Toc21742" </w:instrText>
      </w:r>
      <w:r>
        <w:rPr>
          <w:color w:val="auto"/>
          <w:highlight w:val="none"/>
        </w:rPr>
        <w:fldChar w:fldCharType="separate"/>
      </w:r>
      <w:r>
        <w:rPr>
          <w:rFonts w:hint="eastAsia" w:ascii="宋体" w:hAnsi="宋体" w:eastAsia="宋体" w:cs="宋体"/>
          <w:color w:val="auto"/>
          <w:sz w:val="21"/>
          <w:szCs w:val="21"/>
          <w:highlight w:val="none"/>
        </w:rPr>
        <w:t>26.商务、技术、价格评审（具体评审项目详见投标资料表）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_Toc21742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"_Toc22192" </w:instrText>
      </w:r>
      <w:r>
        <w:rPr>
          <w:color w:val="auto"/>
          <w:highlight w:val="none"/>
        </w:rPr>
        <w:fldChar w:fldCharType="separate"/>
      </w:r>
      <w:r>
        <w:rPr>
          <w:rFonts w:hint="eastAsia" w:ascii="宋体" w:hAnsi="宋体" w:eastAsia="宋体" w:cs="宋体"/>
          <w:color w:val="auto"/>
          <w:sz w:val="21"/>
          <w:szCs w:val="21"/>
          <w:highlight w:val="none"/>
        </w:rPr>
        <w:t>27.优惠政策</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_Toc22192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"_Toc22591" </w:instrText>
      </w:r>
      <w:r>
        <w:rPr>
          <w:color w:val="auto"/>
          <w:highlight w:val="none"/>
        </w:rPr>
        <w:fldChar w:fldCharType="separate"/>
      </w:r>
      <w:r>
        <w:rPr>
          <w:rFonts w:hint="eastAsia" w:ascii="宋体" w:hAnsi="宋体" w:eastAsia="宋体" w:cs="宋体"/>
          <w:color w:val="auto"/>
          <w:sz w:val="21"/>
          <w:szCs w:val="21"/>
          <w:highlight w:val="none"/>
        </w:rPr>
        <w:t>28.纪律和保密事项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_Toc22591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"_Toc29310" </w:instrText>
      </w:r>
      <w:r>
        <w:rPr>
          <w:color w:val="auto"/>
          <w:highlight w:val="none"/>
        </w:rPr>
        <w:fldChar w:fldCharType="separate"/>
      </w:r>
      <w:r>
        <w:rPr>
          <w:rFonts w:hint="eastAsia" w:ascii="宋体" w:hAnsi="宋体" w:eastAsia="宋体" w:cs="宋体"/>
          <w:color w:val="auto"/>
          <w:highlight w:val="none"/>
        </w:rPr>
        <w:t>六、 授予合同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_Toc29310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48</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"_Toc27817" </w:instrText>
      </w:r>
      <w:r>
        <w:rPr>
          <w:color w:val="auto"/>
          <w:highlight w:val="none"/>
        </w:rPr>
        <w:fldChar w:fldCharType="separate"/>
      </w:r>
      <w:r>
        <w:rPr>
          <w:rFonts w:hint="eastAsia" w:ascii="宋体" w:hAnsi="宋体" w:eastAsia="宋体" w:cs="宋体"/>
          <w:color w:val="auto"/>
          <w:sz w:val="21"/>
          <w:szCs w:val="21"/>
          <w:highlight w:val="none"/>
        </w:rPr>
        <w:t>29.合同授予标准</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_Toc27817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"_Toc29283" </w:instrText>
      </w:r>
      <w:r>
        <w:rPr>
          <w:color w:val="auto"/>
          <w:highlight w:val="none"/>
        </w:rPr>
        <w:fldChar w:fldCharType="separate"/>
      </w:r>
      <w:r>
        <w:rPr>
          <w:rFonts w:hint="eastAsia" w:ascii="宋体" w:hAnsi="宋体" w:eastAsia="宋体" w:cs="宋体"/>
          <w:color w:val="auto"/>
          <w:sz w:val="21"/>
          <w:szCs w:val="21"/>
          <w:highlight w:val="none"/>
        </w:rPr>
        <w:t>30.发布采购结果</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"_Toc22451" </w:instrText>
      </w:r>
      <w:r>
        <w:rPr>
          <w:color w:val="auto"/>
          <w:highlight w:val="none"/>
        </w:rPr>
        <w:fldChar w:fldCharType="separate"/>
      </w:r>
      <w:r>
        <w:rPr>
          <w:rFonts w:hint="eastAsia" w:ascii="宋体" w:hAnsi="宋体" w:eastAsia="宋体" w:cs="宋体"/>
          <w:color w:val="auto"/>
          <w:sz w:val="21"/>
          <w:szCs w:val="21"/>
          <w:highlight w:val="none"/>
        </w:rPr>
        <w:t>31.合同的签订与履行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_Toc22451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"_Toc2744" </w:instrText>
      </w:r>
      <w:r>
        <w:rPr>
          <w:color w:val="auto"/>
          <w:highlight w:val="none"/>
        </w:rPr>
        <w:fldChar w:fldCharType="separate"/>
      </w:r>
      <w:r>
        <w:rPr>
          <w:rFonts w:hint="eastAsia" w:ascii="宋体" w:hAnsi="宋体" w:eastAsia="宋体" w:cs="宋体"/>
          <w:color w:val="auto"/>
          <w:sz w:val="21"/>
          <w:szCs w:val="21"/>
          <w:highlight w:val="none"/>
        </w:rPr>
        <w:t>32.履约保证金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_Toc2744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"_Toc13694" </w:instrText>
      </w:r>
      <w:r>
        <w:rPr>
          <w:color w:val="auto"/>
          <w:highlight w:val="none"/>
        </w:rPr>
        <w:fldChar w:fldCharType="separate"/>
      </w:r>
      <w:r>
        <w:rPr>
          <w:rFonts w:hint="eastAsia" w:ascii="宋体" w:hAnsi="宋体" w:eastAsia="宋体" w:cs="宋体"/>
          <w:color w:val="auto"/>
          <w:highlight w:val="none"/>
        </w:rPr>
        <w:t>七、询问或质疑</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_Toc13694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50</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"_Toc25498" </w:instrText>
      </w:r>
      <w:r>
        <w:rPr>
          <w:color w:val="auto"/>
          <w:highlight w:val="none"/>
        </w:rPr>
        <w:fldChar w:fldCharType="separate"/>
      </w:r>
      <w:r>
        <w:rPr>
          <w:rFonts w:hint="eastAsia" w:ascii="宋体" w:hAnsi="宋体" w:eastAsia="宋体" w:cs="宋体"/>
          <w:color w:val="auto"/>
          <w:sz w:val="21"/>
          <w:szCs w:val="21"/>
          <w:highlight w:val="none"/>
        </w:rPr>
        <w:t>33.询问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_Toc25498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"_Toc8234" </w:instrText>
      </w:r>
      <w:r>
        <w:rPr>
          <w:color w:val="auto"/>
          <w:highlight w:val="none"/>
        </w:rPr>
        <w:fldChar w:fldCharType="separate"/>
      </w:r>
      <w:r>
        <w:rPr>
          <w:rFonts w:hint="eastAsia" w:ascii="宋体" w:hAnsi="宋体" w:eastAsia="宋体" w:cs="宋体"/>
          <w:color w:val="auto"/>
          <w:sz w:val="21"/>
          <w:szCs w:val="21"/>
          <w:highlight w:val="none"/>
        </w:rPr>
        <w:t>34.质疑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_Toc8234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"_Toc24383" </w:instrText>
      </w:r>
      <w:r>
        <w:rPr>
          <w:color w:val="auto"/>
          <w:highlight w:val="none"/>
        </w:rPr>
        <w:fldChar w:fldCharType="separate"/>
      </w:r>
      <w:r>
        <w:rPr>
          <w:rFonts w:hint="eastAsia" w:ascii="宋体" w:hAnsi="宋体" w:eastAsia="宋体" w:cs="宋体"/>
          <w:color w:val="auto"/>
          <w:highlight w:val="none"/>
        </w:rPr>
        <w:t>八、其他</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_Toc24383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51</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"_Toc10082" </w:instrText>
      </w:r>
      <w:r>
        <w:rPr>
          <w:color w:val="auto"/>
          <w:highlight w:val="none"/>
        </w:rPr>
        <w:fldChar w:fldCharType="separate"/>
      </w:r>
      <w:r>
        <w:rPr>
          <w:rFonts w:hint="eastAsia" w:ascii="宋体" w:hAnsi="宋体" w:eastAsia="宋体" w:cs="宋体"/>
          <w:color w:val="auto"/>
          <w:sz w:val="21"/>
          <w:szCs w:val="21"/>
          <w:highlight w:val="none"/>
        </w:rPr>
        <w:t>35.招标文件的解释权</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"_Toc21448" </w:instrText>
      </w:r>
      <w:r>
        <w:rPr>
          <w:color w:val="auto"/>
          <w:highlight w:val="none"/>
        </w:rPr>
        <w:fldChar w:fldCharType="separate"/>
      </w:r>
      <w:r>
        <w:rPr>
          <w:rFonts w:hint="eastAsia" w:cs="宋体"/>
          <w:color w:val="auto"/>
          <w:sz w:val="21"/>
          <w:szCs w:val="21"/>
          <w:highlight w:val="none"/>
        </w:rPr>
        <w:t>第五部分 合同格式（仅供参考）</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_Toc21448 </w:instrText>
      </w:r>
      <w:r>
        <w:rPr>
          <w:rFonts w:hint="eastAsia" w:cs="宋体"/>
          <w:color w:val="auto"/>
          <w:sz w:val="21"/>
          <w:szCs w:val="21"/>
          <w:highlight w:val="none"/>
        </w:rPr>
        <w:fldChar w:fldCharType="separate"/>
      </w:r>
      <w:r>
        <w:rPr>
          <w:rFonts w:hint="eastAsia" w:cs="宋体"/>
          <w:color w:val="auto"/>
          <w:sz w:val="21"/>
          <w:szCs w:val="21"/>
          <w:highlight w:val="none"/>
        </w:rPr>
        <w:t>52</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14"/>
        <w:tabs>
          <w:tab w:val="right" w:leader="dot" w:pos="8306"/>
          <w:tab w:val="clear" w:pos="8296"/>
        </w:tabs>
        <w:spacing w:after="0" w:line="360" w:lineRule="auto"/>
        <w:ind w:left="0" w:leftChars="0"/>
        <w:rPr>
          <w:rFonts w:ascii="宋体" w:hAnsi="宋体" w:eastAsia="宋体" w:cs="宋体"/>
          <w:color w:val="auto"/>
          <w:highlight w:val="none"/>
        </w:rPr>
      </w:pPr>
      <w:r>
        <w:rPr>
          <w:color w:val="auto"/>
          <w:highlight w:val="none"/>
        </w:rPr>
        <w:fldChar w:fldCharType="begin"/>
      </w:r>
      <w:r>
        <w:rPr>
          <w:color w:val="auto"/>
          <w:highlight w:val="none"/>
        </w:rPr>
        <w:instrText xml:space="preserve"> HYPERLINK \l "_Toc16730" </w:instrText>
      </w:r>
      <w:r>
        <w:rPr>
          <w:color w:val="auto"/>
          <w:highlight w:val="none"/>
        </w:rPr>
        <w:fldChar w:fldCharType="separate"/>
      </w:r>
      <w:r>
        <w:rPr>
          <w:rFonts w:hint="eastAsia" w:ascii="宋体" w:hAnsi="宋体" w:eastAsia="宋体" w:cs="宋体"/>
          <w:color w:val="auto"/>
          <w:highlight w:val="none"/>
        </w:rPr>
        <w:t>合同格式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_Toc16730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52</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fldChar w:fldCharType="end"/>
      </w:r>
    </w:p>
    <w:p>
      <w:pPr>
        <w:pStyle w:val="22"/>
        <w:tabs>
          <w:tab w:val="right" w:leader="dot" w:pos="8306"/>
          <w:tab w:val="clear" w:pos="8296"/>
        </w:tabs>
        <w:ind w:left="0" w:leftChars="0"/>
        <w:rPr>
          <w:rFonts w:cs="宋体"/>
          <w:color w:val="auto"/>
          <w:sz w:val="21"/>
          <w:szCs w:val="21"/>
          <w:highlight w:val="none"/>
        </w:rPr>
      </w:pPr>
      <w:r>
        <w:rPr>
          <w:color w:val="auto"/>
          <w:highlight w:val="none"/>
        </w:rPr>
        <w:fldChar w:fldCharType="begin"/>
      </w:r>
      <w:r>
        <w:rPr>
          <w:color w:val="auto"/>
          <w:highlight w:val="none"/>
        </w:rPr>
        <w:instrText xml:space="preserve"> HYPERLINK \l "_Toc23749" </w:instrText>
      </w:r>
      <w:r>
        <w:rPr>
          <w:color w:val="auto"/>
          <w:highlight w:val="none"/>
        </w:rPr>
        <w:fldChar w:fldCharType="separate"/>
      </w:r>
      <w:r>
        <w:rPr>
          <w:rFonts w:hint="eastAsia" w:cs="宋体"/>
          <w:color w:val="auto"/>
          <w:sz w:val="21"/>
          <w:szCs w:val="21"/>
          <w:highlight w:val="none"/>
        </w:rPr>
        <w:t>第六部分  附件－投标文件格式</w:t>
      </w:r>
      <w:r>
        <w:rPr>
          <w:rFonts w:hint="eastAsia" w:cs="宋体"/>
          <w:color w:val="auto"/>
          <w:sz w:val="21"/>
          <w:szCs w:val="21"/>
          <w:highlight w:val="none"/>
        </w:rPr>
        <w:tab/>
      </w:r>
      <w:r>
        <w:rPr>
          <w:rFonts w:hint="eastAsia" w:cs="宋体"/>
          <w:color w:val="auto"/>
          <w:sz w:val="21"/>
          <w:szCs w:val="21"/>
          <w:highlight w:val="none"/>
        </w:rPr>
        <w:fldChar w:fldCharType="begin"/>
      </w:r>
      <w:r>
        <w:rPr>
          <w:rFonts w:hint="eastAsia" w:cs="宋体"/>
          <w:color w:val="auto"/>
          <w:sz w:val="21"/>
          <w:szCs w:val="21"/>
          <w:highlight w:val="none"/>
        </w:rPr>
        <w:instrText xml:space="preserve"> PAGEREF _Toc23749 </w:instrText>
      </w:r>
      <w:r>
        <w:rPr>
          <w:rFonts w:hint="eastAsia" w:cs="宋体"/>
          <w:color w:val="auto"/>
          <w:sz w:val="21"/>
          <w:szCs w:val="21"/>
          <w:highlight w:val="none"/>
        </w:rPr>
        <w:fldChar w:fldCharType="separate"/>
      </w:r>
      <w:r>
        <w:rPr>
          <w:rFonts w:hint="eastAsia" w:cs="宋体"/>
          <w:color w:val="auto"/>
          <w:sz w:val="21"/>
          <w:szCs w:val="21"/>
          <w:highlight w:val="none"/>
        </w:rPr>
        <w:t>55</w:t>
      </w:r>
      <w:r>
        <w:rPr>
          <w:rFonts w:hint="eastAsia" w:cs="宋体"/>
          <w:color w:val="auto"/>
          <w:sz w:val="21"/>
          <w:szCs w:val="21"/>
          <w:highlight w:val="none"/>
        </w:rPr>
        <w:fldChar w:fldCharType="end"/>
      </w:r>
      <w:r>
        <w:rPr>
          <w:rFonts w:hint="eastAsia"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"_Toc26830" </w:instrText>
      </w:r>
      <w:r>
        <w:rPr>
          <w:color w:val="auto"/>
          <w:highlight w:val="none"/>
        </w:rPr>
        <w:fldChar w:fldCharType="separate"/>
      </w:r>
      <w:r>
        <w:rPr>
          <w:rFonts w:hint="eastAsia" w:ascii="宋体" w:hAnsi="宋体" w:eastAsia="宋体" w:cs="宋体"/>
          <w:color w:val="auto"/>
          <w:sz w:val="21"/>
          <w:szCs w:val="21"/>
          <w:highlight w:val="none"/>
        </w:rPr>
        <w:t>附件1.投标文件目录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_Toc26830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"_Toc18893" </w:instrText>
      </w:r>
      <w:r>
        <w:rPr>
          <w:color w:val="auto"/>
          <w:highlight w:val="none"/>
        </w:rPr>
        <w:fldChar w:fldCharType="separate"/>
      </w:r>
      <w:r>
        <w:rPr>
          <w:rFonts w:hint="eastAsia" w:ascii="宋体" w:hAnsi="宋体" w:eastAsia="宋体" w:cs="宋体"/>
          <w:color w:val="auto"/>
          <w:sz w:val="21"/>
          <w:szCs w:val="21"/>
          <w:highlight w:val="none"/>
        </w:rPr>
        <w:t>附件1-1 评分标准索引表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_Toc18893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"_Toc30640" </w:instrText>
      </w:r>
      <w:r>
        <w:rPr>
          <w:color w:val="auto"/>
          <w:highlight w:val="none"/>
        </w:rPr>
        <w:fldChar w:fldCharType="separate"/>
      </w:r>
      <w:r>
        <w:rPr>
          <w:rFonts w:hint="eastAsia" w:ascii="宋体" w:hAnsi="宋体" w:eastAsia="宋体" w:cs="宋体"/>
          <w:color w:val="auto"/>
          <w:sz w:val="21"/>
          <w:szCs w:val="21"/>
          <w:highlight w:val="none"/>
        </w:rPr>
        <w:t>附件2.投标书格式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_Toc30640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"_Toc6866" </w:instrText>
      </w:r>
      <w:r>
        <w:rPr>
          <w:color w:val="auto"/>
          <w:highlight w:val="none"/>
        </w:rPr>
        <w:fldChar w:fldCharType="separate"/>
      </w:r>
      <w:r>
        <w:rPr>
          <w:rFonts w:hint="eastAsia" w:ascii="宋体" w:hAnsi="宋体" w:eastAsia="宋体" w:cs="宋体"/>
          <w:color w:val="auto"/>
          <w:sz w:val="21"/>
          <w:szCs w:val="21"/>
          <w:highlight w:val="none"/>
        </w:rPr>
        <w:t>附件3.开标一览表格式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_Toc6866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"_Toc3254" </w:instrText>
      </w:r>
      <w:r>
        <w:rPr>
          <w:color w:val="auto"/>
          <w:highlight w:val="none"/>
        </w:rPr>
        <w:fldChar w:fldCharType="separate"/>
      </w:r>
      <w:r>
        <w:rPr>
          <w:rFonts w:hint="eastAsia" w:ascii="宋体" w:hAnsi="宋体" w:eastAsia="宋体" w:cs="宋体"/>
          <w:color w:val="auto"/>
          <w:sz w:val="21"/>
          <w:szCs w:val="21"/>
          <w:highlight w:val="none"/>
        </w:rPr>
        <w:t>附件4.投标分项报价表格式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_Toc3254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59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"_Toc16412" </w:instrText>
      </w:r>
      <w:r>
        <w:rPr>
          <w:color w:val="auto"/>
          <w:highlight w:val="none"/>
        </w:rPr>
        <w:fldChar w:fldCharType="separate"/>
      </w:r>
      <w:r>
        <w:rPr>
          <w:rFonts w:hint="eastAsia" w:ascii="宋体" w:hAnsi="宋体" w:eastAsia="宋体" w:cs="宋体"/>
          <w:color w:val="auto"/>
          <w:sz w:val="21"/>
          <w:szCs w:val="21"/>
          <w:highlight w:val="none"/>
        </w:rPr>
        <w:t>附件5.法定代表人证明书格式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_Toc16412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"_Toc31205" </w:instrText>
      </w:r>
      <w:r>
        <w:rPr>
          <w:color w:val="auto"/>
          <w:highlight w:val="none"/>
        </w:rPr>
        <w:fldChar w:fldCharType="separate"/>
      </w:r>
      <w:r>
        <w:rPr>
          <w:rFonts w:hint="eastAsia" w:ascii="宋体" w:hAnsi="宋体" w:eastAsia="宋体" w:cs="宋体"/>
          <w:color w:val="auto"/>
          <w:sz w:val="21"/>
          <w:szCs w:val="21"/>
          <w:highlight w:val="none"/>
        </w:rPr>
        <w:t>附件6.法定代表人授权书格式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_Toc31205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"_Toc17164" </w:instrText>
      </w:r>
      <w:r>
        <w:rPr>
          <w:color w:val="auto"/>
          <w:highlight w:val="none"/>
        </w:rPr>
        <w:fldChar w:fldCharType="separate"/>
      </w:r>
      <w:r>
        <w:rPr>
          <w:rFonts w:hint="eastAsia" w:ascii="宋体" w:hAnsi="宋体" w:eastAsia="宋体" w:cs="宋体"/>
          <w:color w:val="auto"/>
          <w:sz w:val="21"/>
          <w:szCs w:val="21"/>
          <w:highlight w:val="none"/>
        </w:rPr>
        <w:t>附件7.资格申明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_Toc17164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"_Toc27839" </w:instrText>
      </w:r>
      <w:r>
        <w:rPr>
          <w:color w:val="auto"/>
          <w:highlight w:val="none"/>
        </w:rPr>
        <w:fldChar w:fldCharType="separate"/>
      </w:r>
      <w:r>
        <w:rPr>
          <w:rFonts w:hint="eastAsia" w:ascii="宋体" w:hAnsi="宋体" w:eastAsia="宋体" w:cs="宋体"/>
          <w:color w:val="auto"/>
          <w:sz w:val="21"/>
          <w:szCs w:val="21"/>
          <w:highlight w:val="none"/>
        </w:rPr>
        <w:t>附件8.营业执照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_Toc27839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"_Toc26141" </w:instrText>
      </w:r>
      <w:r>
        <w:rPr>
          <w:color w:val="auto"/>
          <w:highlight w:val="none"/>
        </w:rPr>
        <w:fldChar w:fldCharType="separate"/>
      </w:r>
      <w:r>
        <w:rPr>
          <w:rFonts w:hint="eastAsia" w:ascii="宋体" w:hAnsi="宋体" w:eastAsia="宋体" w:cs="宋体"/>
          <w:color w:val="auto"/>
          <w:sz w:val="21"/>
          <w:szCs w:val="21"/>
          <w:highlight w:val="none"/>
        </w:rPr>
        <w:t>附件9.相关资质证明文件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_Toc26141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"_Toc17618" </w:instrText>
      </w:r>
      <w:r>
        <w:rPr>
          <w:color w:val="auto"/>
          <w:highlight w:val="none"/>
        </w:rPr>
        <w:fldChar w:fldCharType="separate"/>
      </w:r>
      <w:r>
        <w:rPr>
          <w:rFonts w:hint="eastAsia" w:ascii="宋体" w:hAnsi="宋体" w:eastAsia="宋体" w:cs="宋体"/>
          <w:color w:val="auto"/>
          <w:sz w:val="21"/>
          <w:szCs w:val="21"/>
          <w:highlight w:val="none"/>
        </w:rPr>
        <w:t>附件10.商务条款偏离表格式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_Toc17618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"_Toc32183" </w:instrText>
      </w:r>
      <w:r>
        <w:rPr>
          <w:color w:val="auto"/>
          <w:highlight w:val="none"/>
        </w:rPr>
        <w:fldChar w:fldCharType="separate"/>
      </w:r>
      <w:r>
        <w:rPr>
          <w:rFonts w:hint="eastAsia" w:ascii="宋体" w:hAnsi="宋体" w:eastAsia="宋体" w:cs="宋体"/>
          <w:color w:val="auto"/>
          <w:sz w:val="21"/>
          <w:szCs w:val="21"/>
          <w:highlight w:val="none"/>
        </w:rPr>
        <w:t>附件11.技术规格偏离表格式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_Toc32183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"_Toc29613" </w:instrText>
      </w:r>
      <w:r>
        <w:rPr>
          <w:color w:val="auto"/>
          <w:highlight w:val="none"/>
        </w:rPr>
        <w:fldChar w:fldCharType="separate"/>
      </w:r>
      <w:r>
        <w:rPr>
          <w:rFonts w:hint="eastAsia" w:ascii="宋体" w:hAnsi="宋体" w:eastAsia="宋体" w:cs="宋体"/>
          <w:color w:val="auto"/>
          <w:sz w:val="21"/>
          <w:szCs w:val="21"/>
          <w:highlight w:val="none"/>
        </w:rPr>
        <w:t>附件12.重要技术参数（▲）响应表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_Toc29613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"_Toc27674" </w:instrText>
      </w:r>
      <w:r>
        <w:rPr>
          <w:color w:val="auto"/>
          <w:highlight w:val="none"/>
        </w:rPr>
        <w:fldChar w:fldCharType="separate"/>
      </w:r>
      <w:r>
        <w:rPr>
          <w:rFonts w:hint="eastAsia" w:ascii="宋体" w:hAnsi="宋体" w:eastAsia="宋体" w:cs="宋体"/>
          <w:color w:val="auto"/>
          <w:sz w:val="21"/>
          <w:szCs w:val="21"/>
          <w:highlight w:val="none"/>
        </w:rPr>
        <w:t>附件13.业绩表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_Toc27674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"_Toc7860" </w:instrText>
      </w:r>
      <w:r>
        <w:rPr>
          <w:color w:val="auto"/>
          <w:highlight w:val="none"/>
        </w:rPr>
        <w:fldChar w:fldCharType="separate"/>
      </w:r>
      <w:r>
        <w:rPr>
          <w:rFonts w:hint="eastAsia" w:ascii="宋体" w:hAnsi="宋体" w:eastAsia="宋体" w:cs="宋体"/>
          <w:color w:val="auto"/>
          <w:sz w:val="21"/>
          <w:szCs w:val="21"/>
          <w:highlight w:val="none"/>
        </w:rPr>
        <w:t>附件14.项目实施方案格式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_Toc7860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"_Toc8596" </w:instrText>
      </w:r>
      <w:r>
        <w:rPr>
          <w:color w:val="auto"/>
          <w:highlight w:val="none"/>
        </w:rPr>
        <w:fldChar w:fldCharType="separate"/>
      </w:r>
      <w:r>
        <w:rPr>
          <w:rFonts w:hint="eastAsia" w:ascii="宋体" w:hAnsi="宋体" w:eastAsia="宋体" w:cs="宋体"/>
          <w:color w:val="auto"/>
          <w:sz w:val="21"/>
          <w:szCs w:val="21"/>
          <w:highlight w:val="none"/>
        </w:rPr>
        <w:t>附件15.实施本项目的有关人员资料表格式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_Toc8596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"_Toc21598" </w:instrText>
      </w:r>
      <w:r>
        <w:rPr>
          <w:color w:val="auto"/>
          <w:highlight w:val="none"/>
        </w:rPr>
        <w:fldChar w:fldCharType="separate"/>
      </w:r>
      <w:r>
        <w:rPr>
          <w:rFonts w:hint="eastAsia" w:ascii="宋体" w:hAnsi="宋体" w:eastAsia="宋体" w:cs="宋体"/>
          <w:color w:val="auto"/>
          <w:sz w:val="21"/>
          <w:szCs w:val="21"/>
          <w:highlight w:val="none"/>
        </w:rPr>
        <w:t>附件16.投标货物说明一览表格式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_Toc21598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"_Toc10094" </w:instrText>
      </w:r>
      <w:r>
        <w:rPr>
          <w:color w:val="auto"/>
          <w:highlight w:val="none"/>
        </w:rPr>
        <w:fldChar w:fldCharType="separate"/>
      </w:r>
      <w:r>
        <w:rPr>
          <w:rFonts w:hint="eastAsia" w:ascii="宋体" w:hAnsi="宋体" w:eastAsia="宋体" w:cs="宋体"/>
          <w:color w:val="auto"/>
          <w:sz w:val="21"/>
          <w:szCs w:val="21"/>
          <w:highlight w:val="none"/>
        </w:rPr>
        <w:t>附件17.在经营活动中没有重大违法记录的书面声明格式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_Toc10094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"_Toc21223" </w:instrText>
      </w:r>
      <w:r>
        <w:rPr>
          <w:color w:val="auto"/>
          <w:highlight w:val="none"/>
        </w:rPr>
        <w:fldChar w:fldCharType="separate"/>
      </w:r>
      <w:r>
        <w:rPr>
          <w:rFonts w:hint="eastAsia" w:ascii="宋体" w:hAnsi="宋体" w:eastAsia="宋体" w:cs="宋体"/>
          <w:color w:val="auto"/>
          <w:sz w:val="21"/>
          <w:szCs w:val="21"/>
          <w:highlight w:val="none"/>
        </w:rPr>
        <w:t>附件18.中小企业声明函（投标人为中小企业时适用）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"_Toc28081" </w:instrText>
      </w:r>
      <w:r>
        <w:rPr>
          <w:color w:val="auto"/>
          <w:highlight w:val="none"/>
        </w:rPr>
        <w:fldChar w:fldCharType="separate"/>
      </w:r>
      <w:r>
        <w:rPr>
          <w:rFonts w:hint="eastAsia" w:ascii="宋体" w:hAnsi="宋体" w:eastAsia="宋体" w:cs="宋体"/>
          <w:color w:val="auto"/>
          <w:sz w:val="21"/>
          <w:szCs w:val="21"/>
          <w:highlight w:val="none"/>
        </w:rPr>
        <w:t>附件19.《残疾人福利性单位声明函》（残疾人福利性单位适用）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"_Toc25634" </w:instrText>
      </w:r>
      <w:r>
        <w:rPr>
          <w:color w:val="auto"/>
          <w:highlight w:val="none"/>
        </w:rPr>
        <w:fldChar w:fldCharType="separate"/>
      </w:r>
      <w:r>
        <w:rPr>
          <w:rFonts w:hint="eastAsia" w:ascii="宋体" w:hAnsi="宋体" w:eastAsia="宋体" w:cs="宋体"/>
          <w:color w:val="auto"/>
          <w:sz w:val="21"/>
          <w:szCs w:val="21"/>
          <w:highlight w:val="none"/>
        </w:rPr>
        <w:t>附件20.投标保证金汇入情况说明格式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_Toc25634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"_Toc4363" </w:instrText>
      </w:r>
      <w:r>
        <w:rPr>
          <w:color w:val="auto"/>
          <w:highlight w:val="none"/>
        </w:rPr>
        <w:fldChar w:fldCharType="separate"/>
      </w:r>
      <w:r>
        <w:rPr>
          <w:rFonts w:hint="eastAsia" w:ascii="宋体" w:hAnsi="宋体" w:eastAsia="宋体" w:cs="宋体"/>
          <w:color w:val="auto"/>
          <w:sz w:val="21"/>
          <w:szCs w:val="21"/>
          <w:highlight w:val="none"/>
        </w:rPr>
        <w:t>附件21.政府采购投标担保函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_Toc4363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"_Toc27534" </w:instrText>
      </w:r>
      <w:r>
        <w:rPr>
          <w:color w:val="auto"/>
          <w:highlight w:val="none"/>
        </w:rPr>
        <w:fldChar w:fldCharType="separate"/>
      </w:r>
      <w:r>
        <w:rPr>
          <w:rFonts w:hint="eastAsia" w:ascii="宋体" w:hAnsi="宋体" w:eastAsia="宋体" w:cs="宋体"/>
          <w:color w:val="auto"/>
          <w:sz w:val="21"/>
          <w:szCs w:val="21"/>
          <w:highlight w:val="none"/>
        </w:rPr>
        <w:t>附件22.政府采购履约担保函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_Toc27534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"_Toc17023" </w:instrText>
      </w:r>
      <w:r>
        <w:rPr>
          <w:color w:val="auto"/>
          <w:highlight w:val="none"/>
        </w:rPr>
        <w:fldChar w:fldCharType="separate"/>
      </w:r>
      <w:r>
        <w:rPr>
          <w:rFonts w:hint="eastAsia" w:ascii="宋体" w:hAnsi="宋体" w:eastAsia="宋体" w:cs="宋体"/>
          <w:color w:val="auto"/>
          <w:sz w:val="21"/>
          <w:szCs w:val="21"/>
          <w:highlight w:val="none"/>
        </w:rPr>
        <w:t>附件23.获取招标文件登记表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_Toc17023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"_Toc11182" </w:instrText>
      </w:r>
      <w:r>
        <w:rPr>
          <w:color w:val="auto"/>
          <w:highlight w:val="none"/>
        </w:rPr>
        <w:fldChar w:fldCharType="separate"/>
      </w:r>
      <w:r>
        <w:rPr>
          <w:rFonts w:hint="eastAsia" w:ascii="宋体" w:hAnsi="宋体" w:eastAsia="宋体" w:cs="宋体"/>
          <w:color w:val="auto"/>
          <w:sz w:val="21"/>
          <w:szCs w:val="21"/>
          <w:highlight w:val="none"/>
        </w:rPr>
        <w:t>附件24.质疑函范本</w:t>
      </w:r>
      <w:bookmarkStart w:id="248" w:name="_GoBack"/>
      <w:bookmarkEnd w:id="248"/>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pPr>
        <w:pStyle w:val="20"/>
        <w:tabs>
          <w:tab w:val="right" w:leader="dot" w:pos="8306"/>
          <w:tab w:val="clear" w:pos="8296"/>
        </w:tabs>
        <w:spacing w:after="0" w:line="360" w:lineRule="auto"/>
        <w:ind w:left="0" w:leftChars="0"/>
        <w:jc w:val="both"/>
        <w:rPr>
          <w:rFonts w:cs="宋体"/>
          <w:color w:val="auto"/>
          <w:szCs w:val="21"/>
          <w:highlight w:val="none"/>
        </w:rPr>
      </w:pPr>
      <w:r>
        <w:rPr>
          <w:rFonts w:hint="eastAsia" w:ascii="宋体" w:hAnsi="宋体" w:eastAsia="宋体" w:cs="宋体"/>
          <w:color w:val="auto"/>
          <w:sz w:val="21"/>
          <w:szCs w:val="21"/>
          <w:highlight w:val="none"/>
        </w:rPr>
        <w:fldChar w:fldCharType="end"/>
      </w:r>
    </w:p>
    <w:p>
      <w:pPr>
        <w:rPr>
          <w:rFonts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5"/>
        <w:spacing w:before="0" w:after="0" w:line="240" w:lineRule="auto"/>
        <w:rPr>
          <w:color w:val="auto"/>
          <w:sz w:val="28"/>
          <w:szCs w:val="28"/>
          <w:highlight w:val="none"/>
        </w:rPr>
      </w:pPr>
      <w:r>
        <w:rPr>
          <w:rFonts w:hint="eastAsia"/>
          <w:color w:val="auto"/>
          <w:sz w:val="28"/>
          <w:szCs w:val="28"/>
          <w:highlight w:val="none"/>
        </w:rPr>
        <w:t>第一部分 投标邀请</w:t>
      </w:r>
    </w:p>
    <w:p>
      <w:pPr>
        <w:pStyle w:val="6"/>
        <w:spacing w:before="0" w:after="0" w:line="360" w:lineRule="auto"/>
        <w:jc w:val="center"/>
        <w:rPr>
          <w:rFonts w:ascii="宋体" w:hAnsi="宋体" w:eastAsia="宋体" w:cs="宋体"/>
          <w:color w:val="auto"/>
          <w:highlight w:val="none"/>
        </w:rPr>
      </w:pPr>
      <w:bookmarkStart w:id="0" w:name="_Toc1420"/>
      <w:r>
        <w:rPr>
          <w:rFonts w:hint="eastAsia" w:ascii="宋体" w:hAnsi="宋体" w:eastAsia="宋体" w:cs="宋体"/>
          <w:color w:val="auto"/>
          <w:highlight w:val="none"/>
        </w:rPr>
        <w:t>投标邀请书</w:t>
      </w:r>
      <w:bookmarkEnd w:id="0"/>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）受</w:t>
      </w:r>
      <w:r>
        <w:rPr>
          <w:rFonts w:hint="eastAsia" w:ascii="宋体" w:hAnsi="宋体" w:eastAsia="宋体"/>
          <w:b/>
          <w:bCs/>
          <w:color w:val="auto"/>
          <w:sz w:val="21"/>
          <w:szCs w:val="21"/>
          <w:highlight w:val="none"/>
          <w:u w:val="single"/>
        </w:rPr>
        <w:t>东莞滨海湾新区管理委员会</w:t>
      </w:r>
      <w:r>
        <w:rPr>
          <w:rFonts w:ascii="宋体" w:hAnsi="宋体" w:eastAsia="宋体"/>
          <w:color w:val="auto"/>
          <w:sz w:val="21"/>
          <w:szCs w:val="21"/>
          <w:highlight w:val="none"/>
        </w:rPr>
        <w:t>（以下简称</w:t>
      </w: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）委托，</w:t>
      </w:r>
      <w:r>
        <w:rPr>
          <w:rFonts w:hint="eastAsia" w:ascii="宋体" w:hAnsi="宋体" w:eastAsia="宋体"/>
          <w:color w:val="auto"/>
          <w:sz w:val="21"/>
          <w:szCs w:val="21"/>
          <w:highlight w:val="none"/>
        </w:rPr>
        <w:t>现</w:t>
      </w:r>
      <w:r>
        <w:rPr>
          <w:rFonts w:ascii="宋体" w:hAnsi="宋体" w:eastAsia="宋体"/>
          <w:color w:val="auto"/>
          <w:sz w:val="21"/>
          <w:szCs w:val="21"/>
          <w:highlight w:val="none"/>
        </w:rPr>
        <w:t>就</w:t>
      </w:r>
      <w:r>
        <w:rPr>
          <w:rFonts w:hint="eastAsia" w:ascii="宋体" w:hAnsi="宋体" w:eastAsia="宋体"/>
          <w:b/>
          <w:bCs/>
          <w:color w:val="auto"/>
          <w:sz w:val="21"/>
          <w:szCs w:val="21"/>
          <w:highlight w:val="none"/>
          <w:u w:val="single"/>
          <w:lang w:eastAsia="zh-CN"/>
        </w:rPr>
        <w:t>东莞滨海湾新区交椅湾智慧道路(二期）软件采购项目</w:t>
      </w:r>
      <w:r>
        <w:rPr>
          <w:rFonts w:hint="eastAsia" w:ascii="宋体" w:hAnsi="宋体" w:eastAsia="宋体"/>
          <w:color w:val="auto"/>
          <w:sz w:val="21"/>
          <w:szCs w:val="21"/>
          <w:highlight w:val="none"/>
        </w:rPr>
        <w:t>（采购项目编号：</w:t>
      </w:r>
      <w:r>
        <w:rPr>
          <w:rFonts w:hint="eastAsia" w:ascii="宋体" w:hAnsi="宋体" w:eastAsia="宋体"/>
          <w:b/>
          <w:bCs/>
          <w:color w:val="auto"/>
          <w:sz w:val="21"/>
          <w:szCs w:val="21"/>
          <w:highlight w:val="none"/>
          <w:u w:val="single"/>
        </w:rPr>
        <w:t>441900011-2021-00038</w:t>
      </w:r>
      <w:r>
        <w:rPr>
          <w:rFonts w:hint="eastAsia" w:ascii="宋体" w:hAnsi="宋体" w:eastAsia="宋体"/>
          <w:color w:val="auto"/>
          <w:sz w:val="21"/>
          <w:szCs w:val="21"/>
          <w:highlight w:val="none"/>
        </w:rPr>
        <w:t>）</w:t>
      </w:r>
      <w:r>
        <w:rPr>
          <w:rFonts w:hint="eastAsia" w:ascii="宋体" w:hAnsi="宋体" w:eastAsia="宋体" w:cs="Times New Roman"/>
          <w:color w:val="auto"/>
          <w:sz w:val="21"/>
          <w:szCs w:val="21"/>
          <w:highlight w:val="none"/>
        </w:rPr>
        <w:t>进行国内公开招标采购</w:t>
      </w:r>
      <w:r>
        <w:rPr>
          <w:rFonts w:hint="eastAsia" w:ascii="宋体" w:hAnsi="宋体" w:eastAsia="宋体"/>
          <w:color w:val="auto"/>
          <w:sz w:val="21"/>
          <w:szCs w:val="21"/>
          <w:highlight w:val="none"/>
        </w:rPr>
        <w:t>，欢迎符合招标文件要求的国内投标人参加投标</w:t>
      </w:r>
      <w:r>
        <w:rPr>
          <w:rFonts w:ascii="宋体" w:hAnsi="宋体" w:eastAsia="宋体"/>
          <w:color w:val="auto"/>
          <w:sz w:val="21"/>
          <w:szCs w:val="21"/>
          <w:highlight w:val="none"/>
        </w:rPr>
        <w:t>。有关事项如下：</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一、招标项目的名称、用途、简要技术要求或者招标项目的性质</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1、项目内容：</w:t>
      </w:r>
      <w:r>
        <w:rPr>
          <w:rFonts w:hint="eastAsia" w:ascii="宋体" w:hAnsi="宋体" w:eastAsia="宋体"/>
          <w:b/>
          <w:bCs/>
          <w:color w:val="auto"/>
          <w:sz w:val="21"/>
          <w:szCs w:val="21"/>
          <w:highlight w:val="none"/>
          <w:u w:val="single"/>
        </w:rPr>
        <w:t>东莞滨海湾新区交椅湾智慧道路(二期）软件</w:t>
      </w:r>
      <w:r>
        <w:rPr>
          <w:rFonts w:hint="eastAsia" w:ascii="宋体" w:hAnsi="宋体" w:eastAsia="宋体"/>
          <w:color w:val="auto"/>
          <w:sz w:val="21"/>
          <w:szCs w:val="21"/>
          <w:highlight w:val="none"/>
        </w:rPr>
        <w:t>采购一项，预算：</w:t>
      </w:r>
      <w:r>
        <w:rPr>
          <w:rFonts w:hint="eastAsia" w:ascii="宋体" w:hAnsi="宋体" w:eastAsia="宋体"/>
          <w:b/>
          <w:color w:val="auto"/>
          <w:sz w:val="21"/>
          <w:szCs w:val="21"/>
          <w:highlight w:val="none"/>
          <w:u w:val="single"/>
        </w:rPr>
        <w:t>12</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086</w:t>
      </w:r>
      <w:r>
        <w:rPr>
          <w:rFonts w:hint="eastAsia" w:ascii="宋体" w:hAnsi="宋体" w:eastAsia="宋体"/>
          <w:b/>
          <w:color w:val="auto"/>
          <w:sz w:val="21"/>
          <w:szCs w:val="21"/>
          <w:highlight w:val="none"/>
          <w:u w:val="single"/>
          <w:lang w:val="en-US" w:eastAsia="zh-CN"/>
        </w:rPr>
        <w:t>,</w:t>
      </w:r>
      <w:r>
        <w:rPr>
          <w:rFonts w:hint="eastAsia" w:ascii="宋体" w:hAnsi="宋体" w:eastAsia="宋体"/>
          <w:b/>
          <w:color w:val="auto"/>
          <w:sz w:val="21"/>
          <w:szCs w:val="21"/>
          <w:highlight w:val="none"/>
          <w:u w:val="single"/>
        </w:rPr>
        <w:t>683.23</w:t>
      </w:r>
      <w:r>
        <w:rPr>
          <w:rFonts w:hint="eastAsia" w:ascii="宋体" w:hAnsi="宋体" w:eastAsia="宋体"/>
          <w:color w:val="auto"/>
          <w:sz w:val="21"/>
          <w:szCs w:val="21"/>
          <w:highlight w:val="none"/>
        </w:rPr>
        <w:t>元。</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二、投标人资格要求</w:t>
      </w:r>
    </w:p>
    <w:p>
      <w:pPr>
        <w:spacing w:after="0" w:line="360" w:lineRule="auto"/>
        <w:ind w:firstLine="411" w:firstLineChars="196"/>
        <w:rPr>
          <w:rFonts w:ascii="宋体" w:hAnsi="宋体" w:eastAsia="宋体"/>
          <w:color w:val="auto"/>
          <w:sz w:val="21"/>
          <w:szCs w:val="21"/>
          <w:highlight w:val="none"/>
        </w:rPr>
      </w:pPr>
      <w:r>
        <w:rPr>
          <w:rFonts w:hint="eastAsia" w:ascii="宋体" w:hAnsi="宋体" w:eastAsia="宋体"/>
          <w:color w:val="auto"/>
          <w:sz w:val="21"/>
          <w:szCs w:val="21"/>
          <w:highlight w:val="none"/>
        </w:rPr>
        <w:t>1、一般要求：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3" w:firstLineChars="196"/>
        <w:rPr>
          <w:rFonts w:ascii="宋体" w:hAnsi="宋体" w:eastAsia="宋体"/>
          <w:b/>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三、项目公示时间、招标文件领购时间、地点、方式</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1、项目公示时间：2021年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日。</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2、招标文件领购</w:t>
      </w:r>
      <w:r>
        <w:rPr>
          <w:rFonts w:ascii="宋体" w:hAnsi="宋体" w:eastAsia="宋体"/>
          <w:color w:val="auto"/>
          <w:sz w:val="21"/>
          <w:szCs w:val="21"/>
          <w:highlight w:val="none"/>
        </w:rPr>
        <w:t>时间：</w:t>
      </w:r>
      <w:r>
        <w:rPr>
          <w:rFonts w:hint="eastAsia" w:ascii="宋体" w:hAnsi="宋体" w:eastAsia="宋体"/>
          <w:color w:val="auto"/>
          <w:sz w:val="21"/>
          <w:szCs w:val="21"/>
          <w:highlight w:val="none"/>
        </w:rPr>
        <w:t>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09</w:t>
      </w:r>
      <w:r>
        <w:rPr>
          <w:rFonts w:hint="eastAsia" w:ascii="宋体" w:hAnsi="宋体" w:eastAsia="宋体"/>
          <w:color w:val="auto"/>
          <w:sz w:val="21"/>
          <w:szCs w:val="21"/>
          <w:highlight w:val="none"/>
        </w:rPr>
        <w:t>日起至2021年</w:t>
      </w:r>
      <w:r>
        <w:rPr>
          <w:rFonts w:hint="eastAsia" w:ascii="宋体" w:hAnsi="宋体" w:eastAsia="宋体"/>
          <w:color w:val="auto"/>
          <w:sz w:val="21"/>
          <w:szCs w:val="21"/>
          <w:highlight w:val="none"/>
          <w:lang w:val="en-US" w:eastAsia="zh-CN"/>
        </w:rPr>
        <w:t>04</w:t>
      </w:r>
      <w:r>
        <w:rPr>
          <w:rFonts w:hint="eastAsia" w:ascii="宋体" w:hAnsi="宋体" w:eastAsia="宋体"/>
          <w:color w:val="auto"/>
          <w:sz w:val="21"/>
          <w:szCs w:val="21"/>
          <w:highlight w:val="none"/>
        </w:rPr>
        <w:t>月</w:t>
      </w:r>
      <w:r>
        <w:rPr>
          <w:rFonts w:hint="eastAsia" w:ascii="宋体" w:hAnsi="宋体" w:eastAsia="宋体"/>
          <w:color w:val="auto"/>
          <w:sz w:val="21"/>
          <w:szCs w:val="21"/>
          <w:highlight w:val="none"/>
          <w:lang w:val="en-US" w:eastAsia="zh-CN"/>
        </w:rPr>
        <w:t>16</w:t>
      </w:r>
      <w:r>
        <w:rPr>
          <w:rFonts w:hint="eastAsia" w:ascii="宋体" w:hAnsi="宋体" w:eastAsia="宋体"/>
          <w:color w:val="auto"/>
          <w:sz w:val="21"/>
          <w:szCs w:val="21"/>
          <w:highlight w:val="none"/>
        </w:rPr>
        <w:t xml:space="preserve">日（节假日除外），上午9：00～12：00，下午14：30～17：30（北京时间）。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注：（1）投标人可自行打印招标文件中的“附件23 获取招标文件登记表”进行填写并带到现场进行领购，并现场领取发票。（招标文件领购价：人民币150元整）</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（2）现场支持现金支付、微信支付、支付宝支付等支付方式，请将相应表格交予我司简小姐。</w:t>
      </w:r>
    </w:p>
    <w:p>
      <w:pPr>
        <w:spacing w:after="0" w:line="360" w:lineRule="auto"/>
        <w:ind w:firstLine="420" w:firstLineChars="200"/>
        <w:rPr>
          <w:color w:val="auto"/>
          <w:highlight w:val="none"/>
        </w:rPr>
      </w:pPr>
      <w:r>
        <w:rPr>
          <w:rFonts w:hint="eastAsia" w:ascii="宋体" w:hAnsi="宋体" w:eastAsia="宋体"/>
          <w:color w:val="auto"/>
          <w:sz w:val="21"/>
          <w:szCs w:val="21"/>
          <w:highlight w:val="none"/>
        </w:rPr>
        <w:t>（3）招标文件电子版可在广东省政府采购网（https://gdgpo.czt.gd.gov.cn/）相关招标信息公告下自行下载。</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3、招标文件领购地点：东莞市南城街道鸿福西路81号国际商会大厦13A01室。</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联系人：简海欣</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4、招标文件领购方式：现场领购。</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人在领购招标文件时须提供如下证明材料：《营业执照》复印件（加盖公章）或《事业单位法人证书》复印件（加盖公章）或其他主体证书复印件（加盖公章），自然人参加投标须提供自然人的身份证明材料；</w:t>
      </w:r>
    </w:p>
    <w:p>
      <w:pPr>
        <w:spacing w:after="0" w:line="360" w:lineRule="auto"/>
        <w:rPr>
          <w:rFonts w:ascii="宋体" w:hAnsi="宋体" w:eastAsia="宋体"/>
          <w:color w:val="auto"/>
          <w:sz w:val="21"/>
          <w:szCs w:val="21"/>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四、其他事宜</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凡参与本项目政府采购活动的供应商需访问并登录广东省政府采购网的广东政府采购智慧云平台（https://gdgpo.czt.gd.gov.cn/）进行注册建档入库，投标供应商在使用过程中遇到涉及系统使用的任何问题，可致电云平台技术支持热线400-183-2999进行咨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2、需要落实的政府采购政策：《政府采购促进中小企业发展管理办法》（财库〔2020〕46 号）、《关于政府采购支持监狱企业发展有关问题的通知》(财库〔2014〕68 号)、《关于促进残疾人就业政府采购政策的通知》（财库〔2017〕141 号)、《关于环境标志产品政府采购实施的意见》（财库〔2006〕90 号、《节能产品政府采购实施意见》的通知（财库〔2004〕185 号）、《关于调整优化节能产品、环境标志产品政府采购执行机制的通知》（粤财采购[2019]9 号）、《关于运用政府采购政策支持脱贫攻坚的通知》（财库[2019]27 号）、《关于印发&lt;商品包装政府采购需求标准（试行）&gt;、 &lt;快递包装政府采购需求标准（试行）&gt;的通知》（财办库〔2020〕123 号）等。</w:t>
      </w:r>
    </w:p>
    <w:p>
      <w:pPr>
        <w:spacing w:after="0" w:line="360" w:lineRule="auto"/>
        <w:ind w:firstLine="411" w:firstLineChars="196"/>
        <w:rPr>
          <w:rFonts w:ascii="宋体" w:hAnsi="宋体" w:eastAsia="宋体"/>
          <w:color w:val="auto"/>
          <w:sz w:val="21"/>
          <w:szCs w:val="21"/>
          <w:highlight w:val="none"/>
        </w:rPr>
      </w:pPr>
    </w:p>
    <w:p>
      <w:pPr>
        <w:spacing w:after="0" w:line="360" w:lineRule="auto"/>
        <w:ind w:firstLine="413" w:firstLineChars="196"/>
        <w:rPr>
          <w:rFonts w:ascii="宋体" w:hAnsi="宋体" w:eastAsia="宋体"/>
          <w:b/>
          <w:color w:val="auto"/>
          <w:sz w:val="21"/>
          <w:szCs w:val="21"/>
          <w:highlight w:val="none"/>
        </w:rPr>
      </w:pPr>
      <w:r>
        <w:rPr>
          <w:rFonts w:hint="eastAsia" w:ascii="宋体" w:hAnsi="宋体" w:eastAsia="宋体"/>
          <w:b/>
          <w:color w:val="auto"/>
          <w:sz w:val="21"/>
          <w:szCs w:val="21"/>
          <w:highlight w:val="none"/>
        </w:rPr>
        <w:t>五、投标截止时间、开标时间及地点</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1、递交投标文件时间：2021年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日上午9：00～9：30。</w:t>
      </w:r>
    </w:p>
    <w:p>
      <w:pPr>
        <w:spacing w:after="0" w:line="360" w:lineRule="auto"/>
        <w:ind w:firstLine="420" w:firstLineChars="200"/>
        <w:rPr>
          <w:rFonts w:ascii="宋体" w:hAnsi="宋体" w:eastAsia="宋体"/>
          <w:bCs/>
          <w:color w:val="auto"/>
          <w:sz w:val="21"/>
          <w:szCs w:val="21"/>
          <w:highlight w:val="none"/>
        </w:rPr>
      </w:pPr>
      <w:r>
        <w:rPr>
          <w:rFonts w:hint="eastAsia" w:ascii="宋体" w:hAnsi="宋体" w:eastAsia="宋体"/>
          <w:bCs/>
          <w:color w:val="auto"/>
          <w:sz w:val="21"/>
          <w:szCs w:val="21"/>
          <w:highlight w:val="none"/>
        </w:rPr>
        <w:t>2、</w:t>
      </w:r>
      <w:r>
        <w:rPr>
          <w:rFonts w:ascii="宋体" w:hAnsi="宋体" w:eastAsia="宋体"/>
          <w:bCs/>
          <w:color w:val="auto"/>
          <w:sz w:val="21"/>
          <w:szCs w:val="21"/>
          <w:highlight w:val="none"/>
        </w:rPr>
        <w:t>投标截止</w:t>
      </w:r>
      <w:r>
        <w:rPr>
          <w:rFonts w:hint="eastAsia" w:ascii="宋体" w:hAnsi="宋体" w:eastAsia="宋体"/>
          <w:bCs/>
          <w:color w:val="auto"/>
          <w:sz w:val="21"/>
          <w:szCs w:val="21"/>
          <w:highlight w:val="none"/>
        </w:rPr>
        <w:t>及开标时间：2021年</w:t>
      </w:r>
      <w:r>
        <w:rPr>
          <w:rFonts w:hint="eastAsia" w:ascii="宋体" w:hAnsi="宋体" w:eastAsia="宋体"/>
          <w:bCs/>
          <w:color w:val="auto"/>
          <w:sz w:val="21"/>
          <w:szCs w:val="21"/>
          <w:highlight w:val="none"/>
          <w:lang w:val="en-US" w:eastAsia="zh-CN"/>
        </w:rPr>
        <w:t>04</w:t>
      </w:r>
      <w:r>
        <w:rPr>
          <w:rFonts w:hint="eastAsia" w:ascii="宋体" w:hAnsi="宋体" w:eastAsia="宋体"/>
          <w:bCs/>
          <w:color w:val="auto"/>
          <w:sz w:val="21"/>
          <w:szCs w:val="21"/>
          <w:highlight w:val="none"/>
        </w:rPr>
        <w:t>月</w:t>
      </w:r>
      <w:r>
        <w:rPr>
          <w:rFonts w:hint="eastAsia" w:ascii="宋体" w:hAnsi="宋体" w:eastAsia="宋体"/>
          <w:bCs/>
          <w:color w:val="auto"/>
          <w:sz w:val="21"/>
          <w:szCs w:val="21"/>
          <w:highlight w:val="none"/>
          <w:lang w:val="en-US" w:eastAsia="zh-CN"/>
        </w:rPr>
        <w:t>30</w:t>
      </w:r>
      <w:r>
        <w:rPr>
          <w:rFonts w:hint="eastAsia" w:ascii="宋体" w:hAnsi="宋体" w:eastAsia="宋体"/>
          <w:bCs/>
          <w:color w:val="auto"/>
          <w:sz w:val="21"/>
          <w:szCs w:val="21"/>
          <w:highlight w:val="none"/>
        </w:rPr>
        <w:t>日上午9时30分。</w:t>
      </w:r>
    </w:p>
    <w:p>
      <w:pPr>
        <w:spacing w:after="0"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3、</w:t>
      </w:r>
      <w:r>
        <w:rPr>
          <w:rFonts w:ascii="宋体" w:hAnsi="宋体" w:eastAsia="宋体"/>
          <w:bCs/>
          <w:color w:val="auto"/>
          <w:sz w:val="21"/>
          <w:szCs w:val="21"/>
          <w:highlight w:val="none"/>
        </w:rPr>
        <w:t>开标地点：</w:t>
      </w:r>
      <w:r>
        <w:rPr>
          <w:rFonts w:hint="eastAsia" w:ascii="宋体" w:hAnsi="宋体" w:eastAsia="宋体"/>
          <w:color w:val="auto"/>
          <w:sz w:val="21"/>
          <w:szCs w:val="21"/>
          <w:highlight w:val="none"/>
        </w:rPr>
        <w:t>东莞市南城街道鸿福西路81号国际商会大厦13A01室</w:t>
      </w:r>
      <w:r>
        <w:rPr>
          <w:rFonts w:hint="eastAsia" w:ascii="宋体" w:hAnsi="宋体" w:eastAsia="宋体"/>
          <w:bCs/>
          <w:color w:val="auto"/>
          <w:sz w:val="21"/>
          <w:szCs w:val="21"/>
          <w:highlight w:val="none"/>
        </w:rPr>
        <w:t>。</w:t>
      </w:r>
    </w:p>
    <w:p>
      <w:pPr>
        <w:pStyle w:val="2"/>
        <w:rPr>
          <w:color w:val="auto"/>
          <w:highlight w:val="none"/>
        </w:rPr>
      </w:pPr>
    </w:p>
    <w:p>
      <w:pPr>
        <w:spacing w:after="0" w:line="360" w:lineRule="auto"/>
        <w:ind w:firstLine="413" w:firstLineChars="196"/>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六、采购人及采购代理机构的名称、地址和联系方法：</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采购人联系人：陈小姐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地址：东莞市长安镇滨海湾新区湾区一号 </w:t>
      </w:r>
    </w:p>
    <w:p>
      <w:pPr>
        <w:spacing w:after="0"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联系电话：0769-26889679</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采购代理机构名称：广东政通招标有限公司</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地址：东莞市南城街道鸿福西路81号国际商会大厦13A01室。</w:t>
      </w:r>
    </w:p>
    <w:p>
      <w:pPr>
        <w:spacing w:after="0" w:line="360" w:lineRule="auto"/>
        <w:ind w:firstLine="420" w:firstLineChars="200"/>
        <w:rPr>
          <w:rFonts w:hint="eastAsia" w:ascii="宋体" w:hAnsi="宋体" w:eastAsia="宋体"/>
          <w:color w:val="auto"/>
          <w:sz w:val="21"/>
          <w:szCs w:val="21"/>
          <w:highlight w:val="none"/>
          <w:lang w:val="en-US" w:eastAsia="zh-CN"/>
        </w:rPr>
      </w:pPr>
      <w:r>
        <w:rPr>
          <w:rFonts w:hint="eastAsia" w:ascii="宋体" w:hAnsi="宋体" w:eastAsia="宋体"/>
          <w:color w:val="auto"/>
          <w:sz w:val="21"/>
          <w:szCs w:val="21"/>
          <w:highlight w:val="none"/>
        </w:rPr>
        <w:t>采购代理机构联系人：</w:t>
      </w:r>
      <w:r>
        <w:rPr>
          <w:rFonts w:hint="eastAsia" w:ascii="宋体" w:hAnsi="宋体" w:eastAsia="宋体"/>
          <w:color w:val="auto"/>
          <w:sz w:val="21"/>
          <w:szCs w:val="21"/>
          <w:highlight w:val="none"/>
          <w:lang w:val="en-US" w:eastAsia="zh-CN"/>
        </w:rPr>
        <w:t>杨俊平</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联系电话：0769-22881803</w:t>
      </w:r>
    </w:p>
    <w:p>
      <w:pPr>
        <w:spacing w:after="0" w:line="360" w:lineRule="auto"/>
        <w:ind w:firstLine="420" w:firstLineChars="200"/>
        <w:rPr>
          <w:rFonts w:eastAsia="宋体"/>
          <w:color w:val="auto"/>
          <w:highlight w:val="none"/>
        </w:rPr>
      </w:pPr>
      <w:r>
        <w:rPr>
          <w:rFonts w:hint="eastAsia" w:ascii="宋体" w:hAnsi="宋体" w:eastAsia="宋体"/>
          <w:color w:val="auto"/>
          <w:sz w:val="21"/>
          <w:szCs w:val="21"/>
          <w:highlight w:val="none"/>
        </w:rPr>
        <w:t>E－ mail：769552785@qq.com</w:t>
      </w:r>
    </w:p>
    <w:p>
      <w:pPr>
        <w:rPr>
          <w:color w:val="auto"/>
          <w:highlight w:val="none"/>
        </w:rPr>
      </w:pPr>
    </w:p>
    <w:p>
      <w:pPr>
        <w:ind w:right="788" w:rightChars="358"/>
        <w:jc w:val="both"/>
        <w:rPr>
          <w:color w:val="auto"/>
          <w:highlight w:val="none"/>
        </w:rPr>
      </w:pPr>
    </w:p>
    <w:p>
      <w:pPr>
        <w:ind w:right="788" w:rightChars="358"/>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广东政通招标有限公司</w:t>
      </w:r>
    </w:p>
    <w:p>
      <w:pPr>
        <w:ind w:left="6481" w:leftChars="2755" w:hanging="420" w:hanging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2021</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04</w:t>
      </w:r>
      <w:r>
        <w:rPr>
          <w:rFonts w:hint="eastAsia" w:ascii="宋体" w:hAnsi="宋体" w:eastAsia="宋体" w:cs="宋体"/>
          <w:color w:val="auto"/>
          <w:sz w:val="21"/>
          <w:szCs w:val="21"/>
          <w:highlight w:val="none"/>
        </w:rPr>
        <w:t>月</w:t>
      </w:r>
    </w:p>
    <w:p>
      <w:pPr>
        <w:ind w:left="6481" w:leftChars="2755" w:hanging="420" w:hangingChars="200"/>
        <w:rPr>
          <w:rFonts w:ascii="黑体" w:hAnsi="宋体" w:eastAsia="黑体"/>
          <w:color w:val="auto"/>
          <w:highlight w:val="none"/>
        </w:rPr>
      </w:pPr>
      <w:r>
        <w:rPr>
          <w:rFonts w:hint="eastAsia" w:ascii="宋体" w:hAnsi="宋体" w:eastAsia="宋体" w:cs="宋体"/>
          <w:color w:val="auto"/>
          <w:sz w:val="21"/>
          <w:szCs w:val="21"/>
          <w:highlight w:val="none"/>
        </w:rPr>
        <w:br w:type="page"/>
      </w:r>
    </w:p>
    <w:p>
      <w:pPr>
        <w:pStyle w:val="5"/>
        <w:spacing w:before="0" w:after="0" w:line="240" w:lineRule="auto"/>
        <w:rPr>
          <w:color w:val="auto"/>
          <w:sz w:val="28"/>
          <w:szCs w:val="28"/>
          <w:highlight w:val="none"/>
        </w:rPr>
      </w:pPr>
      <w:bookmarkStart w:id="1" w:name="_Toc14146"/>
      <w:r>
        <w:rPr>
          <w:rFonts w:hint="eastAsia"/>
          <w:color w:val="auto"/>
          <w:sz w:val="28"/>
          <w:szCs w:val="28"/>
          <w:highlight w:val="none"/>
        </w:rPr>
        <w:t>第二部分 相关资料表格</w:t>
      </w:r>
      <w:bookmarkEnd w:id="1"/>
    </w:p>
    <w:p>
      <w:pPr>
        <w:pStyle w:val="6"/>
        <w:spacing w:before="0" w:after="0" w:line="240" w:lineRule="auto"/>
        <w:jc w:val="center"/>
        <w:rPr>
          <w:rFonts w:ascii="宋体" w:hAnsi="宋体" w:eastAsia="宋体" w:cs="宋体"/>
          <w:color w:val="auto"/>
          <w:sz w:val="24"/>
          <w:szCs w:val="24"/>
          <w:highlight w:val="none"/>
        </w:rPr>
      </w:pPr>
      <w:bookmarkStart w:id="2" w:name="_Toc20683"/>
      <w:r>
        <w:rPr>
          <w:rFonts w:hint="eastAsia" w:ascii="宋体" w:hAnsi="宋体" w:eastAsia="宋体" w:cs="宋体"/>
          <w:color w:val="auto"/>
          <w:sz w:val="24"/>
          <w:szCs w:val="24"/>
          <w:highlight w:val="none"/>
        </w:rPr>
        <w:t>附表一：投标资料表</w:t>
      </w:r>
      <w:bookmarkEnd w:id="2"/>
    </w:p>
    <w:tbl>
      <w:tblPr>
        <w:tblStyle w:val="24"/>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608"/>
        <w:gridCol w:w="1158"/>
        <w:gridCol w:w="75"/>
        <w:gridCol w:w="3691"/>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内容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Cs/>
                <w:color w:val="auto"/>
                <w:sz w:val="21"/>
                <w:szCs w:val="21"/>
                <w:highlight w:val="none"/>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bCs/>
                <w:color w:val="auto"/>
                <w:sz w:val="21"/>
                <w:szCs w:val="21"/>
                <w:highlight w:val="none"/>
              </w:rPr>
            </w:pPr>
            <w:r>
              <w:rPr>
                <w:rFonts w:hint="eastAsia" w:ascii="宋体" w:hAnsi="宋体" w:eastAsia="宋体"/>
                <w:color w:val="auto"/>
                <w:sz w:val="21"/>
                <w:szCs w:val="21"/>
                <w:highlight w:val="none"/>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是否为专门面向中小企业采购的采购项目</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是</w:t>
            </w:r>
            <w:r>
              <w:rPr>
                <w:rFonts w:hint="eastAsia" w:ascii="宋体" w:hAnsi="宋体" w:eastAsia="宋体"/>
                <w:bCs/>
                <w:color w:val="auto"/>
                <w:sz w:val="21"/>
                <w:szCs w:val="21"/>
                <w:highlight w:val="none"/>
              </w:rPr>
              <w:sym w:font="Wingdings" w:char="00A8"/>
            </w:r>
            <w:r>
              <w:rPr>
                <w:rFonts w:hint="eastAsia" w:ascii="宋体" w:hAnsi="宋体" w:eastAsia="宋体"/>
                <w:bCs/>
                <w:color w:val="auto"/>
                <w:sz w:val="21"/>
                <w:szCs w:val="21"/>
                <w:highlight w:val="none"/>
              </w:rPr>
              <w:t xml:space="preserve">    否</w:t>
            </w:r>
            <w:r>
              <w:rPr>
                <w:rFonts w:hint="eastAsia" w:ascii="宋体" w:hAnsi="宋体" w:eastAsia="宋体"/>
                <w:bCs/>
                <w:color w:val="auto"/>
                <w:sz w:val="21"/>
                <w:szCs w:val="21"/>
                <w:highlight w:val="none"/>
              </w:rPr>
              <w:sym w:font="Wingdings" w:char="00FE"/>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Cs/>
                <w:color w:val="auto"/>
                <w:sz w:val="21"/>
                <w:szCs w:val="21"/>
                <w:highlight w:val="none"/>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6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4</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广东省政府采购网</w:t>
            </w:r>
          </w:p>
        </w:tc>
        <w:tc>
          <w:tcPr>
            <w:tcW w:w="3691"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841"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color w:val="auto"/>
                <w:sz w:val="21"/>
                <w:szCs w:val="21"/>
                <w:highlight w:val="none"/>
              </w:rPr>
              <w:t>https://gdgpo.czt.gd.gov.cn/</w:t>
            </w:r>
          </w:p>
        </w:tc>
        <w:tc>
          <w:tcPr>
            <w:tcW w:w="3691" w:type="dxa"/>
            <w:vAlign w:val="center"/>
          </w:tcPr>
          <w:p>
            <w:pPr>
              <w:spacing w:after="0"/>
              <w:jc w:val="center"/>
              <w:rPr>
                <w:rFonts w:ascii="宋体" w:hAnsi="宋体" w:eastAsia="宋体"/>
                <w:b/>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5</w:t>
            </w: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b/>
                <w:color w:val="auto"/>
                <w:sz w:val="21"/>
                <w:szCs w:val="21"/>
                <w:highlight w:val="none"/>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rPr>
                <w:rFonts w:ascii="宋体" w:hAnsi="宋体" w:eastAsia="宋体"/>
                <w:b/>
                <w:color w:val="auto"/>
                <w:sz w:val="21"/>
                <w:szCs w:val="21"/>
                <w:highlight w:val="none"/>
              </w:rPr>
            </w:pPr>
            <w:r>
              <w:rPr>
                <w:rFonts w:hint="eastAsia" w:ascii="宋体" w:hAnsi="宋体" w:eastAsia="宋体"/>
                <w:color w:val="auto"/>
                <w:sz w:val="21"/>
                <w:szCs w:val="21"/>
                <w:highlight w:val="none"/>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7</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8</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核心产品</w:t>
            </w:r>
            <w:r>
              <w:rPr>
                <w:rFonts w:hint="eastAsia" w:ascii="宋体" w:hAnsi="宋体" w:eastAsia="宋体"/>
                <w:b/>
                <w:color w:val="auto"/>
                <w:kern w:val="2"/>
                <w:sz w:val="21"/>
                <w:szCs w:val="21"/>
                <w:highlight w:val="none"/>
              </w:rPr>
              <w:t>（本项目为服务采购项目，无核心产品）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9</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（1）投标保证金金额：人民币</w:t>
            </w:r>
            <w:r>
              <w:rPr>
                <w:rFonts w:hint="eastAsia" w:ascii="宋体" w:hAnsi="宋体" w:eastAsia="宋体"/>
                <w:b/>
                <w:color w:val="auto"/>
                <w:sz w:val="21"/>
                <w:szCs w:val="21"/>
                <w:highlight w:val="none"/>
                <w:u w:val="single"/>
                <w:lang w:val="en-US" w:eastAsia="zh-CN"/>
              </w:rPr>
              <w:t>壹拾叁万元整</w:t>
            </w: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u w:val="single"/>
                <w:lang w:val="en-US" w:eastAsia="zh-CN"/>
              </w:rPr>
              <w:t>130,000.00</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投标保证金须严格按“招标文件第</w:t>
            </w:r>
            <w:r>
              <w:rPr>
                <w:rFonts w:hint="eastAsia" w:ascii="宋体" w:hAnsi="宋体" w:eastAsia="宋体"/>
                <w:color w:val="auto"/>
                <w:sz w:val="21"/>
                <w:szCs w:val="21"/>
                <w:highlight w:val="none"/>
              </w:rPr>
              <w:t>四部分</w:t>
            </w:r>
            <w:r>
              <w:rPr>
                <w:rFonts w:hint="eastAsia" w:ascii="宋体" w:hAnsi="宋体" w:eastAsia="宋体"/>
                <w:color w:val="auto"/>
                <w:sz w:val="21"/>
                <w:szCs w:val="21"/>
                <w:highlight w:val="none"/>
                <w:lang w:val="zh-CN"/>
              </w:rPr>
              <w:t>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（3）保证金递交账户：</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收款人：广东政通招标有限公司</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开户行：广发银行股份有限公司东莞新城支行</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帐  号：6232590699050026028</w:t>
            </w:r>
          </w:p>
          <w:p>
            <w:pPr>
              <w:spacing w:after="0"/>
              <w:jc w:val="both"/>
              <w:rPr>
                <w:color w:val="auto"/>
                <w:highlight w:val="none"/>
              </w:rPr>
            </w:pPr>
            <w:r>
              <w:rPr>
                <w:rFonts w:hint="eastAsia" w:ascii="宋体" w:hAnsi="宋体" w:eastAsia="宋体"/>
                <w:color w:val="auto"/>
                <w:sz w:val="21"/>
                <w:szCs w:val="21"/>
                <w:highlight w:val="none"/>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10</w:t>
            </w:r>
          </w:p>
        </w:tc>
        <w:tc>
          <w:tcPr>
            <w:tcW w:w="7532" w:type="dxa"/>
            <w:gridSpan w:val="4"/>
            <w:vAlign w:val="center"/>
          </w:tcPr>
          <w:p>
            <w:pPr>
              <w:spacing w:after="0"/>
              <w:jc w:val="both"/>
              <w:rPr>
                <w:rFonts w:ascii="宋体" w:hAnsi="宋体" w:eastAsia="宋体"/>
                <w:b/>
                <w:bCs/>
                <w:color w:val="auto"/>
                <w:sz w:val="21"/>
                <w:szCs w:val="21"/>
                <w:highlight w:val="none"/>
                <w:lang w:val="zh-CN"/>
              </w:rPr>
            </w:pPr>
            <w:r>
              <w:rPr>
                <w:rFonts w:hint="eastAsia" w:ascii="宋体" w:hAnsi="宋体" w:eastAsia="宋体"/>
                <w:b/>
                <w:bCs/>
                <w:color w:val="auto"/>
                <w:sz w:val="21"/>
                <w:szCs w:val="21"/>
                <w:highlight w:val="none"/>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1</w:t>
            </w:r>
            <w:r>
              <w:rPr>
                <w:rFonts w:hint="eastAsia" w:ascii="宋体" w:hAnsi="宋体" w:eastAsia="宋体"/>
                <w:color w:val="auto"/>
                <w:sz w:val="21"/>
                <w:szCs w:val="21"/>
                <w:highlight w:val="none"/>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2</w:t>
            </w:r>
            <w:r>
              <w:rPr>
                <w:rFonts w:hint="eastAsia" w:ascii="宋体" w:hAnsi="宋体" w:eastAsia="宋体"/>
                <w:color w:val="auto"/>
                <w:sz w:val="21"/>
                <w:szCs w:val="21"/>
                <w:highlight w:val="none"/>
                <w:lang w:val="zh-CN"/>
              </w:rPr>
              <w:t>）为方便退还未中标的投保人的保证金，投标人应制作《投标保证金汇入情况说明》随开标文件一并递交。</w:t>
            </w:r>
          </w:p>
          <w:p>
            <w:pPr>
              <w:spacing w:after="0"/>
              <w:jc w:val="both"/>
              <w:rPr>
                <w:rFonts w:eastAsia="宋体"/>
                <w:color w:val="auto"/>
                <w:highlight w:val="none"/>
              </w:rPr>
            </w:pPr>
            <w:r>
              <w:rPr>
                <w:rFonts w:hint="eastAsia" w:ascii="宋体" w:hAnsi="宋体" w:eastAsia="宋体"/>
                <w:color w:val="auto"/>
                <w:sz w:val="21"/>
                <w:szCs w:val="21"/>
                <w:highlight w:val="none"/>
                <w:lang w:val="zh-CN"/>
              </w:rPr>
              <w:t>（</w:t>
            </w:r>
            <w:r>
              <w:rPr>
                <w:rFonts w:hint="eastAsia" w:ascii="宋体" w:hAnsi="宋体" w:eastAsia="宋体"/>
                <w:color w:val="auto"/>
                <w:sz w:val="21"/>
                <w:szCs w:val="21"/>
                <w:highlight w:val="none"/>
              </w:rPr>
              <w:t>3</w:t>
            </w:r>
            <w:r>
              <w:rPr>
                <w:rFonts w:hint="eastAsia" w:ascii="宋体" w:hAnsi="宋体" w:eastAsia="宋体"/>
                <w:color w:val="auto"/>
                <w:sz w:val="21"/>
                <w:szCs w:val="21"/>
                <w:highlight w:val="none"/>
                <w:lang w:val="zh-CN"/>
              </w:rPr>
              <w:t>）投标保证金退还联系电话：</w:t>
            </w:r>
            <w:r>
              <w:rPr>
                <w:rFonts w:hint="eastAsia" w:ascii="宋体" w:hAnsi="宋体" w:eastAsia="宋体"/>
                <w:color w:val="auto"/>
                <w:sz w:val="21"/>
                <w:szCs w:val="21"/>
                <w:highlight w:val="none"/>
              </w:rPr>
              <w:t>0769-22881803。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11</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w:t>
            </w:r>
            <w:r>
              <w:rPr>
                <w:rFonts w:hint="eastAsia" w:ascii="宋体" w:hAnsi="宋体" w:eastAsia="宋体"/>
                <w:b/>
                <w:color w:val="auto"/>
                <w:sz w:val="21"/>
                <w:szCs w:val="21"/>
                <w:highlight w:val="none"/>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12</w:t>
            </w:r>
          </w:p>
        </w:tc>
        <w:tc>
          <w:tcPr>
            <w:tcW w:w="7532" w:type="dxa"/>
            <w:gridSpan w:val="4"/>
            <w:vAlign w:val="center"/>
          </w:tcPr>
          <w:p>
            <w:pPr>
              <w:spacing w:after="0"/>
              <w:jc w:val="center"/>
              <w:rPr>
                <w:rFonts w:ascii="宋体" w:hAnsi="宋体" w:eastAsia="宋体"/>
                <w:color w:val="auto"/>
                <w:sz w:val="21"/>
                <w:szCs w:val="21"/>
                <w:highlight w:val="none"/>
              </w:rPr>
            </w:pPr>
            <w:r>
              <w:rPr>
                <w:rFonts w:hint="eastAsia" w:ascii="宋体" w:hAnsi="宋体" w:eastAsia="宋体"/>
                <w:b/>
                <w:color w:val="auto"/>
                <w:sz w:val="21"/>
                <w:szCs w:val="21"/>
                <w:highlight w:val="none"/>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信用中国</w:t>
            </w:r>
          </w:p>
        </w:tc>
        <w:tc>
          <w:tcPr>
            <w:tcW w:w="3766" w:type="dxa"/>
            <w:gridSpan w:val="2"/>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3766" w:type="dxa"/>
            <w:gridSpan w:val="2"/>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https://www.creditchina.gov.cn/</w:t>
            </w:r>
          </w:p>
        </w:tc>
        <w:tc>
          <w:tcPr>
            <w:tcW w:w="3766" w:type="dxa"/>
            <w:gridSpan w:val="2"/>
            <w:vAlign w:val="center"/>
          </w:tcPr>
          <w:p>
            <w:pPr>
              <w:spacing w:after="0"/>
              <w:jc w:val="center"/>
              <w:rPr>
                <w:rFonts w:ascii="宋体" w:hAnsi="宋体" w:eastAsia="宋体"/>
                <w:color w:val="auto"/>
                <w:sz w:val="21"/>
                <w:szCs w:val="21"/>
                <w:highlight w:val="none"/>
              </w:rPr>
            </w:pPr>
            <w:r>
              <w:rPr>
                <w:rFonts w:ascii="宋体" w:hAnsi="宋体" w:eastAsia="宋体"/>
                <w:color w:val="auto"/>
                <w:sz w:val="21"/>
                <w:szCs w:val="21"/>
                <w:highlight w:val="none"/>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13</w:t>
            </w:r>
          </w:p>
        </w:tc>
        <w:tc>
          <w:tcPr>
            <w:tcW w:w="7532" w:type="dxa"/>
            <w:gridSpan w:val="4"/>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投标文件类型</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开标文件</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投标文件正本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投标文件副本</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7</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2608" w:type="dxa"/>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电子文档</w:t>
            </w:r>
          </w:p>
        </w:tc>
        <w:tc>
          <w:tcPr>
            <w:tcW w:w="4924" w:type="dxa"/>
            <w:gridSpan w:val="3"/>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14</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15</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见附表二。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16</w:t>
            </w: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对于联合协议或者分包意向协议约定小微企业的合同份额占到合同总金额30%以上的，报价给予</w:t>
            </w:r>
            <w:r>
              <w:rPr>
                <w:rFonts w:ascii="宋体" w:hAnsi="宋体" w:eastAsia="宋体"/>
                <w:b/>
                <w:bCs/>
                <w:color w:val="auto"/>
                <w:sz w:val="21"/>
                <w:szCs w:val="21"/>
                <w:highlight w:val="none"/>
                <w:u w:val="single"/>
              </w:rPr>
              <w:t>2%</w:t>
            </w:r>
            <w:r>
              <w:rPr>
                <w:rFonts w:hint="eastAsia" w:ascii="宋体" w:hAnsi="宋体" w:eastAsia="宋体"/>
                <w:color w:val="auto"/>
                <w:sz w:val="21"/>
                <w:szCs w:val="21"/>
                <w:highlight w:val="none"/>
              </w:rPr>
              <w:t>的扣除。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b/>
                <w:bCs/>
                <w:color w:val="auto"/>
                <w:sz w:val="21"/>
                <w:szCs w:val="21"/>
                <w:highlight w:val="none"/>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该项节能或环境标志产品折扣3%。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PrEx>
        <w:trPr>
          <w:cantSplit/>
          <w:trHeight w:val="817" w:hRule="atLeast"/>
        </w:trPr>
        <w:tc>
          <w:tcPr>
            <w:tcW w:w="8410" w:type="dxa"/>
            <w:gridSpan w:val="5"/>
            <w:vAlign w:val="center"/>
          </w:tcPr>
          <w:p>
            <w:pPr>
              <w:spacing w:after="0"/>
              <w:jc w:val="center"/>
              <w:rPr>
                <w:rFonts w:ascii="宋体" w:hAnsi="宋体" w:eastAsia="宋体"/>
                <w:b/>
                <w:color w:val="auto"/>
                <w:sz w:val="21"/>
                <w:szCs w:val="21"/>
                <w:highlight w:val="none"/>
              </w:rPr>
            </w:pPr>
            <w:r>
              <w:rPr>
                <w:rFonts w:hint="eastAsia" w:ascii="宋体" w:hAnsi="宋体" w:eastAsia="宋体"/>
                <w:b/>
                <w:color w:val="auto"/>
                <w:sz w:val="21"/>
                <w:szCs w:val="21"/>
                <w:highlight w:val="none"/>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17</w:t>
            </w: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履约保证金</w:t>
            </w:r>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以</w:t>
            </w:r>
            <w:r>
              <w:rPr>
                <w:rFonts w:hint="eastAsia" w:ascii="宋体" w:hAnsi="宋体" w:eastAsia="宋体"/>
                <w:b/>
                <w:color w:val="auto"/>
                <w:sz w:val="21"/>
                <w:szCs w:val="21"/>
                <w:highlight w:val="none"/>
                <w:lang w:eastAsia="zh-CN"/>
              </w:rPr>
              <w:t>履约保函</w:t>
            </w:r>
            <w:r>
              <w:rPr>
                <w:rFonts w:hint="eastAsia" w:ascii="宋体" w:hAnsi="宋体" w:eastAsia="宋体"/>
                <w:b/>
                <w:color w:val="auto"/>
                <w:sz w:val="21"/>
                <w:szCs w:val="21"/>
                <w:highlight w:val="none"/>
                <w:lang w:val="en-US" w:eastAsia="zh-CN"/>
              </w:rPr>
              <w:t>的形式提交</w:t>
            </w:r>
            <w:r>
              <w:rPr>
                <w:rFonts w:hint="eastAsia" w:ascii="宋体" w:hAnsi="宋体" w:eastAsia="宋体"/>
                <w:b/>
                <w:color w:val="auto"/>
                <w:sz w:val="21"/>
                <w:szCs w:val="21"/>
                <w:highlight w:val="none"/>
                <w:lang w:eastAsia="zh-CN"/>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shd w:val="clear" w:color="auto" w:fill="auto"/>
            <w:vAlign w:val="center"/>
          </w:tcPr>
          <w:p>
            <w:pPr>
              <w:spacing w:after="0"/>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履约保证金的数额为政府采购合同金额的</w:t>
            </w:r>
            <w:r>
              <w:rPr>
                <w:rFonts w:hint="eastAsia" w:ascii="宋体" w:hAnsi="宋体" w:eastAsia="宋体"/>
                <w:color w:val="auto"/>
                <w:sz w:val="21"/>
                <w:szCs w:val="21"/>
                <w:highlight w:val="none"/>
                <w:lang w:val="en-US" w:eastAsia="zh-CN"/>
              </w:rPr>
              <w:t>5</w:t>
            </w:r>
            <w:r>
              <w:rPr>
                <w:rFonts w:hint="eastAsia" w:ascii="宋体" w:hAnsi="宋体" w:eastAsia="宋体"/>
                <w:color w:val="auto"/>
                <w:sz w:val="21"/>
                <w:szCs w:val="21"/>
                <w:highlight w:val="none"/>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18</w:t>
            </w:r>
          </w:p>
        </w:tc>
        <w:tc>
          <w:tcPr>
            <w:tcW w:w="7532" w:type="dxa"/>
            <w:gridSpan w:val="4"/>
            <w:vAlign w:val="center"/>
          </w:tcPr>
          <w:p>
            <w:pPr>
              <w:spacing w:after="0"/>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highlight w:val="none"/>
              </w:rPr>
            </w:pPr>
          </w:p>
        </w:tc>
        <w:tc>
          <w:tcPr>
            <w:tcW w:w="7532" w:type="dxa"/>
            <w:gridSpan w:val="4"/>
            <w:vAlign w:val="center"/>
          </w:tcPr>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 款 人：广东政通招标有限公司</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开户银行：广发银行股份有限公司东莞南城支行</w:t>
            </w:r>
          </w:p>
          <w:p>
            <w:pPr>
              <w:widowControl w:val="0"/>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账　　号：9550880331235700173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5"/>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注：本表关于要采购项目的具体资料，是对投标人须知的具体补充和修改，如有矛盾，应以本资料表为准。</w:t>
            </w:r>
          </w:p>
        </w:tc>
      </w:tr>
    </w:tbl>
    <w:p>
      <w:pPr>
        <w:jc w:val="center"/>
        <w:rPr>
          <w:color w:val="auto"/>
          <w:highlight w:val="none"/>
        </w:rPr>
      </w:pPr>
      <w:r>
        <w:rPr>
          <w:rFonts w:hint="eastAsia"/>
          <w:color w:val="auto"/>
          <w:highlight w:val="none"/>
        </w:rPr>
        <w:br w:type="page"/>
      </w:r>
    </w:p>
    <w:p>
      <w:pPr>
        <w:pStyle w:val="6"/>
        <w:spacing w:before="0" w:after="0" w:line="240" w:lineRule="auto"/>
        <w:jc w:val="center"/>
        <w:rPr>
          <w:rFonts w:ascii="宋体" w:hAnsi="宋体" w:eastAsia="宋体" w:cs="宋体"/>
          <w:color w:val="auto"/>
          <w:sz w:val="24"/>
          <w:szCs w:val="24"/>
          <w:highlight w:val="none"/>
        </w:rPr>
      </w:pPr>
      <w:bookmarkStart w:id="3" w:name="_Toc9572"/>
      <w:r>
        <w:rPr>
          <w:rFonts w:hint="eastAsia" w:ascii="宋体" w:hAnsi="宋体" w:eastAsia="宋体" w:cs="宋体"/>
          <w:color w:val="auto"/>
          <w:sz w:val="24"/>
          <w:szCs w:val="24"/>
          <w:highlight w:val="none"/>
        </w:rPr>
        <w:t>附表二：商务技术评分及价格权重表</w:t>
      </w:r>
      <w:bookmarkEnd w:id="3"/>
    </w:p>
    <w:tbl>
      <w:tblPr>
        <w:tblStyle w:val="24"/>
        <w:tblW w:w="48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5"/>
        <w:gridCol w:w="1140"/>
        <w:gridCol w:w="756"/>
        <w:gridCol w:w="5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序号</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评审项目</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得分</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商务评审（34）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4" w:hRule="atLeast"/>
          <w:jc w:val="center"/>
        </w:trPr>
        <w:tc>
          <w:tcPr>
            <w:tcW w:w="576" w:type="pct"/>
            <w:vMerge w:val="restar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w:t>
            </w:r>
          </w:p>
        </w:tc>
        <w:tc>
          <w:tcPr>
            <w:tcW w:w="687" w:type="pct"/>
            <w:vMerge w:val="restar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体系认证</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具有由国家认监委批准设立的认证机构颁发并在有效期内的质量管理体系认证、环境管理体系认证、职业健康安全管理体系认证，每具有一个得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分，本项最高得</w:t>
            </w:r>
            <w:r>
              <w:rPr>
                <w:rFonts w:hint="eastAsia" w:ascii="宋体" w:eastAsia="宋体" w:cs="宋体"/>
                <w:bCs/>
                <w:color w:val="auto"/>
                <w:sz w:val="21"/>
                <w:szCs w:val="21"/>
                <w:highlight w:val="none"/>
              </w:rPr>
              <w:t>3</w:t>
            </w:r>
            <w:r>
              <w:rPr>
                <w:rFonts w:hint="eastAsia" w:ascii="宋体" w:eastAsia="宋体" w:cs="宋体"/>
                <w:bCs/>
                <w:color w:val="auto"/>
                <w:sz w:val="21"/>
                <w:szCs w:val="21"/>
                <w:highlight w:val="none"/>
                <w:lang w:val="zh-CN"/>
              </w:rPr>
              <w:t>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注：须提供有效证书复印件并加盖投标人公章，不符合以上要求的不得分。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jc w:val="center"/>
        </w:trPr>
        <w:tc>
          <w:tcPr>
            <w:tcW w:w="576" w:type="pct"/>
            <w:vMerge w:val="continue"/>
            <w:tcBorders>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right w:val="single" w:color="auto" w:sz="4" w:space="0"/>
            </w:tcBorders>
            <w:vAlign w:val="center"/>
          </w:tcPr>
          <w:p>
            <w:pPr>
              <w:pStyle w:val="36"/>
              <w:spacing w:line="240" w:lineRule="auto"/>
              <w:ind w:firstLine="0" w:firstLineChars="0"/>
              <w:jc w:val="center"/>
              <w:rPr>
                <w:rFonts w:ascii="宋体" w:eastAsia="宋体" w:cs="宋体"/>
                <w:bCs/>
                <w:color w:val="auto"/>
                <w:sz w:val="21"/>
                <w:szCs w:val="21"/>
                <w:highlight w:val="none"/>
                <w:lang w:val="zh-CN"/>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3</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投标人同时具有软件企业证书和软件产品证书，得</w:t>
            </w:r>
            <w:r>
              <w:rPr>
                <w:rFonts w:ascii="宋体" w:eastAsia="宋体" w:cs="宋体"/>
                <w:bCs/>
                <w:color w:val="auto"/>
                <w:sz w:val="21"/>
                <w:szCs w:val="21"/>
                <w:highlight w:val="none"/>
              </w:rPr>
              <w:t>3</w:t>
            </w:r>
            <w:r>
              <w:rPr>
                <w:rFonts w:hint="eastAsia" w:ascii="宋体" w:eastAsia="宋体" w:cs="宋体"/>
                <w:bCs/>
                <w:color w:val="auto"/>
                <w:sz w:val="21"/>
                <w:szCs w:val="21"/>
                <w:highlight w:val="none"/>
              </w:rPr>
              <w:t>分，其他情况不得分。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注：须提供有效证书复印件并加盖投标人公章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76" w:type="pct"/>
            <w:vMerge w:val="continue"/>
            <w:tcBorders>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right w:val="single" w:color="auto" w:sz="4" w:space="0"/>
            </w:tcBorders>
            <w:vAlign w:val="center"/>
          </w:tcPr>
          <w:p>
            <w:pPr>
              <w:pStyle w:val="36"/>
              <w:spacing w:line="240" w:lineRule="auto"/>
              <w:ind w:firstLine="0" w:firstLineChars="0"/>
              <w:jc w:val="center"/>
              <w:rPr>
                <w:rFonts w:ascii="宋体" w:eastAsia="宋体" w:cs="宋体"/>
                <w:bCs/>
                <w:color w:val="auto"/>
                <w:sz w:val="21"/>
                <w:szCs w:val="21"/>
                <w:highlight w:val="none"/>
                <w:lang w:val="zh-CN"/>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10</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具有信息化或大数据类科研载体的（包括研发中心、工程技术研究中心、重点实验室、公共技术服务平台），国家级每个得4分，市级或省级的每个得2分，本项最高得1</w:t>
            </w:r>
            <w:r>
              <w:rPr>
                <w:rFonts w:ascii="宋体" w:eastAsia="宋体" w:cs="宋体"/>
                <w:bCs/>
                <w:color w:val="auto"/>
                <w:sz w:val="21"/>
                <w:szCs w:val="21"/>
                <w:highlight w:val="none"/>
              </w:rPr>
              <w:t>0</w:t>
            </w:r>
            <w:r>
              <w:rPr>
                <w:rFonts w:hint="eastAsia" w:ascii="宋体" w:eastAsia="宋体" w:cs="宋体"/>
                <w:bCs/>
                <w:color w:val="auto"/>
                <w:sz w:val="21"/>
                <w:szCs w:val="21"/>
                <w:highlight w:val="none"/>
              </w:rPr>
              <w:t>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lang w:val="zh-CN"/>
              </w:rPr>
              <w:t>注：</w:t>
            </w:r>
            <w:r>
              <w:rPr>
                <w:rFonts w:hint="eastAsia" w:ascii="宋体" w:eastAsia="宋体" w:cs="宋体"/>
                <w:bCs/>
                <w:color w:val="auto"/>
                <w:sz w:val="21"/>
                <w:szCs w:val="21"/>
                <w:highlight w:val="none"/>
              </w:rPr>
              <w:t>（1）国家级颁发单位为国务院（或其直接所属的行政机关），市级或省级要求颁发单位为相关行政部门。</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（2）</w:t>
            </w:r>
            <w:r>
              <w:rPr>
                <w:rFonts w:hint="eastAsia" w:ascii="宋体" w:eastAsia="宋体" w:cs="宋体"/>
                <w:bCs/>
                <w:color w:val="auto"/>
                <w:sz w:val="21"/>
                <w:szCs w:val="21"/>
                <w:highlight w:val="none"/>
                <w:lang w:val="zh-CN"/>
              </w:rPr>
              <w:t>须提供有效证书复印件或相关证明材料复印件（</w:t>
            </w:r>
            <w:r>
              <w:rPr>
                <w:rFonts w:hint="eastAsia" w:ascii="宋体" w:eastAsia="宋体" w:cs="宋体"/>
                <w:bCs/>
                <w:color w:val="auto"/>
                <w:sz w:val="21"/>
                <w:szCs w:val="21"/>
                <w:highlight w:val="none"/>
              </w:rPr>
              <w:t>牌匾或正式文件</w:t>
            </w:r>
            <w:r>
              <w:rPr>
                <w:rFonts w:hint="eastAsia" w:ascii="宋体" w:eastAsia="宋体" w:cs="宋体"/>
                <w:bCs/>
                <w:color w:val="auto"/>
                <w:sz w:val="21"/>
                <w:szCs w:val="21"/>
                <w:highlight w:val="none"/>
                <w:lang w:val="zh-CN"/>
              </w:rPr>
              <w:t>）并加盖投标人公章，不符合以上要求的不得分。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2</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相关业绩</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4</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投标人具有大数据开发类、系统集成类项目业绩的，每提供一个合同业绩得2分，本项最高得</w:t>
            </w:r>
            <w:r>
              <w:rPr>
                <w:rFonts w:ascii="宋体" w:eastAsia="宋体" w:cs="宋体"/>
                <w:bCs/>
                <w:color w:val="auto"/>
                <w:sz w:val="21"/>
                <w:szCs w:val="21"/>
                <w:highlight w:val="none"/>
                <w:lang w:val="zh-CN"/>
              </w:rPr>
              <w:t>4</w:t>
            </w:r>
            <w:r>
              <w:rPr>
                <w:rFonts w:hint="eastAsia" w:ascii="宋体" w:eastAsia="宋体" w:cs="宋体"/>
                <w:bCs/>
                <w:color w:val="auto"/>
                <w:sz w:val="21"/>
                <w:szCs w:val="21"/>
                <w:highlight w:val="none"/>
                <w:lang w:val="zh-CN"/>
              </w:rPr>
              <w:t>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注：须提供合同关键页扫描复印件，并同时加盖投标人公章，不符合以上要求得不得分。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576" w:type="pc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3</w:t>
            </w:r>
          </w:p>
        </w:tc>
        <w:tc>
          <w:tcPr>
            <w:tcW w:w="687" w:type="pc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知识产权</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6</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投标人获得的大数据类、智慧城市管理类相关的计算机软件著作权证书，每提供一类得3分，没有或不相关的不得分。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注：提供相关证明文件扫描件（或官方网站截图）并加盖投标人公章，否则不得分。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7"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4</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售后服务</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8</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根据投标人提供的售后服务方案进行综合评比。</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方案科学完整合理，可行性强，针对性强，得</w:t>
            </w:r>
            <w:r>
              <w:rPr>
                <w:rFonts w:ascii="宋体" w:eastAsia="宋体" w:cs="宋体"/>
                <w:color w:val="auto"/>
                <w:sz w:val="21"/>
                <w:szCs w:val="21"/>
                <w:highlight w:val="none"/>
                <w:lang w:val="zh-CN"/>
              </w:rPr>
              <w:t>8</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方案基本完整，可行性一般，针对性一般，得</w:t>
            </w:r>
            <w:r>
              <w:rPr>
                <w:rFonts w:ascii="宋体" w:eastAsia="宋体" w:cs="宋体"/>
                <w:color w:val="auto"/>
                <w:sz w:val="21"/>
                <w:szCs w:val="21"/>
                <w:highlight w:val="none"/>
                <w:lang w:val="zh-CN"/>
              </w:rPr>
              <w:t>4</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方案不完整，可行性差，针对性差，得</w:t>
            </w:r>
            <w:r>
              <w:rPr>
                <w:rFonts w:ascii="宋体" w:eastAsia="宋体" w:cs="宋体"/>
                <w:color w:val="auto"/>
                <w:sz w:val="21"/>
                <w:szCs w:val="21"/>
                <w:highlight w:val="none"/>
                <w:lang w:val="zh-CN"/>
              </w:rPr>
              <w:t>1</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未提供售后服务方案，得0分。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技术评审（56）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5</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240" w:lineRule="auto"/>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项目的理解</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atLeas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15</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投标人对项目建设背景及项目建设需求理解充分，对系统需求分析准确，对项目认识深入；对项目总体设计架构完整，包含：设计思路、设计原则、技术路线、逻辑架构设计、接口设计、安全可靠性，需满足项目总体要求；平台解决方案需全面，功能设计合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完全满足以上需求，技术方案</w:t>
            </w:r>
            <w:r>
              <w:rPr>
                <w:rFonts w:hint="eastAsia" w:ascii="宋体" w:eastAsia="宋体" w:cs="宋体"/>
                <w:bCs/>
                <w:color w:val="auto"/>
                <w:sz w:val="21"/>
                <w:szCs w:val="21"/>
                <w:highlight w:val="none"/>
              </w:rPr>
              <w:t>科学完整合理，可行性强，可操作性强，针对性强，</w:t>
            </w:r>
            <w:r>
              <w:rPr>
                <w:rFonts w:hint="eastAsia" w:ascii="宋体" w:eastAsia="宋体" w:cs="宋体"/>
                <w:bCs/>
                <w:color w:val="auto"/>
                <w:sz w:val="21"/>
                <w:szCs w:val="21"/>
                <w:highlight w:val="none"/>
                <w:lang w:val="zh-CN"/>
              </w:rPr>
              <w:t>得15分；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rPr>
              <w:t>基本</w:t>
            </w:r>
            <w:r>
              <w:rPr>
                <w:rFonts w:hint="eastAsia" w:ascii="宋体" w:eastAsia="宋体" w:cs="宋体"/>
                <w:bCs/>
                <w:color w:val="auto"/>
                <w:sz w:val="21"/>
                <w:szCs w:val="21"/>
                <w:highlight w:val="none"/>
                <w:lang w:val="zh-CN"/>
              </w:rPr>
              <w:t>满足以上需求，技术方案一般，</w:t>
            </w:r>
            <w:r>
              <w:rPr>
                <w:rFonts w:hint="eastAsia" w:ascii="宋体" w:eastAsia="宋体" w:cs="宋体"/>
                <w:bCs/>
                <w:color w:val="auto"/>
                <w:sz w:val="21"/>
                <w:szCs w:val="21"/>
                <w:highlight w:val="none"/>
              </w:rPr>
              <w:t>可行性一般，可操作性一般，针对性一般，</w:t>
            </w:r>
            <w:r>
              <w:rPr>
                <w:rFonts w:hint="eastAsia" w:ascii="宋体" w:eastAsia="宋体" w:cs="宋体"/>
                <w:bCs/>
                <w:color w:val="auto"/>
                <w:sz w:val="21"/>
                <w:szCs w:val="21"/>
                <w:highlight w:val="none"/>
                <w:lang w:val="zh-CN"/>
              </w:rPr>
              <w:t>得</w:t>
            </w:r>
            <w:r>
              <w:rPr>
                <w:rFonts w:ascii="宋体" w:eastAsia="宋体" w:cs="宋体"/>
                <w:bCs/>
                <w:color w:val="auto"/>
                <w:sz w:val="21"/>
                <w:szCs w:val="21"/>
                <w:highlight w:val="none"/>
                <w:lang w:val="zh-CN"/>
              </w:rPr>
              <w:t>10</w:t>
            </w:r>
            <w:r>
              <w:rPr>
                <w:rFonts w:hint="eastAsia" w:ascii="宋体" w:eastAsia="宋体" w:cs="宋体"/>
                <w:bCs/>
                <w:color w:val="auto"/>
                <w:sz w:val="21"/>
                <w:szCs w:val="21"/>
                <w:highlight w:val="none"/>
                <w:lang w:val="zh-CN"/>
              </w:rPr>
              <w:t>分；</w:t>
            </w:r>
          </w:p>
          <w:p>
            <w:pPr>
              <w:pStyle w:val="36"/>
              <w:spacing w:line="360" w:lineRule="auto"/>
              <w:ind w:firstLine="420" w:firstLineChars="200"/>
              <w:rPr>
                <w:rFonts w:ascii="宋体" w:eastAsia="宋体" w:cs="宋体"/>
                <w:bCs/>
                <w:color w:val="auto"/>
                <w:sz w:val="21"/>
                <w:szCs w:val="21"/>
                <w:highlight w:val="none"/>
              </w:rPr>
            </w:pPr>
            <w:r>
              <w:rPr>
                <w:rFonts w:hint="eastAsia" w:ascii="宋体" w:eastAsia="宋体" w:cs="宋体"/>
                <w:bCs/>
                <w:color w:val="auto"/>
                <w:sz w:val="21"/>
                <w:szCs w:val="21"/>
                <w:highlight w:val="none"/>
              </w:rPr>
              <w:t>基本满足以上需求，技术方案差，可行性差，可操作性差，针对性差，得</w:t>
            </w:r>
            <w:r>
              <w:rPr>
                <w:rFonts w:ascii="宋体" w:eastAsia="宋体" w:cs="宋体"/>
                <w:bCs/>
                <w:color w:val="auto"/>
                <w:sz w:val="21"/>
                <w:szCs w:val="21"/>
                <w:highlight w:val="none"/>
              </w:rPr>
              <w:t>5</w:t>
            </w:r>
            <w:r>
              <w:rPr>
                <w:rFonts w:hint="eastAsia" w:ascii="宋体" w:eastAsia="宋体" w:cs="宋体"/>
                <w:bCs/>
                <w:color w:val="auto"/>
                <w:sz w:val="21"/>
                <w:szCs w:val="21"/>
                <w:highlight w:val="none"/>
              </w:rPr>
              <w:t>分；</w:t>
            </w:r>
          </w:p>
          <w:p>
            <w:pPr>
              <w:pStyle w:val="36"/>
              <w:spacing w:line="360" w:lineRule="auto"/>
              <w:ind w:firstLine="420" w:firstLineChars="200"/>
              <w:rPr>
                <w:rFonts w:ascii="宋体" w:eastAsia="宋体" w:cs="宋体"/>
                <w:bCs/>
                <w:color w:val="auto"/>
                <w:sz w:val="21"/>
                <w:szCs w:val="21"/>
                <w:highlight w:val="none"/>
                <w:lang w:val="zh-CN"/>
              </w:rPr>
            </w:pPr>
            <w:r>
              <w:rPr>
                <w:rFonts w:hint="eastAsia" w:ascii="宋体" w:eastAsia="宋体" w:cs="宋体"/>
                <w:bCs/>
                <w:color w:val="auto"/>
                <w:sz w:val="21"/>
                <w:szCs w:val="21"/>
                <w:highlight w:val="none"/>
                <w:lang w:val="zh-CN"/>
              </w:rPr>
              <w:t>不能完全满足以上要求，技术方案</w:t>
            </w:r>
            <w:r>
              <w:rPr>
                <w:rFonts w:hint="eastAsia" w:ascii="宋体" w:eastAsia="宋体" w:cs="宋体"/>
                <w:bCs/>
                <w:color w:val="auto"/>
                <w:sz w:val="21"/>
                <w:szCs w:val="21"/>
                <w:highlight w:val="none"/>
              </w:rPr>
              <w:t>不完整</w:t>
            </w:r>
            <w:r>
              <w:rPr>
                <w:rFonts w:hint="eastAsia" w:ascii="宋体" w:eastAsia="宋体" w:cs="宋体"/>
                <w:bCs/>
                <w:color w:val="auto"/>
                <w:sz w:val="21"/>
                <w:szCs w:val="21"/>
                <w:highlight w:val="none"/>
                <w:lang w:val="zh-CN"/>
              </w:rPr>
              <w:t>，得</w:t>
            </w:r>
            <w:r>
              <w:rPr>
                <w:rFonts w:ascii="宋体" w:eastAsia="宋体" w:cs="宋体"/>
                <w:bCs/>
                <w:color w:val="auto"/>
                <w:sz w:val="21"/>
                <w:szCs w:val="21"/>
                <w:highlight w:val="none"/>
              </w:rPr>
              <w:t>1</w:t>
            </w:r>
            <w:r>
              <w:rPr>
                <w:rFonts w:hint="eastAsia" w:ascii="宋体" w:eastAsia="宋体" w:cs="宋体"/>
                <w:bCs/>
                <w:color w:val="auto"/>
                <w:sz w:val="21"/>
                <w:szCs w:val="21"/>
                <w:highlight w:val="none"/>
                <w:lang w:val="zh-CN"/>
              </w:rPr>
              <w:t>分；</w:t>
            </w:r>
          </w:p>
          <w:p>
            <w:pPr>
              <w:spacing w:after="0" w:line="360" w:lineRule="auto"/>
              <w:ind w:firstLine="420" w:firstLineChars="200"/>
              <w:rPr>
                <w:rFonts w:ascii="宋体" w:eastAsia="宋体" w:cs="宋体"/>
                <w:color w:val="auto"/>
                <w:kern w:val="2"/>
                <w:sz w:val="21"/>
                <w:szCs w:val="21"/>
                <w:highlight w:val="none"/>
              </w:rPr>
            </w:pPr>
            <w:r>
              <w:rPr>
                <w:rFonts w:hint="eastAsia" w:ascii="宋体" w:eastAsia="宋体" w:cs="宋体"/>
                <w:bCs/>
                <w:color w:val="auto"/>
                <w:kern w:val="2"/>
                <w:sz w:val="21"/>
                <w:szCs w:val="21"/>
                <w:highlight w:val="none"/>
                <w:lang w:val="zh-CN"/>
              </w:rPr>
              <w:t>未提供</w:t>
            </w:r>
            <w:r>
              <w:rPr>
                <w:rFonts w:hint="eastAsia" w:ascii="宋体" w:eastAsia="宋体" w:cs="宋体"/>
                <w:bCs/>
                <w:color w:val="auto"/>
                <w:kern w:val="2"/>
                <w:sz w:val="21"/>
                <w:szCs w:val="21"/>
                <w:highlight w:val="none"/>
              </w:rPr>
              <w:t>项目理解或对应方案，得0分</w:t>
            </w:r>
            <w:r>
              <w:rPr>
                <w:rFonts w:hint="eastAsia" w:ascii="宋体" w:eastAsia="宋体" w:cs="宋体"/>
                <w:bCs/>
                <w:color w:val="auto"/>
                <w:kern w:val="2"/>
                <w:sz w:val="21"/>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576" w:type="pct"/>
            <w:vMerge w:val="restart"/>
            <w:tcBorders>
              <w:top w:val="single" w:color="auto" w:sz="4" w:space="0"/>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6</w:t>
            </w:r>
          </w:p>
        </w:tc>
        <w:tc>
          <w:tcPr>
            <w:tcW w:w="687" w:type="pct"/>
            <w:vMerge w:val="restart"/>
            <w:tcBorders>
              <w:top w:val="single" w:color="auto" w:sz="4" w:space="0"/>
              <w:left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技术人员力量</w:t>
            </w:r>
          </w:p>
        </w:tc>
        <w:tc>
          <w:tcPr>
            <w:tcW w:w="456"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eastAsia="宋体" w:cs="宋体"/>
                <w:color w:val="auto"/>
                <w:kern w:val="2"/>
                <w:sz w:val="21"/>
                <w:szCs w:val="21"/>
                <w:highlight w:val="none"/>
              </w:rPr>
            </w:pPr>
            <w:r>
              <w:rPr>
                <w:rFonts w:ascii="宋体" w:eastAsia="宋体" w:cs="宋体"/>
                <w:color w:val="auto"/>
                <w:kern w:val="2"/>
                <w:sz w:val="21"/>
                <w:szCs w:val="21"/>
                <w:highlight w:val="none"/>
              </w:rPr>
              <w:t>8</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投标人拟投入本项目的项目负责人：</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（1）具有计算机专业本科或以上学历，得2分。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w:t>
            </w:r>
            <w:r>
              <w:rPr>
                <w:rFonts w:ascii="宋体" w:eastAsia="宋体" w:cs="宋体"/>
                <w:color w:val="auto"/>
                <w:sz w:val="21"/>
                <w:szCs w:val="21"/>
                <w:highlight w:val="none"/>
                <w:lang w:val="zh-CN"/>
              </w:rPr>
              <w:t>2</w:t>
            </w:r>
            <w:r>
              <w:rPr>
                <w:rFonts w:hint="eastAsia" w:ascii="宋体" w:eastAsia="宋体" w:cs="宋体"/>
                <w:color w:val="auto"/>
                <w:sz w:val="21"/>
                <w:szCs w:val="21"/>
                <w:highlight w:val="none"/>
                <w:lang w:val="zh-CN"/>
              </w:rPr>
              <w:t>）具备信息系统项目管理师职称，得</w:t>
            </w:r>
            <w:r>
              <w:rPr>
                <w:rFonts w:ascii="宋体" w:eastAsia="宋体" w:cs="宋体"/>
                <w:color w:val="auto"/>
                <w:sz w:val="21"/>
                <w:szCs w:val="21"/>
                <w:highlight w:val="none"/>
                <w:lang w:val="zh-CN"/>
              </w:rPr>
              <w:t>3</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w:t>
            </w:r>
            <w:r>
              <w:rPr>
                <w:rFonts w:ascii="宋体" w:eastAsia="宋体" w:cs="宋体"/>
                <w:color w:val="auto"/>
                <w:sz w:val="21"/>
                <w:szCs w:val="21"/>
                <w:highlight w:val="none"/>
                <w:lang w:val="zh-CN"/>
              </w:rPr>
              <w:t>3</w:t>
            </w:r>
            <w:r>
              <w:rPr>
                <w:rFonts w:hint="eastAsia" w:ascii="宋体" w:eastAsia="宋体" w:cs="宋体"/>
                <w:color w:val="auto"/>
                <w:sz w:val="21"/>
                <w:szCs w:val="21"/>
                <w:highlight w:val="none"/>
                <w:lang w:val="zh-CN"/>
              </w:rPr>
              <w:t>）参与过的信息系统集成项目获得过国家级奖项，得3分；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6" w:type="pct"/>
            <w:vMerge w:val="continue"/>
            <w:tcBorders>
              <w:left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ascii="宋体" w:eastAsia="宋体" w:cs="宋体"/>
                <w:color w:val="auto"/>
                <w:sz w:val="21"/>
                <w:szCs w:val="21"/>
                <w:highlight w:val="none"/>
              </w:rPr>
              <w:t>8</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w:t>
            </w:r>
            <w:r>
              <w:rPr>
                <w:rFonts w:ascii="宋体" w:eastAsia="宋体" w:cs="宋体"/>
                <w:color w:val="auto"/>
                <w:sz w:val="21"/>
                <w:szCs w:val="21"/>
                <w:highlight w:val="none"/>
              </w:rPr>
              <w:t>1</w:t>
            </w:r>
            <w:r>
              <w:rPr>
                <w:rFonts w:hint="eastAsia" w:ascii="宋体" w:eastAsia="宋体" w:cs="宋体"/>
                <w:color w:val="auto"/>
                <w:sz w:val="21"/>
                <w:szCs w:val="21"/>
                <w:highlight w:val="none"/>
              </w:rPr>
              <w:t>）项目组成员具备信息系统项目管理师、高级系统分析师、高级系统架构师、软件测试工程师，每提供一类得</w:t>
            </w:r>
            <w:r>
              <w:rPr>
                <w:rFonts w:ascii="宋体" w:eastAsia="宋体" w:cs="宋体"/>
                <w:color w:val="auto"/>
                <w:sz w:val="21"/>
                <w:szCs w:val="21"/>
                <w:highlight w:val="none"/>
              </w:rPr>
              <w:t>1</w:t>
            </w:r>
            <w:r>
              <w:rPr>
                <w:rFonts w:hint="eastAsia" w:ascii="宋体" w:eastAsia="宋体" w:cs="宋体"/>
                <w:color w:val="auto"/>
                <w:sz w:val="21"/>
                <w:szCs w:val="21"/>
                <w:highlight w:val="none"/>
              </w:rPr>
              <w:t>分，本项最高得</w:t>
            </w:r>
            <w:r>
              <w:rPr>
                <w:rFonts w:ascii="宋体" w:eastAsia="宋体" w:cs="宋体"/>
                <w:color w:val="auto"/>
                <w:sz w:val="21"/>
                <w:szCs w:val="21"/>
                <w:highlight w:val="none"/>
              </w:rPr>
              <w:t>4</w:t>
            </w:r>
            <w:r>
              <w:rPr>
                <w:rFonts w:hint="eastAsia" w:ascii="宋体" w:eastAsia="宋体" w:cs="宋体"/>
                <w:color w:val="auto"/>
                <w:sz w:val="21"/>
                <w:szCs w:val="21"/>
                <w:highlight w:val="none"/>
              </w:rPr>
              <w:t>分。</w:t>
            </w:r>
          </w:p>
          <w:p>
            <w:pPr>
              <w:pStyle w:val="36"/>
              <w:spacing w:line="360" w:lineRule="auto"/>
              <w:ind w:firstLine="420" w:firstLineChars="200"/>
              <w:rPr>
                <w:rFonts w:ascii="宋体" w:eastAsia="宋体" w:cs="宋体"/>
                <w:color w:val="auto"/>
                <w:sz w:val="21"/>
                <w:szCs w:val="21"/>
                <w:highlight w:val="none"/>
              </w:rPr>
            </w:pPr>
            <w:r>
              <w:rPr>
                <w:rFonts w:hint="eastAsia" w:ascii="宋体" w:eastAsia="宋体" w:cs="宋体"/>
                <w:color w:val="auto"/>
                <w:sz w:val="21"/>
                <w:szCs w:val="21"/>
                <w:highlight w:val="none"/>
              </w:rPr>
              <w:t>（</w:t>
            </w:r>
            <w:r>
              <w:rPr>
                <w:rFonts w:ascii="宋体" w:eastAsia="宋体" w:cs="宋体"/>
                <w:color w:val="auto"/>
                <w:sz w:val="21"/>
                <w:szCs w:val="21"/>
                <w:highlight w:val="none"/>
              </w:rPr>
              <w:t>2</w:t>
            </w:r>
            <w:r>
              <w:rPr>
                <w:rFonts w:hint="eastAsia" w:ascii="宋体" w:eastAsia="宋体" w:cs="宋体"/>
                <w:color w:val="auto"/>
                <w:sz w:val="21"/>
                <w:szCs w:val="21"/>
                <w:highlight w:val="none"/>
              </w:rPr>
              <w:t>）具有计算机类、智慧城市相关领域（交通、医疗、卫生、教育等）专业的教授级高级工程师，每提供一个得</w:t>
            </w:r>
            <w:r>
              <w:rPr>
                <w:rFonts w:ascii="宋体" w:eastAsia="宋体" w:cs="宋体"/>
                <w:color w:val="auto"/>
                <w:sz w:val="21"/>
                <w:szCs w:val="21"/>
                <w:highlight w:val="none"/>
              </w:rPr>
              <w:t>1</w:t>
            </w:r>
            <w:r>
              <w:rPr>
                <w:rFonts w:hint="eastAsia" w:ascii="宋体" w:eastAsia="宋体" w:cs="宋体"/>
                <w:color w:val="auto"/>
                <w:sz w:val="21"/>
                <w:szCs w:val="21"/>
                <w:highlight w:val="none"/>
              </w:rPr>
              <w:t>分，本项最高得</w:t>
            </w:r>
            <w:r>
              <w:rPr>
                <w:rFonts w:ascii="宋体" w:eastAsia="宋体" w:cs="宋体"/>
                <w:color w:val="auto"/>
                <w:sz w:val="21"/>
                <w:szCs w:val="21"/>
                <w:highlight w:val="none"/>
              </w:rPr>
              <w:t>4</w:t>
            </w:r>
            <w:r>
              <w:rPr>
                <w:rFonts w:hint="eastAsia" w:ascii="宋体" w:eastAsia="宋体" w:cs="宋体"/>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6" w:type="pct"/>
            <w:vMerge w:val="continue"/>
            <w:tcBorders>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p>
        </w:tc>
        <w:tc>
          <w:tcPr>
            <w:tcW w:w="687" w:type="pct"/>
            <w:vMerge w:val="continue"/>
            <w:tcBorders>
              <w:left w:val="single" w:color="auto" w:sz="4" w:space="0"/>
              <w:bottom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p>
        </w:tc>
        <w:tc>
          <w:tcPr>
            <w:tcW w:w="3735" w:type="pct"/>
            <w:gridSpan w:val="2"/>
            <w:tcBorders>
              <w:top w:val="single" w:color="auto" w:sz="4" w:space="0"/>
              <w:left w:val="single" w:color="auto" w:sz="4" w:space="0"/>
              <w:bottom w:val="single" w:color="auto" w:sz="4" w:space="0"/>
              <w:right w:val="single" w:color="auto" w:sz="4" w:space="0"/>
            </w:tcBorders>
          </w:tcPr>
          <w:p>
            <w:pPr>
              <w:pStyle w:val="36"/>
              <w:spacing w:line="36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注：①同1人员满足多个条件，按照最高条件仅计1次得分。</w:t>
            </w:r>
          </w:p>
          <w:p>
            <w:pPr>
              <w:pStyle w:val="36"/>
              <w:spacing w:line="360" w:lineRule="auto"/>
              <w:ind w:firstLine="420" w:firstLineChars="200"/>
              <w:jc w:val="left"/>
              <w:rPr>
                <w:rFonts w:ascii="宋体" w:eastAsia="宋体" w:cs="宋体"/>
                <w:color w:val="auto"/>
                <w:sz w:val="21"/>
                <w:szCs w:val="21"/>
                <w:highlight w:val="none"/>
              </w:rPr>
            </w:pPr>
            <w:r>
              <w:rPr>
                <w:rFonts w:hint="eastAsia" w:ascii="宋体" w:eastAsia="宋体" w:cs="宋体"/>
                <w:color w:val="auto"/>
                <w:sz w:val="21"/>
                <w:szCs w:val="21"/>
                <w:highlight w:val="none"/>
              </w:rPr>
              <w:t>②须提供相关人员身份证、资格证书及近十二个月内其中三个月投标人为其购买的社保缴纳凭证等证明文件的复印件并加盖公章（若因疫情原因暂缓统一托收或阶段性减免社会保险费而导致无法打印社保缴费证明的需提供书面说明并加盖投标人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7</w:t>
            </w:r>
          </w:p>
        </w:tc>
        <w:tc>
          <w:tcPr>
            <w:tcW w:w="687" w:type="pct"/>
            <w:tcBorders>
              <w:top w:val="single" w:color="auto" w:sz="4" w:space="0"/>
              <w:left w:val="single" w:color="auto" w:sz="4" w:space="0"/>
              <w:bottom w:val="single" w:color="auto" w:sz="4" w:space="0"/>
              <w:right w:val="single" w:color="auto" w:sz="4" w:space="0"/>
            </w:tcBorders>
            <w:vAlign w:val="center"/>
          </w:tcPr>
          <w:p>
            <w:pPr>
              <w:pStyle w:val="36"/>
              <w:spacing w:line="40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质量保障措施及方案</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15</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提供的质量保障措施及方案进行综合评价。（项目进度需安排合理，能充分保证项目工期和质量。包括详实的项目管理方案（计划、人员、质量、沟通、风险、变更、文档、进度、配置管理）、技术培训方案、项目计划和资源安排方案、售后服务方案满足项目建设要求。）</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方案科学合理完整，可行性强，可操作性强，针对性强，得15分；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方案合理完整，可行性强，可操作性强，针对性一般，得</w:t>
            </w:r>
            <w:r>
              <w:rPr>
                <w:rFonts w:ascii="宋体" w:eastAsia="宋体" w:cs="宋体"/>
                <w:color w:val="auto"/>
                <w:sz w:val="21"/>
                <w:szCs w:val="21"/>
                <w:highlight w:val="none"/>
                <w:lang w:val="zh-CN"/>
              </w:rPr>
              <w:t>10</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方案基本完整，可行性一般，可操作性一般，针对性差，得5分；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方案不完整，可行性差，可操作性差，针对性差，得</w:t>
            </w:r>
            <w:r>
              <w:rPr>
                <w:rFonts w:ascii="宋体" w:eastAsia="宋体" w:cs="宋体"/>
                <w:color w:val="auto"/>
                <w:sz w:val="21"/>
                <w:szCs w:val="21"/>
                <w:highlight w:val="none"/>
                <w:lang w:val="zh-CN"/>
              </w:rPr>
              <w:t>1</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未提供相关方案，得0分。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8</w:t>
            </w:r>
          </w:p>
        </w:tc>
        <w:tc>
          <w:tcPr>
            <w:tcW w:w="687" w:type="pct"/>
            <w:tcBorders>
              <w:top w:val="single" w:color="auto" w:sz="4" w:space="0"/>
              <w:left w:val="single" w:color="auto" w:sz="4" w:space="0"/>
              <w:bottom w:val="single" w:color="auto" w:sz="4" w:space="0"/>
              <w:right w:val="single" w:color="auto" w:sz="4" w:space="0"/>
            </w:tcBorders>
            <w:vAlign w:val="center"/>
          </w:tcPr>
          <w:p>
            <w:pPr>
              <w:tabs>
                <w:tab w:val="left" w:pos="8610"/>
              </w:tabs>
              <w:spacing w:line="340" w:lineRule="exact"/>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服务承诺及合理化建议</w:t>
            </w:r>
          </w:p>
        </w:tc>
        <w:tc>
          <w:tcPr>
            <w:tcW w:w="45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10</w:t>
            </w:r>
          </w:p>
        </w:tc>
        <w:tc>
          <w:tcPr>
            <w:tcW w:w="3278" w:type="pct"/>
            <w:tcBorders>
              <w:top w:val="single" w:color="auto" w:sz="4" w:space="0"/>
              <w:left w:val="single" w:color="auto" w:sz="4" w:space="0"/>
              <w:bottom w:val="single" w:color="auto" w:sz="4" w:space="0"/>
              <w:right w:val="single" w:color="auto" w:sz="4" w:space="0"/>
            </w:tcBorders>
            <w:vAlign w:val="center"/>
          </w:tcPr>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根据投标人的服务承诺、对本项目提出的合理化建议进行评价。</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服务承诺优于文件要求，能对本项目提出科学的合理化建议，针对性强，得</w:t>
            </w:r>
            <w:r>
              <w:rPr>
                <w:rFonts w:hint="eastAsia" w:ascii="宋体" w:eastAsia="宋体" w:cs="宋体"/>
                <w:color w:val="auto"/>
                <w:sz w:val="21"/>
                <w:szCs w:val="21"/>
                <w:highlight w:val="none"/>
              </w:rPr>
              <w:t>10</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服务承诺基本满足文件要求，能对本项目提出一定的合理化建议，针对性一般，得</w:t>
            </w:r>
            <w:r>
              <w:rPr>
                <w:rFonts w:hint="eastAsia" w:ascii="宋体" w:eastAsia="宋体" w:cs="宋体"/>
                <w:color w:val="auto"/>
                <w:sz w:val="21"/>
                <w:szCs w:val="21"/>
                <w:highlight w:val="none"/>
              </w:rPr>
              <w:t>5</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服务承诺简单，不能对本项目提出合理化建议，得</w:t>
            </w:r>
            <w:r>
              <w:rPr>
                <w:rFonts w:ascii="宋体" w:eastAsia="宋体" w:cs="宋体"/>
                <w:color w:val="auto"/>
                <w:sz w:val="21"/>
                <w:szCs w:val="21"/>
                <w:highlight w:val="none"/>
                <w:lang w:val="zh-CN"/>
              </w:rPr>
              <w:t>1</w:t>
            </w:r>
            <w:r>
              <w:rPr>
                <w:rFonts w:hint="eastAsia" w:ascii="宋体" w:eastAsia="宋体" w:cs="宋体"/>
                <w:color w:val="auto"/>
                <w:sz w:val="21"/>
                <w:szCs w:val="21"/>
                <w:highlight w:val="none"/>
                <w:lang w:val="zh-CN"/>
              </w:rPr>
              <w:t>分。</w:t>
            </w:r>
          </w:p>
          <w:p>
            <w:pPr>
              <w:pStyle w:val="36"/>
              <w:spacing w:line="360" w:lineRule="auto"/>
              <w:ind w:firstLine="420" w:firstLineChars="200"/>
              <w:rPr>
                <w:rFonts w:ascii="宋体" w:eastAsia="宋体" w:cs="宋体"/>
                <w:color w:val="auto"/>
                <w:sz w:val="21"/>
                <w:szCs w:val="21"/>
                <w:highlight w:val="none"/>
                <w:lang w:val="zh-CN"/>
              </w:rPr>
            </w:pPr>
            <w:r>
              <w:rPr>
                <w:rFonts w:hint="eastAsia" w:ascii="宋体" w:eastAsia="宋体" w:cs="宋体"/>
                <w:color w:val="auto"/>
                <w:sz w:val="21"/>
                <w:szCs w:val="21"/>
                <w:highlight w:val="none"/>
                <w:lang w:val="zh-CN"/>
              </w:rPr>
              <w:t>无提供服务承诺及合理化建议说明，得0分。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exact"/>
              <w:ind w:firstLine="422" w:firstLineChars="200"/>
              <w:jc w:val="both"/>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注：</w:t>
            </w:r>
          </w:p>
          <w:p>
            <w:pPr>
              <w:widowControl w:val="0"/>
              <w:tabs>
                <w:tab w:val="left" w:pos="907"/>
              </w:tabs>
              <w:adjustRightInd/>
              <w:snapToGrid/>
              <w:spacing w:after="0" w:line="360" w:lineRule="exact"/>
              <w:ind w:firstLine="422" w:firstLineChars="200"/>
              <w:jc w:val="both"/>
              <w:rPr>
                <w:rFonts w:ascii="宋体" w:hAnsi="宋体" w:eastAsia="宋体"/>
                <w:b/>
                <w:color w:val="auto"/>
                <w:kern w:val="2"/>
                <w:sz w:val="21"/>
                <w:szCs w:val="21"/>
                <w:highlight w:val="none"/>
              </w:rPr>
            </w:pPr>
            <w:r>
              <w:rPr>
                <w:rFonts w:hint="eastAsia" w:ascii="宋体" w:hAnsi="宋体" w:eastAsia="宋体"/>
                <w:b/>
                <w:color w:val="auto"/>
                <w:kern w:val="2"/>
                <w:sz w:val="21"/>
                <w:szCs w:val="21"/>
                <w:highlight w:val="none"/>
              </w:rPr>
              <w:t>（1）无特殊说明外，以上评审项，同一证明文件不重复计分。</w:t>
            </w:r>
          </w:p>
          <w:p>
            <w:pPr>
              <w:widowControl w:val="0"/>
              <w:tabs>
                <w:tab w:val="left" w:pos="907"/>
              </w:tabs>
              <w:adjustRightInd/>
              <w:snapToGrid/>
              <w:spacing w:after="0" w:line="360" w:lineRule="exact"/>
              <w:ind w:firstLine="422" w:firstLineChars="200"/>
              <w:jc w:val="both"/>
              <w:rPr>
                <w:rFonts w:ascii="宋体" w:eastAsia="宋体" w:cs="宋体"/>
                <w:color w:val="auto"/>
                <w:kern w:val="2"/>
                <w:sz w:val="21"/>
                <w:szCs w:val="21"/>
                <w:highlight w:val="none"/>
              </w:rPr>
            </w:pPr>
            <w:r>
              <w:rPr>
                <w:rFonts w:hint="eastAsia" w:ascii="宋体" w:hAnsi="宋体" w:eastAsia="宋体"/>
                <w:b/>
                <w:color w:val="auto"/>
                <w:kern w:val="2"/>
                <w:sz w:val="21"/>
                <w:szCs w:val="21"/>
                <w:highlight w:val="none"/>
              </w:rPr>
              <w:t>（2）投标人根据以上评分要求提供的投标材料因模糊不清导致评标委员会无法清晰辨认进行评审的，视为无效材料。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lang w:val="zh-CN"/>
              </w:rPr>
            </w:pPr>
            <w:r>
              <w:rPr>
                <w:rFonts w:hint="eastAsia" w:ascii="宋体" w:eastAsia="宋体" w:cs="宋体"/>
                <w:color w:val="auto"/>
                <w:sz w:val="21"/>
                <w:szCs w:val="21"/>
                <w:highlight w:val="none"/>
              </w:rPr>
              <w:t>价格评审（10）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576" w:type="pct"/>
            <w:tcBorders>
              <w:top w:val="single" w:color="auto" w:sz="4" w:space="0"/>
              <w:left w:val="single" w:color="auto" w:sz="4" w:space="0"/>
              <w:bottom w:val="single" w:color="auto" w:sz="4" w:space="0"/>
              <w:right w:val="single" w:color="auto" w:sz="4" w:space="0"/>
            </w:tcBorders>
            <w:vAlign w:val="center"/>
          </w:tcPr>
          <w:p>
            <w:pPr>
              <w:pStyle w:val="36"/>
              <w:spacing w:line="340" w:lineRule="exact"/>
              <w:ind w:firstLine="0" w:firstLineChars="0"/>
              <w:jc w:val="center"/>
              <w:rPr>
                <w:rFonts w:ascii="宋体" w:eastAsia="宋体" w:cs="宋体"/>
                <w:color w:val="auto"/>
                <w:sz w:val="21"/>
                <w:szCs w:val="21"/>
                <w:highlight w:val="none"/>
              </w:rPr>
            </w:pPr>
            <w:r>
              <w:rPr>
                <w:rFonts w:hint="eastAsia" w:ascii="宋体" w:eastAsia="宋体" w:cs="宋体"/>
                <w:color w:val="auto"/>
                <w:sz w:val="21"/>
                <w:szCs w:val="21"/>
                <w:highlight w:val="none"/>
              </w:rPr>
              <w:t>9</w:t>
            </w:r>
          </w:p>
        </w:tc>
        <w:tc>
          <w:tcPr>
            <w:tcW w:w="4423" w:type="pct"/>
            <w:gridSpan w:val="3"/>
            <w:tcBorders>
              <w:top w:val="single" w:color="auto" w:sz="4" w:space="0"/>
              <w:left w:val="single" w:color="auto" w:sz="4" w:space="0"/>
              <w:bottom w:val="single" w:color="auto" w:sz="4" w:space="0"/>
              <w:right w:val="single" w:color="auto" w:sz="4" w:space="0"/>
            </w:tcBorders>
            <w:vAlign w:val="center"/>
          </w:tcPr>
          <w:p>
            <w:pPr>
              <w:widowControl w:val="0"/>
              <w:tabs>
                <w:tab w:val="left" w:pos="907"/>
              </w:tabs>
              <w:adjustRightInd/>
              <w:snapToGrid/>
              <w:spacing w:after="0" w:line="360" w:lineRule="auto"/>
              <w:ind w:firstLine="420" w:firstLineChars="200"/>
              <w:jc w:val="both"/>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价格分计算方法：满足招标文件要求且投标价格最低的投标报价为评标基准价，其价格分为满分。其他投标人的价格分统一按照下列公式计算：</w:t>
            </w:r>
          </w:p>
          <w:p>
            <w:pPr>
              <w:spacing w:after="0" w:line="360" w:lineRule="auto"/>
              <w:ind w:firstLine="420" w:firstLineChars="200"/>
              <w:rPr>
                <w:rFonts w:ascii="宋体" w:hAnsi="宋体" w:eastAsia="宋体"/>
                <w:color w:val="auto"/>
                <w:kern w:val="2"/>
                <w:sz w:val="21"/>
                <w:szCs w:val="21"/>
                <w:highlight w:val="none"/>
              </w:rPr>
            </w:pPr>
            <w:r>
              <w:rPr>
                <w:rFonts w:hint="eastAsia" w:ascii="宋体" w:hAnsi="宋体" w:eastAsia="宋体"/>
                <w:color w:val="auto"/>
                <w:kern w:val="2"/>
                <w:sz w:val="21"/>
                <w:szCs w:val="21"/>
                <w:highlight w:val="none"/>
              </w:rPr>
              <w:t>投标报价得分=(评标基准价／投标报价)×价格权值</w:t>
            </w:r>
          </w:p>
        </w:tc>
      </w:tr>
    </w:tbl>
    <w:p>
      <w:pPr>
        <w:pStyle w:val="5"/>
        <w:spacing w:before="0" w:after="0" w:line="240" w:lineRule="auto"/>
        <w:rPr>
          <w:color w:val="auto"/>
          <w:sz w:val="36"/>
          <w:szCs w:val="36"/>
          <w:highlight w:val="none"/>
        </w:rPr>
      </w:pPr>
      <w:r>
        <w:rPr>
          <w:rFonts w:hint="eastAsia"/>
          <w:color w:val="auto"/>
          <w:sz w:val="28"/>
          <w:szCs w:val="28"/>
          <w:highlight w:val="none"/>
        </w:rPr>
        <w:br w:type="page"/>
      </w:r>
      <w:bookmarkStart w:id="4" w:name="_Toc31854"/>
      <w:r>
        <w:rPr>
          <w:rFonts w:hint="eastAsia"/>
          <w:color w:val="auto"/>
          <w:sz w:val="28"/>
          <w:szCs w:val="28"/>
          <w:highlight w:val="none"/>
        </w:rPr>
        <w:t>第三部分 用户需求书</w:t>
      </w:r>
      <w:bookmarkEnd w:id="4"/>
    </w:p>
    <w:p>
      <w:pPr>
        <w:pStyle w:val="6"/>
        <w:spacing w:before="0" w:after="0" w:line="240" w:lineRule="auto"/>
        <w:jc w:val="center"/>
        <w:rPr>
          <w:rFonts w:ascii="宋体" w:hAnsi="宋体" w:eastAsia="宋体" w:cs="宋体"/>
          <w:color w:val="auto"/>
          <w:sz w:val="24"/>
          <w:szCs w:val="24"/>
          <w:highlight w:val="none"/>
        </w:rPr>
      </w:pPr>
      <w:bookmarkStart w:id="5" w:name="_Toc3968"/>
      <w:r>
        <w:rPr>
          <w:rFonts w:hint="eastAsia" w:ascii="宋体" w:hAnsi="宋体" w:eastAsia="宋体" w:cs="宋体"/>
          <w:color w:val="auto"/>
          <w:sz w:val="24"/>
          <w:szCs w:val="24"/>
          <w:highlight w:val="none"/>
        </w:rPr>
        <w:t>用户需求明细</w:t>
      </w:r>
      <w:bookmarkEnd w:id="5"/>
    </w:p>
    <w:p>
      <w:pPr>
        <w:spacing w:after="0"/>
        <w:jc w:val="both"/>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项目概况</w:t>
      </w: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olor w:val="auto"/>
          <w:sz w:val="21"/>
          <w:szCs w:val="21"/>
          <w:highlight w:val="none"/>
          <w:lang w:eastAsia="zh-CN"/>
        </w:rPr>
        <w:t>东莞滨海湾新区交椅湾智慧道路(二期）软件</w:t>
      </w:r>
      <w:r>
        <w:rPr>
          <w:rFonts w:ascii="宋体" w:hAnsi="宋体" w:eastAsia="宋体" w:cs="Times New Roman"/>
          <w:color w:val="auto"/>
          <w:sz w:val="21"/>
          <w:szCs w:val="21"/>
          <w:highlight w:val="none"/>
        </w:rPr>
        <w:t>以智慧灯杆“建、管、养、盈、用、服、策”全生命周期一体化应用为目标，采用先进的物联网、云计算、视频 AI 分析、深度学习等多种前沿技术，实现道路设施自动化、精准化、智慧化、专业化的长期全方位运维运营，通过多场景智能应用服务，打通跨部门业务联动机制，面向管理者提供精细化监管的决策体验，面向广大群众提供全方位的公众信息服务，进一步推动智慧泛在的未来生活，实现智慧交通体验应用示范区设施、管理、服务的智慧化提升。</w:t>
      </w:r>
    </w:p>
    <w:p>
      <w:pPr>
        <w:pStyle w:val="33"/>
        <w:spacing w:after="0" w:line="360" w:lineRule="auto"/>
        <w:ind w:left="440" w:leftChars="200" w:firstLine="0" w:firstLineChars="0"/>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建设目标</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项目以“多杆合一、共享共用、部门联动”的设施资产数字化为基础支撑，开展“人、车、事、物、情”等实时监测，动态管控城市道路运行态势，从设施、服务、管理、综治、运营五方面着力，面向运营、政府和公众构建设施资产数字化、公共服务智慧化、道路管理一体化、综合治理精准化、运营管理市场化体系，助力新区高质量发展。</w:t>
      </w:r>
    </w:p>
    <w:p>
      <w:pPr>
        <w:pStyle w:val="33"/>
        <w:spacing w:after="0" w:line="360" w:lineRule="auto"/>
        <w:ind w:left="440" w:leftChars="200" w:firstLine="0" w:firstLineChars="0"/>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建设需求</w:t>
      </w:r>
    </w:p>
    <w:p>
      <w:pPr>
        <w:pStyle w:val="8"/>
        <w:numPr>
          <w:ilvl w:val="0"/>
          <w:numId w:val="2"/>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建设内容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智慧道路信息化平台在一期的功能基础上进行升级扩容，扩展数据处理能力、模型算法能力、业务应用范围、服务群体对象、城市治理能力。具体建设内容如下：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一期功能迭代优化：根据一期上线后用户反馈和深度沟通，针对前端UI交互功能、底层算法能力、业务流程表单、数据库等进行迭代升级；针对公共安防治安管理业务，在治安事件研判预警的基础上，进一步提供目标人员、车辆的历史轨迹追踪和实时布控功能、前端设备联动应用功能，为领导决策提供精准的办案依据，提高公安办案效率和质量；针对品质市政</w:t>
      </w:r>
      <w:r>
        <w:rPr>
          <w:rFonts w:ascii="宋体" w:hAnsi="宋体" w:eastAsia="宋体" w:cs="宋体"/>
          <w:color w:val="auto"/>
          <w:sz w:val="21"/>
          <w:szCs w:val="21"/>
          <w:highlight w:val="none"/>
        </w:rPr>
        <w:t>管理</w:t>
      </w:r>
      <w:r>
        <w:rPr>
          <w:rFonts w:hint="eastAsia" w:ascii="宋体" w:hAnsi="宋体" w:eastAsia="宋体" w:cs="宋体"/>
          <w:color w:val="auto"/>
          <w:sz w:val="21"/>
          <w:szCs w:val="21"/>
          <w:highlight w:val="none"/>
        </w:rPr>
        <w:t>业务，需通过前端</w:t>
      </w:r>
      <w:r>
        <w:rPr>
          <w:rFonts w:hint="eastAsia" w:ascii="宋体" w:hAnsi="宋体" w:eastAsia="宋体" w:cs="宋体"/>
          <w:b w:val="0"/>
          <w:bCs w:val="0"/>
          <w:color w:val="auto"/>
          <w:sz w:val="21"/>
          <w:szCs w:val="21"/>
          <w:highlight w:val="none"/>
        </w:rPr>
        <w:t>智能监测预警</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sz w:val="21"/>
          <w:szCs w:val="21"/>
          <w:highlight w:val="none"/>
        </w:rPr>
        <w:t>人工巡检上报</w:t>
      </w:r>
      <w:r>
        <w:rPr>
          <w:rFonts w:hint="eastAsia" w:ascii="宋体" w:hAnsi="宋体" w:eastAsia="宋体" w:cs="宋体"/>
          <w:color w:val="auto"/>
          <w:sz w:val="21"/>
          <w:szCs w:val="21"/>
          <w:highlight w:val="none"/>
        </w:rPr>
        <w:t>多种方式采集违反城市秩序、环境不卫生、园林绿化异常、道路设施异常、上路车辆不合规等</w:t>
      </w:r>
      <w:r>
        <w:rPr>
          <w:rFonts w:hint="eastAsia" w:ascii="宋体" w:hAnsi="宋体" w:eastAsia="宋体" w:cs="宋体"/>
          <w:b w:val="0"/>
          <w:bCs w:val="0"/>
          <w:color w:val="auto"/>
          <w:sz w:val="21"/>
          <w:szCs w:val="21"/>
          <w:highlight w:val="none"/>
        </w:rPr>
        <w:t>不规范事件</w:t>
      </w:r>
      <w:r>
        <w:rPr>
          <w:rFonts w:hint="eastAsia" w:ascii="宋体" w:hAnsi="宋体" w:eastAsia="宋体" w:cs="宋体"/>
          <w:color w:val="auto"/>
          <w:sz w:val="21"/>
          <w:szCs w:val="21"/>
          <w:highlight w:val="none"/>
        </w:rPr>
        <w:t>，由城管局统筹，协调城管执法、第三方企业等单位开展</w:t>
      </w:r>
      <w:r>
        <w:rPr>
          <w:rFonts w:hint="eastAsia" w:ascii="宋体" w:hAnsi="宋体" w:eastAsia="宋体" w:cs="宋体"/>
          <w:b w:val="0"/>
          <w:bCs w:val="0"/>
          <w:color w:val="auto"/>
          <w:sz w:val="21"/>
          <w:szCs w:val="21"/>
          <w:highlight w:val="none"/>
        </w:rPr>
        <w:t>事件分拨、现场处置、结果核查</w:t>
      </w:r>
      <w:r>
        <w:rPr>
          <w:rFonts w:hint="eastAsia" w:ascii="宋体" w:hAnsi="宋体" w:eastAsia="宋体" w:cs="宋体"/>
          <w:color w:val="auto"/>
          <w:sz w:val="21"/>
          <w:szCs w:val="21"/>
          <w:highlight w:val="none"/>
        </w:rPr>
        <w:t>等工作，</w:t>
      </w:r>
      <w:r>
        <w:rPr>
          <w:rFonts w:hint="eastAsia" w:ascii="宋体" w:hAnsi="宋体" w:eastAsia="宋体" w:cs="宋体"/>
          <w:b w:val="0"/>
          <w:bCs w:val="0"/>
          <w:color w:val="auto"/>
          <w:sz w:val="21"/>
          <w:szCs w:val="21"/>
          <w:highlight w:val="none"/>
        </w:rPr>
        <w:t>实现城管多级协同治理</w:t>
      </w:r>
      <w:r>
        <w:rPr>
          <w:rFonts w:hint="eastAsia" w:ascii="宋体" w:hAnsi="宋体" w:eastAsia="宋体" w:cs="宋体"/>
          <w:color w:val="auto"/>
          <w:sz w:val="21"/>
          <w:szCs w:val="21"/>
          <w:highlight w:val="none"/>
        </w:rPr>
        <w:t>。</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（2）前端数据采集和接入：主要包含3方面：采集滨海湾道路基础设施、道路交通部件、城管部件等，建立道路设施资产库，实现道路设施资产库数智化管理；针对二期的13公里智慧</w:t>
      </w:r>
      <w:r>
        <w:rPr>
          <w:rFonts w:ascii="宋体" w:hAnsi="宋体" w:eastAsia="宋体" w:cs="宋体"/>
          <w:color w:val="auto"/>
          <w:sz w:val="21"/>
          <w:szCs w:val="21"/>
          <w:highlight w:val="none"/>
        </w:rPr>
        <w:t>灯杆</w:t>
      </w:r>
      <w:r>
        <w:rPr>
          <w:rFonts w:hint="eastAsia" w:ascii="宋体" w:hAnsi="宋体" w:eastAsia="宋体" w:cs="宋体"/>
          <w:color w:val="auto"/>
          <w:sz w:val="21"/>
          <w:szCs w:val="21"/>
          <w:highlight w:val="none"/>
        </w:rPr>
        <w:t>所有智慧化设施，完成设备接入、鉴权、参数配置、状态监测、资产入库等资产管理；制作道路设施三维模型，基于开源三维引擎实现三维模型解析和转换、三维模型管理、模型轻量化等功能，实现滨海湾新区道路基础设施三维展示和可视化应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交通运行监测：基于交通研判算法和多源交通感知数据的融合计算，从交通指数、运行速度、道路流量等指标进行监测评估，全面直观展示滨海湾新区片区、道路等维度的交通运行态势，实现对拥堵路段实时预警，辅助交通管理及拥堵疏导，并依据路况历史数据分析常发拥堵路段及节假日拥堵路段。</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（4）设施运营管理：针对本项目可租赁资源建立资产运营体系，</w:t>
      </w:r>
      <w:r>
        <w:rPr>
          <w:rFonts w:hint="eastAsia" w:ascii="宋体" w:hAnsi="宋体" w:eastAsia="宋体" w:cs="宋体"/>
          <w:color w:val="auto"/>
          <w:sz w:val="21"/>
          <w:szCs w:val="21"/>
          <w:highlight w:val="none"/>
          <w:lang w:bidi="ar-SA"/>
        </w:rPr>
        <w:t>通过信息化手段支撑市场化的运营管理流程落地，提升设施运营效能</w:t>
      </w:r>
      <w:r>
        <w:rPr>
          <w:rFonts w:hint="eastAsia" w:ascii="宋体" w:hAnsi="宋体" w:eastAsia="宋体" w:cs="宋体"/>
          <w:color w:val="auto"/>
          <w:sz w:val="21"/>
          <w:szCs w:val="21"/>
          <w:highlight w:val="none"/>
        </w:rPr>
        <w:t>。</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交通出行服务创新：主要包含三方面：通过对电子站牌管理、公交车行为智能化识别管理、公交站台运行管理、公交站台实况监测、站台人员的管理，实现智慧站台边端智能监测与云端处置协同管理，以及公交线网优化策略支撑；通过多源检测数据分析研判，实现基于大数据的城市信号方案智能化管控；通过各种手段采集路边停车场、大型路面停车场基础信息以及实时剩余车位数据，结合灯杆摄像头、停车场道闸、地磁、车位锁等设备，为广大车主提供车位信息查询、车位预约、车位导航等功能，提高停车场的车位周转率和利用率，构建智慧停车新生态。</w:t>
      </w:r>
    </w:p>
    <w:p>
      <w:pPr>
        <w:spacing w:after="0" w:line="360" w:lineRule="auto"/>
        <w:ind w:firstLine="420" w:firstLineChars="200"/>
        <w:rPr>
          <w:rFonts w:hint="eastAsia" w:ascii="Tahoma" w:hAnsi="Tahoma" w:eastAsia="微软雅黑" w:cstheme="minorBidi"/>
          <w:color w:val="auto"/>
          <w:sz w:val="22"/>
          <w:szCs w:val="22"/>
          <w:highlight w:val="none"/>
        </w:rPr>
      </w:pPr>
      <w:r>
        <w:rPr>
          <w:rFonts w:hint="eastAsia" w:ascii="宋体" w:hAnsi="宋体" w:eastAsia="宋体" w:cs="宋体"/>
          <w:color w:val="auto"/>
          <w:sz w:val="21"/>
          <w:szCs w:val="21"/>
          <w:highlight w:val="none"/>
        </w:rPr>
        <w:t>（6）AI算法算力资源扩容：视频结构化算法新增支持</w:t>
      </w:r>
      <w:r>
        <w:rPr>
          <w:rFonts w:ascii="宋体" w:hAnsi="宋体" w:eastAsia="宋体" w:cs="宋体"/>
          <w:color w:val="auto"/>
          <w:sz w:val="21"/>
          <w:szCs w:val="21"/>
          <w:highlight w:val="none"/>
        </w:rPr>
        <w:t>350</w:t>
      </w:r>
      <w:r>
        <w:rPr>
          <w:rFonts w:hint="eastAsia" w:ascii="宋体" w:hAnsi="宋体" w:eastAsia="宋体" w:cs="宋体"/>
          <w:color w:val="auto"/>
          <w:sz w:val="21"/>
          <w:szCs w:val="21"/>
          <w:highlight w:val="none"/>
        </w:rPr>
        <w:t>路算力；人脸算法新增支持</w:t>
      </w:r>
      <w:r>
        <w:rPr>
          <w:rFonts w:ascii="宋体" w:hAnsi="宋体" w:eastAsia="宋体" w:cs="宋体"/>
          <w:color w:val="auto"/>
          <w:sz w:val="21"/>
          <w:szCs w:val="21"/>
          <w:highlight w:val="none"/>
        </w:rPr>
        <w:t>430</w:t>
      </w:r>
      <w:r>
        <w:rPr>
          <w:rFonts w:hint="eastAsia" w:ascii="宋体" w:hAnsi="宋体" w:eastAsia="宋体" w:cs="宋体"/>
          <w:color w:val="auto"/>
          <w:sz w:val="21"/>
          <w:szCs w:val="21"/>
          <w:highlight w:val="none"/>
        </w:rPr>
        <w:t>路算力。</w:t>
      </w:r>
    </w:p>
    <w:p>
      <w:pPr>
        <w:pStyle w:val="8"/>
        <w:numPr>
          <w:ilvl w:val="0"/>
          <w:numId w:val="2"/>
        </w:numPr>
        <w:spacing w:before="0" w:after="0" w:line="360" w:lineRule="auto"/>
        <w:ind w:left="0" w:firstLine="422" w:firstLineChars="200"/>
        <w:rPr>
          <w:rFonts w:ascii="宋体" w:hAnsi="宋体" w:eastAsia="宋体" w:cs="宋体"/>
          <w:color w:val="auto"/>
          <w:sz w:val="21"/>
          <w:szCs w:val="21"/>
          <w:highlight w:val="none"/>
        </w:rPr>
      </w:pPr>
      <w:bookmarkStart w:id="6" w:name="_Toc63070837"/>
      <w:r>
        <w:rPr>
          <w:rFonts w:hint="eastAsia" w:ascii="宋体" w:hAnsi="宋体" w:eastAsia="宋体" w:cs="宋体"/>
          <w:color w:val="auto"/>
          <w:sz w:val="21"/>
          <w:szCs w:val="21"/>
          <w:highlight w:val="none"/>
        </w:rPr>
        <w:t>功能</w:t>
      </w:r>
      <w:bookmarkEnd w:id="6"/>
      <w:r>
        <w:rPr>
          <w:rFonts w:hint="eastAsia" w:ascii="宋体" w:hAnsi="宋体" w:eastAsia="宋体" w:cs="宋体"/>
          <w:color w:val="auto"/>
          <w:sz w:val="21"/>
          <w:szCs w:val="21"/>
          <w:highlight w:val="none"/>
        </w:rPr>
        <w:t>需求</w:t>
      </w:r>
    </w:p>
    <w:p>
      <w:pPr>
        <w:pStyle w:val="9"/>
        <w:spacing w:after="0" w:line="360" w:lineRule="auto"/>
        <w:ind w:left="0" w:leftChars="0" w:firstLine="422" w:firstLineChars="200"/>
        <w:rPr>
          <w:rFonts w:ascii="宋体" w:hAnsi="宋体" w:eastAsia="宋体" w:cs="宋体"/>
          <w:b/>
          <w:bCs/>
          <w:color w:val="auto"/>
          <w:sz w:val="21"/>
          <w:szCs w:val="21"/>
          <w:highlight w:val="none"/>
        </w:rPr>
      </w:pPr>
      <w:bookmarkStart w:id="7" w:name="_Toc60303717"/>
      <w:bookmarkStart w:id="8" w:name="_Toc57578294"/>
      <w:bookmarkStart w:id="9" w:name="_Toc54969219"/>
      <w:r>
        <w:rPr>
          <w:rFonts w:hint="eastAsia" w:ascii="宋体" w:hAnsi="宋体" w:eastAsia="宋体" w:cs="宋体"/>
          <w:b/>
          <w:bCs/>
          <w:color w:val="auto"/>
          <w:sz w:val="21"/>
          <w:szCs w:val="21"/>
          <w:highlight w:val="none"/>
        </w:rPr>
        <w:t>2.1前端数据采集和接入</w:t>
      </w:r>
      <w:bookmarkEnd w:id="7"/>
      <w:bookmarkEnd w:id="8"/>
    </w:p>
    <w:p>
      <w:pPr>
        <w:pStyle w:val="10"/>
        <w:spacing w:before="0" w:after="0" w:line="360" w:lineRule="auto"/>
        <w:ind w:left="0" w:firstLine="422" w:firstLineChars="200"/>
        <w:jc w:val="left"/>
        <w:rPr>
          <w:rFonts w:ascii="宋体" w:hAnsi="宋体" w:cs="宋体"/>
          <w:color w:val="auto"/>
          <w:sz w:val="21"/>
          <w:szCs w:val="21"/>
          <w:highlight w:val="none"/>
        </w:rPr>
      </w:pPr>
      <w:bookmarkStart w:id="10" w:name="_Toc33222482"/>
      <w:bookmarkStart w:id="11" w:name="_Toc498325235"/>
      <w:bookmarkStart w:id="12" w:name="_Toc54969218"/>
      <w:bookmarkStart w:id="13" w:name="_Toc503366606"/>
      <w:bookmarkStart w:id="14" w:name="_Toc428723174"/>
      <w:r>
        <w:rPr>
          <w:rFonts w:hint="eastAsia" w:ascii="宋体" w:hAnsi="宋体" w:cs="宋体"/>
          <w:color w:val="auto"/>
          <w:sz w:val="21"/>
          <w:szCs w:val="21"/>
          <w:highlight w:val="none"/>
        </w:rPr>
        <w:t>2.1.1道路设施数据采集</w:t>
      </w:r>
    </w:p>
    <w:p>
      <w:pPr>
        <w:pStyle w:val="33"/>
        <w:widowControl w:val="0"/>
        <w:numPr>
          <w:ilvl w:val="0"/>
          <w:numId w:val="3"/>
        </w:numPr>
        <w:spacing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数据采集范围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区域范围：滨海湾新区全区域，重点采集</w:t>
      </w:r>
      <w:r>
        <w:rPr>
          <w:rFonts w:hint="eastAsia" w:ascii="宋体" w:hAnsi="宋体" w:eastAsia="宋体" w:cs="宋体"/>
          <w:color w:val="auto"/>
          <w:sz w:val="21"/>
          <w:szCs w:val="21"/>
          <w:highlight w:val="none"/>
          <w:lang w:val="en-US" w:eastAsia="zh-CN"/>
        </w:rPr>
        <w:t>兴海路</w:t>
      </w:r>
      <w:r>
        <w:rPr>
          <w:rFonts w:hint="eastAsia" w:ascii="宋体" w:hAnsi="宋体" w:eastAsia="宋体" w:cs="宋体"/>
          <w:color w:val="auto"/>
          <w:sz w:val="21"/>
          <w:szCs w:val="21"/>
          <w:highlight w:val="none"/>
        </w:rPr>
        <w:t>（1.8 公里）、迎宾路（282 米），滨海湾大道（4.46 公里）、中海路（2.62 公里）、振海路（1.58 公里）、华海路（1.69 公里）、东海路（2.65公里）共7条道路范围内的道路基础设施。</w:t>
      </w:r>
    </w:p>
    <w:p>
      <w:pPr>
        <w:pStyle w:val="33"/>
        <w:widowControl w:val="0"/>
        <w:numPr>
          <w:ilvl w:val="0"/>
          <w:numId w:val="3"/>
        </w:numPr>
        <w:spacing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道路基础设施范围：包括以下7大类64小类：</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54"/>
        <w:gridCol w:w="5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29"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设施大类</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设施小类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道路基础设施</w:t>
            </w: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桥梁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边坡挡墙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涵洞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连廊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声屏障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29" w:type="pct"/>
            <w:vMerge w:val="continue"/>
            <w:vAlign w:val="center"/>
          </w:tcPr>
          <w:p>
            <w:pPr>
              <w:spacing w:after="0" w:line="360" w:lineRule="auto"/>
              <w:ind w:firstLine="420" w:firstLineChars="200"/>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盲道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人行道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公用设施类部件</w:t>
            </w: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井盖（水电气、热、公安）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消防设施（消防栓、消防龙头）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通讯交接箱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电力设备(派接箱，电闸箱等）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立杆（电杆、拉杆、电信立杆、电视、公交拉杆等）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灯具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单灯控制器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报刊亭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邮筒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供水器（居民和绿化供水）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地下管线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道路交通类部件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路边停车场（含道闸）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公交站台主体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过街天桥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地下通道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立交桥、跨河桥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交通信号设施（交通控制机等）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市容环境类部件</w:t>
            </w: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公共厕所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垃圾箱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垃圾中转站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广告牌匾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污水口监测站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噪声显示屏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城管驿站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41</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园林绿化类部件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古树名木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行道树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护树设施（花坛、护树围栏）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绿地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城市雕塑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街头座椅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绿地护栏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喷泉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49</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道路监控类部件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电子警察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卡口摄像头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高清视频（含枪机和球机）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道路信息显示屏（诱导屏、电子告示牌、灯杆信息屏、公交站台信息屏）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53</w:t>
            </w:r>
          </w:p>
        </w:tc>
        <w:tc>
          <w:tcPr>
            <w:tcW w:w="1029" w:type="pct"/>
            <w:vMerge w:val="restar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智慧化采集部件</w:t>
            </w: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智能网关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lora网关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55</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公共广播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56</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紧急呼叫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57</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动态标志牌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58</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59</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水位监测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60</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地磁（线圈）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微波雷达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路侧单元RSU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63</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环境监测站（含大气、噪音监测）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477" w:type="pct"/>
            <w:shd w:val="clear" w:color="auto" w:fill="auto"/>
            <w:noWrap/>
            <w:vAlign w:val="center"/>
          </w:tcPr>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64</w:t>
            </w:r>
          </w:p>
        </w:tc>
        <w:tc>
          <w:tcPr>
            <w:tcW w:w="1029" w:type="pct"/>
            <w:vMerge w:val="continue"/>
            <w:vAlign w:val="center"/>
          </w:tcPr>
          <w:p>
            <w:pPr>
              <w:spacing w:after="0" w:line="360" w:lineRule="auto"/>
              <w:jc w:val="center"/>
              <w:rPr>
                <w:rFonts w:ascii="宋体" w:hAnsi="宋体" w:eastAsia="宋体" w:cs="宋体"/>
                <w:color w:val="auto"/>
                <w:sz w:val="21"/>
                <w:szCs w:val="21"/>
                <w:highlight w:val="none"/>
              </w:rPr>
            </w:pPr>
          </w:p>
        </w:tc>
        <w:tc>
          <w:tcPr>
            <w:tcW w:w="3493" w:type="pct"/>
            <w:shd w:val="clear" w:color="auto" w:fill="auto"/>
            <w:noWrap/>
            <w:vAlign w:val="center"/>
          </w:tcPr>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气象监测站</w:t>
            </w:r>
          </w:p>
        </w:tc>
      </w:tr>
    </w:tbl>
    <w:p>
      <w:pPr>
        <w:pStyle w:val="33"/>
        <w:widowControl w:val="0"/>
        <w:numPr>
          <w:ilvl w:val="0"/>
          <w:numId w:val="3"/>
        </w:numPr>
        <w:spacing w:after="0" w:line="360" w:lineRule="auto"/>
        <w:ind w:left="0" w:firstLine="42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标准规范制定</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制定数据标准、外采规范、内业处理规范，指导滨海湾新区所有道路基础设施数据的采集处理工作，要求数据成果为shp、E00等地理信息公开格式，2000国家大地坐标系。</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数据标准是对道路基础数据成果的详细约束，主要包含图形对象绘制标准、各类设施编码规则、属性字段要求、属性库之间的关联要求等。数据标准数据成果需保持与背景地图的坐标一致，从而实现业务应用的展示设施的位置、保养状况等属性可视化需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2）外业采集实施导则是对数据采集的方式（人工外场测量、车载设备采集等、遥感图像采集）、具体执行标准、记录表单、成果交接要求等进行详细约束，保证数据源头的质量。</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内业处理规范作为内业作业依据。内页接收外业采集成果，通过预处理，形成空间信息、坐标信息、设施名称、所属道路等基础数据，根据数据标准进行后处理完善设施所属企业、与其他设施关联关系等信息，形成道路设施地理信息数据库。另外规范需要求质量检查方法、成果检验方法等，保证数据处理成果的达到品质要求。</w:t>
      </w:r>
      <w:bookmarkEnd w:id="10"/>
      <w:bookmarkEnd w:id="11"/>
      <w:bookmarkEnd w:id="12"/>
      <w:bookmarkEnd w:id="13"/>
      <w:bookmarkEnd w:id="14"/>
    </w:p>
    <w:p>
      <w:pPr>
        <w:pStyle w:val="10"/>
        <w:spacing w:before="0" w:after="0" w:line="360" w:lineRule="auto"/>
        <w:ind w:left="0" w:firstLine="422" w:firstLineChars="200"/>
        <w:jc w:val="left"/>
        <w:rPr>
          <w:rFonts w:ascii="宋体" w:hAnsi="宋体" w:cs="宋体"/>
          <w:color w:val="auto"/>
          <w:sz w:val="21"/>
          <w:szCs w:val="21"/>
          <w:highlight w:val="none"/>
        </w:rPr>
      </w:pPr>
      <w:bookmarkStart w:id="15" w:name="_Toc14780"/>
      <w:r>
        <w:rPr>
          <w:rFonts w:hint="eastAsia" w:ascii="宋体" w:hAnsi="宋体" w:cs="宋体"/>
          <w:color w:val="auto"/>
          <w:sz w:val="21"/>
          <w:szCs w:val="21"/>
          <w:highlight w:val="none"/>
        </w:rPr>
        <w:t>2.1.2新增物联网</w:t>
      </w:r>
      <w:bookmarkEnd w:id="15"/>
      <w:r>
        <w:rPr>
          <w:rFonts w:hint="eastAsia" w:ascii="宋体" w:hAnsi="宋体" w:cs="宋体"/>
          <w:color w:val="auto"/>
          <w:sz w:val="21"/>
          <w:szCs w:val="21"/>
          <w:highlight w:val="none"/>
        </w:rPr>
        <w:t>设备接入</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（1）设备接入范围：二期新建13.5公里道路智慧化设施，具体设施如下：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建设1211根共享共用的灯杆，其中约40%智慧杆；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 918 路视频监控，其中高清球占比38%、高清枪占比 22%、人脸枪占比40%；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建设59 套信号灯，17套电子警察，2套卡口测速；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建设道路闸口出入设施 9 套（含配套软件），2608 个井盖传感器，71 套广播，37 个信息发布屏等；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建设73个SOS紧急呼叫点；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建设水位监测24处，气象环境监测6处。</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2.1.3三维数据建模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（1）三维建模范围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期道路长度13.5公里，其中迎宾路（282米），滨海湾大道（4.46公里）、中海路（2.62公里）、振海路（1.58公里）、华海路（1.69公里）、东海路（2.65公里），需建设道路半径100米范围内的设施模型，13.5km*0.1km=1.35km²，建模范围1.35平方公里。针对二期项目的几条道路及基础设施构建三维模型数据，建筑物采用2.5维数据（轮廓和楼高信息）即可，不需建模。</w:t>
      </w:r>
    </w:p>
    <w:p>
      <w:pPr>
        <w:pStyle w:val="9"/>
        <w:spacing w:after="0" w:line="360" w:lineRule="auto"/>
        <w:ind w:left="0" w:leftChars="0"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2.2交通运行监测管理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交通研判算法和多源交通感知数据的融合计算，从交通指数、运行速度、道路流量等指标进行监测评估，全面直观展示滨海湾新区片区、道路等维度的交通运行态势，实现对拥堵路段实时预警，辅助交通管理及拥堵疏导，并依据路况历史数据分析常发拥堵路段及节假日拥堵路段。</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2.2.1道路运行监测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全面直观展示街道片区、道路等维度的交通运行态势，从交通指数、运行速度、道路流量等指标进行评估，实现对拥堵路段实时预警，辅助交通管理及拥堵疏导，并依据路况历史数据分析常发拥堵路段及节假日拥堵路段。</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2.2.2交通决策分析</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通过大数据分析，针对重点区域、重点路段、节假日的拥堵情况进行分析，并基于地图进行展示，为交通监管部门治理拥堵提供数据支撑。</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2.3道路设施运营管理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一共有管道、灯杆5G空间、广告位三大类可租赁设备，计划全权委托运营公司负责租赁业务的招租、签约、付款、以及服务管理。本版块设计运营审批管理、营业收入管理、客户信息管理、价格管理、资源租赁状态管理等功能，支撑运营管理业务电子化，实现运营资产价值最大化。</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2.3.1运营流程管理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城管部门全权委托运营公司负责租赁业务的招租、签约、付款、提供服务全程管理。</w:t>
      </w:r>
      <w:bookmarkStart w:id="16" w:name="_Hlk61361555"/>
      <w:r>
        <w:rPr>
          <w:rFonts w:hint="eastAsia" w:ascii="宋体" w:hAnsi="宋体" w:eastAsia="宋体" w:cs="宋体"/>
          <w:color w:val="auto"/>
          <w:sz w:val="21"/>
          <w:szCs w:val="21"/>
          <w:highlight w:val="none"/>
        </w:rPr>
        <w:t>运营公司与用户在线下完成咨询、运营资料递交工作后，运营公司</w:t>
      </w:r>
      <w:bookmarkEnd w:id="16"/>
      <w:r>
        <w:rPr>
          <w:rFonts w:hint="eastAsia" w:ascii="宋体" w:hAnsi="宋体" w:eastAsia="宋体" w:cs="宋体"/>
          <w:color w:val="auto"/>
          <w:sz w:val="21"/>
          <w:szCs w:val="21"/>
          <w:highlight w:val="none"/>
        </w:rPr>
        <w:t>在平台发起租赁申请并上传租户资料，运营公司初审通过后，提交城管局和党政办对租户资料和广告方案进行审批，运营公司收到审批通过意见后，与用户完成合同签订、以及付款进度跟踪。</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2.3.2营业收入管理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营收管理由运营公司按照合同内容分析收款周期和金额，约定银行自动进行运营对象银行卡扣款的业务功能，并将扣款结果在平台中进行反馈，由运营公司记录租赁用户实际交纳费用数据，显示各个运营对象的缴款及时性，进行费用清算的业务功能。</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2.3.3客户信息管理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对租赁用户信息进行的管理，包括客户基本信息增加、删除、修改、查询等功能。</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2.3.4租赁资源状态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对可以进行运营的设施进行统一管理，主要包含当前设施状态（空闲/租赁）、租赁单位、到期时间、已租赁时间、历史租赁记录。</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2.3.5价格体系管理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对运营对象的租赁单价或费用计算方式进行管理，租赁单价可以按照每小时多少钱来计算，也可以按照屏幕大小来计算，计价模式包含包月、包季、包年等多种模式。</w:t>
      </w:r>
    </w:p>
    <w:p>
      <w:pPr>
        <w:pStyle w:val="10"/>
        <w:spacing w:before="0" w:after="0" w:line="360" w:lineRule="auto"/>
        <w:ind w:left="0" w:firstLine="422"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2.3.6统计报表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支持运营工作中每一项数据进行的查询和列表导出，针对运营公司的所有运营审批记录、历史营收记录进行综合查询。另外支持营收月报、年报、资产报表等。</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2.4公共安防管理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向公共安防治安管理业务，提供基于智慧道路AI算法的治安事件研判预警，及时发现案件并发送给执法人员，避免事态进一步扩大；提供目标人员、车辆的历史轨迹追踪和实时布控功能，为领导决策提供精准的办案依据，提高公安办案效率和质量；针对紧急案情提供红灯拦截、广播喊话等前端应急协同功能，协助一线办案人员快速完成抓捕任务。</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2.4.1治安事件预警</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人工视频巡查、视频AI自动识别、SOS紧急呼救设备报警采集治安事件，并记录事件处置结果。其中，人工查看实时视频和历史视频确认事件后，直接录入事件信息；视频AI识别到预警事件需人工确认将无效事件剔除；紧急求助设备报警信息需人工验证后，汇入事件池。事件信息不需对接到其他平台，由公安人员线下对接处置结果，并填写处置记录。</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治安事件包括人群异常聚集、打架斗殴、抢劫等行为。</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2.4.2车辆轨迹追踪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车辆轨迹追踪业务是公安针对治安事件或其他需要，进行车辆历史轨迹还原或车辆行驶轨迹的实时追踪。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在进行车辆历史轨迹还原时，根据车辆特征（颜色、车型等）或车牌，以特征录入或图片上传的方式，在平台中进行目标车辆的历史轨迹还原。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在进行车辆行驶轨迹的实时追踪时，通过特征输入快速定位目标车辆的实时位置，并结合道路拓扑结构和视频实时结构化数据，进行视频跟随车辆切换，实现目标车辆的实时追踪。</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2.4.3人员轨迹追踪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人员轨迹追踪业务是公安针对治安事件或其他需要进行人员历史轨迹还原或人员行驶轨迹的实时追踪。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在进行人员历史轨迹还原时，根据人员特征（身高范围、衣服颜色、是否戴眼镜等），以特征录入或图片上传的方式，在平台中进行目标人员的历史轨迹还原。</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在进行人员轨迹的实时追踪时，通过特征输入或图片上传的方式，快速定位目标人员的实时位置，并结合道路拓扑结构和视频实时结构化数据，进行视频跟随目标人员切换，实现目标人员的实时追踪。</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2.4.4设备应急联动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当发生现场治安事件时，根据事件位置，平台调用事件周边信息屏、广播、信号机等，进行联动应用，如广播远程喊话、信息屏内容发布、信号机红灯布控等手段，预防治安事件的进一步恶化，为现场执法争取时间。</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2.4.5视频调用管理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视频调用管理是公安人员进行视频预置位和优先级的设置功能，当视频预置位发生变动时，可以进行实时预警和自动复位，以便在突发情况需要时进行实时视频和历史视频的查看。</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2.5品质市政管理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为了加强市政管理部门在道路秩序、园林绿化管理、环境卫生管理、道路养护管理、市政车辆作业等业务监管水平，通过AI智能、人工巡检等多种方式，对以上所有业务范围内需要专项解决的异常事件进行排查、预警，并对事件进行统一分拨、由各责任部门处置、填报事件结果，实现品质市政综合事件闭环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园林绿化事件是指大树倾斜倒伏、绿植大面积破坏，事件主要来源是摄像头巡检、AI识别、人员日常巡检。</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环境卫生事件管理主要针对环卫工人清扫保洁之外突发的路面脏污、垃圾堆放、路面渣土、垃圾桶满溢等事件信息，大部分事件需要人员日常巡检发现，垃圾桶满溢主要来源于AI识别和摄像头巡检。</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道路养护事件是识别路面塌陷、护栏破损、标线模糊不清等事件信息，常规来源是养护人员日常巡检，本项目新增了AI识别和摄像头巡检来源。 </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政车辆违规作业事件主要来源是AI识别，通过接入环卫车辆作业数据，并利用视频设备对区域内环卫车辆进行监管，识别清洁车、洒水车、绿化喷洒车在作业过程中的异常行为，作业车辆的异常行为包括：不按规划路线作业、违章闯红灯、无牌环卫车、急倒急停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井盖异常事件主要包含井盖倾斜、丢失等，通过视频对区域内的井盖进行巡查，结合井盖传感器自动监测以及城管人工巡检发现并上报异常情况。</w:t>
      </w:r>
    </w:p>
    <w:p>
      <w:pPr>
        <w:pStyle w:val="10"/>
        <w:spacing w:before="0" w:after="0" w:line="360" w:lineRule="auto"/>
        <w:ind w:left="0" w:firstLine="422" w:firstLineChars="200"/>
        <w:rPr>
          <w:rFonts w:ascii="宋体" w:hAnsi="宋体" w:cs="宋体"/>
          <w:color w:val="auto"/>
          <w:sz w:val="21"/>
          <w:szCs w:val="21"/>
          <w:highlight w:val="none"/>
        </w:rPr>
      </w:pPr>
      <w:bookmarkStart w:id="17" w:name="_Toc60074777"/>
      <w:bookmarkStart w:id="18" w:name="_Toc60303657"/>
      <w:r>
        <w:rPr>
          <w:rFonts w:hint="eastAsia" w:ascii="宋体" w:hAnsi="宋体" w:cs="宋体"/>
          <w:color w:val="auto"/>
          <w:sz w:val="21"/>
          <w:szCs w:val="21"/>
          <w:highlight w:val="none"/>
        </w:rPr>
        <w:t>2.5.1市政日常巡查</w:t>
      </w:r>
      <w:bookmarkEnd w:id="17"/>
      <w:bookmarkEnd w:id="18"/>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政日常巡查是以城管人工巡检为主，以视频AI、视频巡检、井盖传感器等方式为辅，对城管执法事件、园林绿化修复事件、环境卫生整改事件、道路养护管理、市政车辆违规作业、井盖异常事件、复杂的占道施工共7类事件进行排查，并对事件状况上报录入后，将事件信息和地图位置分拨至相关责任部门或者第三方进行处置。其中针对市政作业车辆违规行为的AI识别，需要采集车辆GPS和作业路线数据。</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巡查上报方式包含：摄像头巡检、AI识别、人员日常巡检、井盖传感器。其中人员日常巡检通过移动端上报，摄像头巡检需人工上报，AI识别和井盖传感器自动生成“视频AI预警”信息。</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巡查记录录入包含视频上报和人工巡查上报，视频上报类事件需要人员复核，人工巡检包含不需处置/需现场处置的事件。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功能设计需包含：巡检排班、巡检任务、巡检上报、视频AI预警、事件分拨和确认。频巡检上报</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视频巡检上报提供视频巡查界面，室内值班（巡检）人员通过摄像头巡检发现各类城管事件（AI难识别的）时，及时填报事件信息，填报过程中系统需支持自动提取摄像头抓拍的照片和XY坐标信息。</w:t>
      </w:r>
      <w:r>
        <w:rPr>
          <w:rFonts w:hint="eastAsia" w:ascii="宋体" w:hAnsi="宋体" w:eastAsia="宋体" w:cs="宋体"/>
          <w:color w:val="auto"/>
          <w:sz w:val="21"/>
          <w:szCs w:val="21"/>
          <w:highlight w:val="none"/>
        </w:rPr>
        <w:cr/>
      </w:r>
      <w:r>
        <w:rPr>
          <w:rFonts w:hint="eastAsia" w:ascii="宋体" w:hAnsi="宋体" w:eastAsia="宋体" w:cs="宋体"/>
          <w:color w:val="auto"/>
          <w:sz w:val="21"/>
          <w:szCs w:val="21"/>
          <w:highlight w:val="none"/>
        </w:rPr>
        <w:t>巡检内容包含：城管执法事件、园林绿化修复事件、环境卫生整改事件、道路养护管理、市政车辆违规作业、井盖异常事件、复杂的占道施工共7类事件。</w:t>
      </w:r>
    </w:p>
    <w:p>
      <w:pPr>
        <w:pStyle w:val="10"/>
        <w:spacing w:before="0" w:after="0" w:line="360" w:lineRule="auto"/>
        <w:ind w:left="0" w:firstLine="422" w:firstLineChars="200"/>
        <w:rPr>
          <w:rFonts w:ascii="宋体" w:hAnsi="宋体" w:cs="宋体"/>
          <w:color w:val="auto"/>
          <w:sz w:val="21"/>
          <w:szCs w:val="21"/>
          <w:highlight w:val="none"/>
        </w:rPr>
      </w:pPr>
      <w:bookmarkStart w:id="19" w:name="_Toc60074783"/>
      <w:bookmarkStart w:id="20" w:name="_Toc60303663"/>
      <w:r>
        <w:rPr>
          <w:rFonts w:hint="eastAsia" w:ascii="宋体" w:hAnsi="宋体" w:cs="宋体"/>
          <w:color w:val="auto"/>
          <w:sz w:val="21"/>
          <w:szCs w:val="21"/>
          <w:highlight w:val="none"/>
        </w:rPr>
        <w:t>2.5.2综合执法处置</w:t>
      </w:r>
      <w:bookmarkEnd w:id="19"/>
      <w:bookmarkEnd w:id="20"/>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综合执法处置是对市政日常巡查发现的异常事件库分拨出来的需要城管执法事件进行处置管理，包含对派发整改任务通知书、现场处置、结案归档全过程进行监管，实现对城管执法过程的高效监管。</w:t>
      </w:r>
    </w:p>
    <w:p>
      <w:pPr>
        <w:pStyle w:val="10"/>
        <w:spacing w:before="0" w:after="0" w:line="360" w:lineRule="auto"/>
        <w:ind w:left="0" w:firstLine="422" w:firstLineChars="200"/>
        <w:rPr>
          <w:rFonts w:ascii="宋体" w:hAnsi="宋体" w:cs="宋体"/>
          <w:color w:val="auto"/>
          <w:sz w:val="21"/>
          <w:szCs w:val="21"/>
          <w:highlight w:val="none"/>
        </w:rPr>
      </w:pPr>
      <w:bookmarkStart w:id="21" w:name="_Toc60303669"/>
      <w:bookmarkStart w:id="22" w:name="_Toc60074789"/>
      <w:r>
        <w:rPr>
          <w:rFonts w:hint="eastAsia" w:ascii="宋体" w:hAnsi="宋体" w:cs="宋体"/>
          <w:color w:val="auto"/>
          <w:sz w:val="21"/>
          <w:szCs w:val="21"/>
          <w:highlight w:val="none"/>
        </w:rPr>
        <w:t>2.5.3园林绿化修复</w:t>
      </w:r>
      <w:bookmarkEnd w:id="21"/>
      <w:bookmarkEnd w:id="22"/>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园林绿化修复是指针对市政日常巡查发现的、园林绿化日常保养之外、需要专项整改的异常事件进行维修复原，并对任务分拨、第三方企业处置、处置结果填报等全过程进行管理，实现园林绿化高效监管。园林绿化异常事件主要包含大树倒伏、植被大面积破坏等情况。</w:t>
      </w:r>
    </w:p>
    <w:p>
      <w:pPr>
        <w:pStyle w:val="10"/>
        <w:spacing w:before="0" w:after="0" w:line="360" w:lineRule="auto"/>
        <w:ind w:left="0" w:firstLine="422" w:firstLineChars="200"/>
        <w:rPr>
          <w:rFonts w:ascii="宋体" w:hAnsi="宋体" w:cs="宋体"/>
          <w:color w:val="auto"/>
          <w:sz w:val="21"/>
          <w:szCs w:val="21"/>
          <w:highlight w:val="none"/>
        </w:rPr>
      </w:pPr>
      <w:bookmarkStart w:id="23" w:name="_Toc60074795"/>
      <w:bookmarkStart w:id="24" w:name="_Toc60303675"/>
      <w:r>
        <w:rPr>
          <w:rFonts w:hint="eastAsia" w:ascii="宋体" w:hAnsi="宋体" w:cs="宋体"/>
          <w:color w:val="auto"/>
          <w:sz w:val="21"/>
          <w:szCs w:val="21"/>
          <w:highlight w:val="none"/>
        </w:rPr>
        <w:t>2.5.4环境卫生整改</w:t>
      </w:r>
      <w:bookmarkEnd w:id="23"/>
      <w:bookmarkEnd w:id="24"/>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环境卫生整改指针对市政日常巡查发现的、环卫日常作业之外、需要专项整改的异常事件进行专项整改，并对任务分拨、现场整改、结案归档全过程监管，实现道路环境卫生智能化监管。环境卫生异常事件主要包含路面脏污、垃圾堆放、路面渣土、垃圾桶满溢等信息。</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2.5.5道路养护管理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道路养护管理是指对市政日常巡查发现的、第三方道路养护之外、需要专项整改的异常事件进行专项整改，第三方养护企业通过PC端和移动端完成事件接收和整改结果填报。</w:t>
      </w:r>
      <w:bookmarkStart w:id="25" w:name="_Hlk61735089"/>
      <w:r>
        <w:rPr>
          <w:rFonts w:hint="eastAsia" w:ascii="宋体" w:hAnsi="宋体" w:eastAsia="宋体" w:cs="宋体"/>
          <w:color w:val="auto"/>
          <w:sz w:val="21"/>
          <w:szCs w:val="21"/>
          <w:highlight w:val="none"/>
        </w:rPr>
        <w:t>道路事件包含路面裂缝、路面坑槽/车辙/拥包、护栏倒伏、标线模糊、标志牌损坏等</w:t>
      </w:r>
      <w:bookmarkEnd w:id="25"/>
      <w:r>
        <w:rPr>
          <w:rFonts w:hint="eastAsia" w:ascii="宋体" w:hAnsi="宋体" w:eastAsia="宋体" w:cs="宋体"/>
          <w:color w:val="auto"/>
          <w:sz w:val="21"/>
          <w:szCs w:val="21"/>
          <w:highlight w:val="none"/>
        </w:rPr>
        <w:t>。</w:t>
      </w:r>
    </w:p>
    <w:p>
      <w:pPr>
        <w:pStyle w:val="10"/>
        <w:spacing w:before="0" w:after="0" w:line="360" w:lineRule="auto"/>
        <w:ind w:left="0" w:firstLine="422" w:firstLineChars="200"/>
        <w:rPr>
          <w:rFonts w:ascii="宋体" w:hAnsi="宋体" w:cs="宋体"/>
          <w:color w:val="auto"/>
          <w:sz w:val="21"/>
          <w:szCs w:val="21"/>
          <w:highlight w:val="none"/>
        </w:rPr>
      </w:pPr>
      <w:bookmarkStart w:id="26" w:name="_Toc60303687"/>
      <w:bookmarkStart w:id="27" w:name="_Toc60074807"/>
      <w:r>
        <w:rPr>
          <w:rFonts w:hint="eastAsia" w:ascii="宋体" w:hAnsi="宋体" w:cs="宋体"/>
          <w:color w:val="auto"/>
          <w:sz w:val="21"/>
          <w:szCs w:val="21"/>
          <w:highlight w:val="none"/>
        </w:rPr>
        <w:t>2.5.6市政车辆违规作业管理</w:t>
      </w:r>
      <w:bookmarkEnd w:id="26"/>
      <w:bookmarkEnd w:id="27"/>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市政车辆违规作业管理是对市政日常巡查发现的清洁车、洒水车、绿化喷洒车在作业过程中的异常行为进行分析研判，分拨至第三方企业对司机进行考核处罚，并实现对事件全过程监管。作业车辆的异常行为包括：不按规划路线作业、违章闯红灯、无牌环卫车、急倒急停等。</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2.5.7井盖维护管理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井盖维护管理对市政日常巡查发现的井盖倾斜、丢失等事件进行分析研判，根据井盖类型分拨给供水公司、运营商、电力公司以及城管巡查队伍等责任单位进行整改维护，并对各单位的维护过程进行监管，实现井盖智能化监管。</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2.5.8智慧照明管理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智慧照明管理主要针对智慧道路建设的143处（后续新建可持续纳入）智慧灯杆照明系统的智能化管理。平台端提供照明计划、分组管理、校时服务等一系列功能，实现对路灯的远程集中控制与管理，大幅提升公共照明管理水平，节省运维成本。</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2.6公交站台管理与决策管理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公交站台管理业务是对交通局公交管理部门进行的公交站台的综合管理，通过对电子站牌管理、公交车行为智能化识别管理、公交站台运行管理、公交站台实况监测、站台人员的管理，实现智慧站台边端智能监测与云端处置协同管理，结合公交线网优化策略研判，实现监测、研判、决策链条化监管。</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2.6.1电子站牌管理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1、线路信息发布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线路信息发布，包括线路名，票价，途经站点，始发站，营运时段等等。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2、多媒体视频发布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支持远程发布视频，非法视频自动鉴别，支持自定义屏幕，支持插播，轮播，预约播，支持定点，组播，全选，定时发布等。</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2.6.2公交车行为管理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基于站台视频设备，对公交车进站不规范行为、公交路口运行拥堵、公交路段运行拥堵等进行识别及报警，为公交车辆运营监管、公交泊位扩容、公交专用道设置、公交信号优先等方案提供数据支撑。</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2.6.3公交站台管理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站台视频AI开展公交到站时间预测、公交车速度分析、公交专用道占用监测、公交线路到达分析、线路运行异常提示、公交数据质量分析，对公交站台周边的公交车各类运行指标进行监测预警以及专项治理，提高站台运行效率。</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2.6.4站台实况监测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基于站台视频AI、电子站牌以及灯杆广播设备等设备，开展站台客流监测、站台事件监测、车辆到站服务管理、站台不文明行为预警，对站台的人、事进行监测预警和专项治理，提高站台公众服务水平。</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2.6.5公交线网优化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大数据、AI、深度学习等技术，开展公交线网与路网匹配、线网可视化呈现、线路到站可靠性分析、线路平均延误率分析、公交畅行指数分析、公交稳定性指数分析、线路乘客舒适度分析等综合指标的分析研判，直观评估线路服务、站点设置优化方案可行性与经济指标，为线路优化提供决策支持</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2.7交通信号智能化管控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传统的“人工+工具”信号配时优化发现不及时、问题识别不清晰、管控对象不具体、配时方案优化不科学的问题，交通信号智能化系统可提供道路设备的接入、管理，路侧信号灯配时维护的基本功能，为道路交通管理提供基础服务，并与其他业务系统形成联动，共同支撑交管业务。可实现不同品牌在线信号机统筹管理、信号机运行状态实时监测、单点自适应控制、线协调控制等基本控制，以及基于实际检测数据进行实际效果评价，形成闭环反馈；具备统计分析与系统运维模块、多级用户分组管理等功能；支持基于大数据实现信号方案离线优化；符合国标及行业标准。</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2.7.1多品牌信号机统一管控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多品牌信号机统一管控是指采用一套标准协议，打通多厂家信号机之间的协议壁垒，实现各品牌信号机统一接入和管理，通过信号机的注册实现信号机及设备采集端数据标准化接入，统一运维。</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2.7.2路口管理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路口管理是对现实中的道路路口信息进行电子化管理，路口信息包含：路口编号、路口名称、部门机构、管辖区域以及信号机信息等。需提供通过新建路口、复制路口、移动路口和删除路口等功能支撑路口管理。</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2.7.3路口信息编辑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路口信息编辑功能主要可针对路口编号、路口名称、路口形状、路口级别、部门机构、所属管辖区域、路口坐标、审核人员、负责人、路口权重、备注、路口图片信息、路口各方向进口道以及路口渠化配置详情、网络配置、控制类型、修改时间进行路口建档信息的查看与编辑。</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2.7.4信号方案配置与下发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信号方案配置与下发管理是实现智能信控的核心功能，通过统一配时管理以及信号机方案上载与下发功能，实现阶段和环图两种配时方案；在网页端实现调度计划、日计划、方案、相位阶段、信号灯组等灵活配置，实现信号方案基本配置与下发。</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台需提供信号组配置、相位阶段设计、配时方案设计、时段表设计、调度表设计、灯组控制时段表设计、灯组控制调度表设计、传感器配置、时段表合法合规性校验、配时方案合法合规性校验10大功能，实现信控方案的严谨、科学性，保障配置与下发过程安全可靠。</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2.7.5基本控制管理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本控制管理可配置协调子区、路口信息、控制时段和控制计划参数，实现子区协调；可支持在平台端配置感应式控制、单点自适应控制的相关参数与下发；实现路口信息实时监控功能，显示计划方案和信号机实际运行方案情况；支持信号机特殊控制模式（关灯、黄闪、全红控制）、临时方案与阶段锁定功能。</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2.7.6效果评价</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构建基于多源数据融合的效果评价体系。包括实时监视，城市交通运行状态的区域/干线/路口实时指标监视、问题报警；问题诊断，干线和路口控制策略运行综合评价，方案问题诊断，问题原因定位；对比分析，调优效果对比分析，改进提升效率分析。</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形成基于多源数据的运行指标计算及补偿方法：考虑不同数据源下的运行指标的计算方法，同时考虑不同数据源的置信度、缺失情况，实现多源数据的融合分析与指标输出；同时支持运行问题诊断与控制效果评价：从车辆到达类型、协调综合评价指数CSPI等角度研究协调运行效果的诊断方法与流程；从排队溢流、灯控不畅、排队失衡、车辆空放、延误过高等角度研究路口运行效果的诊断方法与流程；研究路口、协调路段运行效果的前后对比评价的方法与流程。</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2.7.7大数据智能优化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基于交通大数据可实现信号配时方案智能优化。充分融合信号系统自身采集的数据、卡口/电子警察系统的过车数据、浮动车数据、互联网数据等数据，通过数据分析进行问题识别，构建管控策略库，从策略库中选择对应的管控策略，找到优化的目标，支持交通信号优化系统控制策略自动化，将传统的“人工+工具”决策方法逐步转变为利用交通大数据实现辅助控制再到自动控制的目标，提高信号配时人员工作效率。</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支持单点的多时段定周期方案优化，优化参数包括时段划分、周期、绿信比参数。</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支持干线的时空参数优化，空间优化参数包括子区划分，时间优化参数包括干线的公共周期、相位差参数。</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2.7.8日志管理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操作记录功能，实现对所有用户在登录系统后进行操作过程的记录，便于进行责任排查和系统管理，主要包括操作时间、用户名、计算机IP、功能名称、内容描述和操作状态6个字段，并可以根据用户名、起止时间和功能名称进行操作记录的查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提供平台运行状况监测功能，主要显示各个服务器的当前运行状态，查看系统的运行通信状态，以及上、下线等状态变化信息。</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2.8智慧停车管理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以互联网技术为支撑，立足于智慧停车出行引导，通过对停车信息的收集，促进信息对称。同时以“互联网+交通”的思维推进创新停车解决方案的尝试，开创与导航APP的合作，通过“开放数据+功能植入”的合作模式，在创造便捷利民的交通引导手段的同时，为滨海湾区形成良好应用示范。</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2.8.1数据管理</w:t>
      </w:r>
    </w:p>
    <w:p>
      <w:pPr>
        <w:spacing w:after="0" w:line="360" w:lineRule="auto"/>
        <w:ind w:firstLine="420" w:firstLineChars="200"/>
        <w:rPr>
          <w:rFonts w:ascii="宋体" w:hAnsi="宋体" w:eastAsia="宋体" w:cs="宋体"/>
          <w:color w:val="auto"/>
          <w:sz w:val="21"/>
          <w:szCs w:val="21"/>
          <w:highlight w:val="none"/>
        </w:rPr>
      </w:pPr>
      <w:bookmarkStart w:id="28" w:name="_Toc487810239"/>
      <w:r>
        <w:rPr>
          <w:rFonts w:hint="eastAsia" w:ascii="宋体" w:hAnsi="宋体" w:eastAsia="宋体" w:cs="宋体"/>
          <w:color w:val="auto"/>
          <w:sz w:val="21"/>
          <w:szCs w:val="21"/>
          <w:highlight w:val="none"/>
        </w:rPr>
        <w:t>1、数据</w:t>
      </w:r>
      <w:bookmarkEnd w:id="28"/>
      <w:r>
        <w:rPr>
          <w:rFonts w:hint="eastAsia" w:ascii="宋体" w:hAnsi="宋体" w:eastAsia="宋体" w:cs="宋体"/>
          <w:color w:val="auto"/>
          <w:sz w:val="21"/>
          <w:szCs w:val="21"/>
          <w:highlight w:val="none"/>
        </w:rPr>
        <w:t>采集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制定停车信息统一接入规范，多种途径采集滨海湾新区路边停车场、大型路面停车场基础信息以及实时剩余车位数据，多方校核数据的准确性。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2、接入实时监控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监控停车场数据接入情况，包括数据接入状态、数据接入质量、数据接入方式、数据接入预警、数据接入处理等。并对数据接入进行配置，包括数据接入新增、数据接入删除、数据接入修改、数据接入导出等。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3、接口管理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管理对外接口，包括查询接口、删除接口、编辑接口、停用接口、查看接口详情。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4、对外接口监控</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监控对外接口调用次数、响应时长、报错次数、调用预警、非法访问记录等情况。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5、调用查询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输出查询条件，查看对外接口调用情况。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6、授权管理</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管理对外接口授权，包括查询、添加使用方、查看授权、接口授权、编辑、删除。</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2.8.2应用服务</w:t>
      </w:r>
    </w:p>
    <w:p>
      <w:pPr>
        <w:spacing w:after="0" w:line="360" w:lineRule="auto"/>
        <w:ind w:firstLine="420" w:firstLineChars="200"/>
        <w:rPr>
          <w:rFonts w:ascii="宋体" w:hAnsi="宋体" w:eastAsia="宋体" w:cs="宋体"/>
          <w:color w:val="auto"/>
          <w:sz w:val="21"/>
          <w:szCs w:val="21"/>
          <w:highlight w:val="none"/>
        </w:rPr>
      </w:pPr>
      <w:bookmarkStart w:id="29" w:name="_Toc487810240"/>
      <w:r>
        <w:rPr>
          <w:rFonts w:hint="eastAsia" w:ascii="宋体" w:hAnsi="宋体" w:eastAsia="宋体" w:cs="宋体"/>
          <w:color w:val="auto"/>
          <w:sz w:val="21"/>
          <w:szCs w:val="21"/>
          <w:highlight w:val="none"/>
        </w:rPr>
        <w:t>1、停车地图</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通过地图展示停车场位置分布，可以查看停车场名称、位置、类型、总车位数、收费标准等基础信息以及停车场停车位实时占用情况。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2、停车场搜索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通过输入停车场名称，可以搜索目标停车场。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3、实时预警</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系统内置停车场饱和度阈值，当停车场饱和度超过阈值时，系统发出预警。</w:t>
      </w:r>
      <w:bookmarkEnd w:id="29"/>
    </w:p>
    <w:p>
      <w:pPr>
        <w:pStyle w:val="10"/>
        <w:spacing w:before="0" w:after="0" w:line="360" w:lineRule="auto"/>
        <w:ind w:left="0" w:firstLine="422" w:firstLineChars="200"/>
        <w:rPr>
          <w:rFonts w:ascii="宋体" w:hAnsi="宋体" w:cs="宋体"/>
          <w:color w:val="auto"/>
          <w:sz w:val="21"/>
          <w:szCs w:val="21"/>
          <w:highlight w:val="none"/>
        </w:rPr>
      </w:pPr>
      <w:bookmarkStart w:id="30" w:name="_Toc487810242"/>
      <w:bookmarkEnd w:id="30"/>
      <w:r>
        <w:rPr>
          <w:rFonts w:hint="eastAsia" w:ascii="宋体" w:hAnsi="宋体" w:cs="宋体"/>
          <w:color w:val="auto"/>
          <w:sz w:val="21"/>
          <w:szCs w:val="21"/>
          <w:highlight w:val="none"/>
        </w:rPr>
        <w:t>2.8.3实时监测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1、预警信息监测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支持按日期范围、停车场名称等条件查询停车场历史预警信息，根据搜索条件，系统展示停车场的历史预警历史信息，并提供历史预警信息的下载功能。</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2、实时统计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对停车场总数、停车位总数、各类型停车场数量进行实时统计展示。</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3、饱和度统计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支持按日期、停车场名称等条件查询停车场历史饱和度，根据搜索条件，系统展示停车场的历史饱和度变化情况，并提供历史饱和度的下载功能。</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2.8.4移动端</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1、停车场位置分布</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通过地图展示停车场位置分 态势。</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2、停车场信息查看</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点击地图上的停车场图标，可以查看停车场名称、位置、类型、总车位数、收费标准等基础信息以及停车场停车位实时占用情况。</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3、停车订阅</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提供停车场的订阅与取消功能，当订阅的停车场有空车位时，系统进行提示。</w:t>
      </w:r>
    </w:p>
    <w:p>
      <w:pPr>
        <w:spacing w:after="0" w:line="360" w:lineRule="auto"/>
        <w:ind w:firstLine="420" w:firstLineChars="200"/>
        <w:rPr>
          <w:rFonts w:ascii="宋体" w:hAnsi="宋体" w:eastAsia="宋体" w:cs="宋体"/>
          <w:color w:val="auto"/>
          <w:sz w:val="21"/>
          <w:szCs w:val="21"/>
          <w:highlight w:val="none"/>
        </w:rPr>
      </w:pPr>
      <w:bookmarkStart w:id="31" w:name="_Toc487810243"/>
      <w:r>
        <w:rPr>
          <w:rFonts w:hint="eastAsia" w:ascii="宋体" w:hAnsi="宋体" w:eastAsia="宋体" w:cs="宋体"/>
          <w:color w:val="auto"/>
          <w:sz w:val="21"/>
          <w:szCs w:val="21"/>
          <w:highlight w:val="none"/>
        </w:rPr>
        <w:t>4、车位预约</w:t>
      </w:r>
      <w:bookmarkEnd w:id="31"/>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开发车位预约功能，用户可查询、预定目标停车场的车位，当用户预定车位以后，智能车位锁打开自动锁定车位，直到用户进入停车场，车位锁关闭，用户停车即可。车位预约功能涉及到的硬件包括但不限于车位锁、场内通讯网关设备等。</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5、停车导航</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根据搜索目标停车场的结果和用户当前位置，提供前往目标停车场路线规划的功能。</w:t>
      </w:r>
      <w:bookmarkEnd w:id="9"/>
    </w:p>
    <w:p>
      <w:pPr>
        <w:pStyle w:val="8"/>
        <w:numPr>
          <w:ilvl w:val="0"/>
          <w:numId w:val="2"/>
        </w:numPr>
        <w:spacing w:before="0" w:after="0" w:line="360" w:lineRule="auto"/>
        <w:ind w:left="0" w:firstLine="422"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算法需求</w:t>
      </w: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rPr>
        <w:t>人脸算法</w:t>
      </w:r>
    </w:p>
    <w:p>
      <w:pPr>
        <w:pStyle w:val="10"/>
        <w:spacing w:before="0" w:after="0" w:line="360" w:lineRule="auto"/>
        <w:ind w:left="0" w:firstLine="420" w:firstLineChars="200"/>
        <w:rPr>
          <w:rFonts w:ascii="宋体" w:hAnsi="宋体" w:cs="宋体"/>
          <w:color w:val="auto"/>
          <w:sz w:val="21"/>
          <w:szCs w:val="21"/>
          <w:highlight w:val="none"/>
        </w:rPr>
      </w:pPr>
      <w:r>
        <w:rPr>
          <w:rFonts w:hint="eastAsia" w:ascii="宋体" w:hAnsi="宋体" w:eastAsia="宋体" w:cs="宋体"/>
          <w:b w:val="0"/>
          <w:bCs w:val="0"/>
          <w:color w:val="auto"/>
          <w:sz w:val="21"/>
          <w:szCs w:val="21"/>
          <w:highlight w:val="none"/>
        </w:rPr>
        <w:t>3</w:t>
      </w:r>
      <w:r>
        <w:rPr>
          <w:rFonts w:ascii="宋体" w:hAnsi="宋体" w:eastAsia="宋体" w:cs="宋体"/>
          <w:b w:val="0"/>
          <w:bCs w:val="0"/>
          <w:color w:val="auto"/>
          <w:sz w:val="21"/>
          <w:szCs w:val="21"/>
          <w:highlight w:val="none"/>
        </w:rPr>
        <w:t>.1</w:t>
      </w:r>
      <w:r>
        <w:rPr>
          <w:rFonts w:ascii="宋体" w:hAnsi="宋体" w:cs="宋体"/>
          <w:b w:val="0"/>
          <w:bCs w:val="0"/>
          <w:color w:val="auto"/>
          <w:sz w:val="21"/>
          <w:szCs w:val="21"/>
          <w:highlight w:val="none"/>
        </w:rPr>
        <w:t>.1</w:t>
      </w:r>
      <w:r>
        <w:rPr>
          <w:rFonts w:hint="eastAsia" w:ascii="宋体" w:hAnsi="宋体" w:cs="宋体"/>
          <w:color w:val="auto"/>
          <w:sz w:val="21"/>
          <w:szCs w:val="21"/>
          <w:highlight w:val="none"/>
        </w:rPr>
        <w:t>人脸结构化</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基于深度学习的人脸技术，实现准确的多角度人脸检测、五官标定、面部特征点定位，以及特征提取与比对，通过高效的异构计算架构实现对大路数图像数据进行并行处理，以保证计算资源的最高效利用。</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核心模块</w:t>
            </w: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面部关键点分析模块：根据深度学习技术定位面部关键点，实现特征向量提取。</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人脸标准化模块：消除外界环境如外界光照、人脸姿态、表情、遮挡等，对后续特征表达模块的影响。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特征表达模块：基于深度学习技术，提取不同层次的人脸特征。</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度量学习模块：基于深度学习技术将不同人脸特征映射至一个低维空间，在低维空间中人脸特征的区分度增加，检索时间减少。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94" w:type="pct"/>
            <w:vMerge w:val="restar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w:t>
            </w: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支持根据任务属性进行图像预处理，如是否使用ROI（感兴趣区域）进行检测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支持人脸检测模块级联检测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支持获取人脸检测结果的人脸个数统计及人脸位置矩形框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支持对人脸的位置结果进行属性分析，如获取性别、年龄、人脸位置角度、图像质量、普通帽子、安全帽、眼镜、口罩、吸烟、使用手机等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ind w:firstLine="420"/>
              <w:rPr>
                <w:rFonts w:ascii="宋体" w:hAnsi="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支持按人脸角度、大小、模糊度进行图片过滤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ind w:firstLine="420"/>
              <w:rPr>
                <w:rFonts w:ascii="宋体" w:hAnsi="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支持根据特征值进行非人脸图像过滤、人脸图像短时去重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4" w:type="pct"/>
            <w:vMerge w:val="continue"/>
            <w:vAlign w:val="center"/>
          </w:tcPr>
          <w:p>
            <w:pPr>
              <w:ind w:firstLine="420"/>
              <w:rPr>
                <w:rFonts w:ascii="宋体" w:hAnsi="宋体" w:cs="宋体"/>
                <w:color w:val="auto"/>
                <w:sz w:val="21"/>
                <w:szCs w:val="21"/>
                <w:highlight w:val="none"/>
              </w:rPr>
            </w:pPr>
          </w:p>
        </w:tc>
        <w:tc>
          <w:tcPr>
            <w:tcW w:w="3806"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支持对外提供二次开发编程接口，如：采集任务启动、停止接口、单图人脸检测接口、单图采集接口、人脸图片验证接口</w:t>
            </w:r>
          </w:p>
        </w:tc>
      </w:tr>
    </w:tbl>
    <w:p>
      <w:pPr>
        <w:pStyle w:val="10"/>
        <w:spacing w:before="0" w:after="0" w:line="360" w:lineRule="auto"/>
        <w:ind w:left="0" w:firstLine="422" w:firstLineChars="200"/>
        <w:rPr>
          <w:rFonts w:ascii="宋体" w:hAnsi="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.1</w:t>
      </w:r>
      <w:r>
        <w:rPr>
          <w:rFonts w:ascii="宋体" w:hAnsi="宋体" w:cs="宋体"/>
          <w:b/>
          <w:bCs/>
          <w:color w:val="auto"/>
          <w:sz w:val="21"/>
          <w:szCs w:val="21"/>
          <w:highlight w:val="none"/>
        </w:rPr>
        <w:t>.2</w:t>
      </w:r>
      <w:r>
        <w:rPr>
          <w:rFonts w:hint="eastAsia" w:ascii="宋体" w:hAnsi="宋体" w:cs="宋体"/>
          <w:b/>
          <w:bCs/>
          <w:color w:val="auto"/>
          <w:sz w:val="21"/>
          <w:szCs w:val="21"/>
          <w:highlight w:val="none"/>
        </w:rPr>
        <w:t>人像搜索</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生成特征化、结构化索引；应用过滤结构化条件后，使用人脸比对算法检索出满足条件的人脸图像；利用列索引存储，节省搜索服务在大数据下的内存消耗，利用磁盘缓存与内存置换技术，降低搜索服务的负载，进而实现固定周期搜索时间随意切换的海量的人像检索服务。</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9"/>
        <w:gridCol w:w="6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核心模块</w:t>
            </w: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人像特征搜索模块：生成人像特征索引，基于人像特征索引进行大规模人像特征比对。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结构化信息搜索模块：生成时空信息、人像属性信息等结构化信息索引，基于结构化信息索引进行大规模人像检索。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联合搜索模块：人像特征与结构化信息联合检索。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多特征融合搜索模块：多种人像特征融合搜索。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302" w:type="pct"/>
            <w:vMerge w:val="restart"/>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w:t>
            </w: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支持对人脸数据进行索引和存储，支持自动备份N+1检索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支持对人脸对应的非线性方程组的特征值进行检索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支持对人脸结构化属性特征进行检索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支持人脸特征与结构化属性特征联合检索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pct"/>
            <w:vMerge w:val="continue"/>
            <w:vAlign w:val="center"/>
          </w:tcPr>
          <w:p>
            <w:pPr>
              <w:spacing w:after="0" w:line="360" w:lineRule="auto"/>
              <w:ind w:firstLine="420" w:firstLineChars="200"/>
              <w:rPr>
                <w:rFonts w:ascii="宋体" w:hAnsi="宋体" w:eastAsia="宋体" w:cs="宋体"/>
                <w:color w:val="auto"/>
                <w:sz w:val="21"/>
                <w:szCs w:val="21"/>
                <w:highlight w:val="none"/>
              </w:rPr>
            </w:pPr>
          </w:p>
        </w:tc>
        <w:tc>
          <w:tcPr>
            <w:tcW w:w="3698"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支持人脸关联档案检索，支持档案关联人脸检索</w:t>
            </w:r>
          </w:p>
        </w:tc>
      </w:tr>
    </w:tbl>
    <w:p>
      <w:pPr>
        <w:pStyle w:val="10"/>
        <w:spacing w:before="0" w:after="0" w:line="360" w:lineRule="auto"/>
        <w:ind w:left="0"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w:t>
      </w:r>
      <w:r>
        <w:rPr>
          <w:rFonts w:ascii="宋体" w:hAnsi="宋体" w:cs="宋体"/>
          <w:b/>
          <w:bCs/>
          <w:color w:val="auto"/>
          <w:sz w:val="21"/>
          <w:szCs w:val="21"/>
          <w:highlight w:val="none"/>
        </w:rPr>
        <w:t>.1.3</w:t>
      </w:r>
      <w:r>
        <w:rPr>
          <w:rFonts w:hint="eastAsia" w:ascii="宋体" w:hAnsi="宋体" w:cs="宋体"/>
          <w:b/>
          <w:bCs/>
          <w:color w:val="auto"/>
          <w:sz w:val="21"/>
          <w:szCs w:val="21"/>
          <w:highlight w:val="none"/>
        </w:rPr>
        <w:t>布控底层服务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布控底层服务主要功能实现人像布控、实时抓拍比对和实时告警，为人像布控告警应用提供底层服务支撑。</w:t>
      </w:r>
    </w:p>
    <w:tbl>
      <w:tblPr>
        <w:tblStyle w:val="57"/>
        <w:tblW w:w="847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2235"/>
        <w:gridCol w:w="623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2" w:hRule="atLeast"/>
        </w:trPr>
        <w:tc>
          <w:tcPr>
            <w:tcW w:w="2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布控底层服务</w:t>
            </w: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支持人像布控模块</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2" w:hRule="atLeast"/>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支持实时抓拍比对模块</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2" w:hRule="atLeast"/>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支持实时告警模块</w:t>
            </w:r>
          </w:p>
        </w:tc>
      </w:tr>
    </w:tbl>
    <w:p>
      <w:pPr>
        <w:pStyle w:val="10"/>
        <w:spacing w:before="0" w:after="0" w:line="360" w:lineRule="auto"/>
        <w:ind w:left="0"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w:t>
      </w:r>
      <w:r>
        <w:rPr>
          <w:rFonts w:ascii="宋体" w:hAnsi="宋体" w:cs="宋体"/>
          <w:b/>
          <w:bCs/>
          <w:color w:val="auto"/>
          <w:sz w:val="21"/>
          <w:szCs w:val="21"/>
          <w:highlight w:val="none"/>
        </w:rPr>
        <w:t>.1.4</w:t>
      </w:r>
      <w:r>
        <w:rPr>
          <w:rFonts w:hint="eastAsia" w:ascii="宋体" w:hAnsi="宋体" w:cs="宋体"/>
          <w:b/>
          <w:bCs/>
          <w:color w:val="auto"/>
          <w:sz w:val="21"/>
          <w:szCs w:val="21"/>
          <w:highlight w:val="none"/>
        </w:rPr>
        <w:t>数据汇聚转发服务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数据汇聚转发服务用于实现前端数据接入、数据存储、数据分发、数据对接。</w:t>
      </w:r>
    </w:p>
    <w:p>
      <w:pPr>
        <w:spacing w:after="0" w:line="360" w:lineRule="auto"/>
        <w:ind w:firstLine="420" w:firstLineChars="200"/>
        <w:rPr>
          <w:rFonts w:ascii="宋体" w:hAnsi="宋体" w:eastAsia="宋体" w:cs="宋体"/>
          <w:color w:val="auto"/>
          <w:kern w:val="0"/>
          <w:sz w:val="21"/>
          <w:szCs w:val="21"/>
          <w:highlight w:val="none"/>
        </w:rPr>
      </w:pPr>
    </w:p>
    <w:tbl>
      <w:tblPr>
        <w:tblStyle w:val="57"/>
        <w:tblW w:w="8472"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2235"/>
        <w:gridCol w:w="6237"/>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center"/>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主要功能</w:t>
            </w: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前端对接模块：负责通过国标GB28181、SDK、GA/T 1400采集接口等协议接入主流抓拍相机、卡口、电警、视频门禁等，获取图片流。</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jc w:val="left"/>
              <w:rPr>
                <w:rFonts w:ascii="宋体" w:hAnsi="宋体" w:eastAsia="宋体" w:cs="宋体"/>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平台对接模块：负责通过GB28181、SDK等协议接入第三方图片平台。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continue"/>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数据分发模块：通过标准协议接口，将汇聚的所有前端数据分发到指定的平台。</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88" w:hRule="atLeast"/>
        </w:trPr>
        <w:tc>
          <w:tcPr>
            <w:tcW w:w="2235" w:type="dxa"/>
            <w:vMerge w:val="continue"/>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p>
        </w:tc>
        <w:tc>
          <w:tcPr>
            <w:tcW w:w="6237" w:type="dxa"/>
            <w:tcBorders>
              <w:top w:val="single" w:color="auto" w:sz="4" w:space="0"/>
              <w:left w:val="single" w:color="auto" w:sz="4" w:space="0"/>
              <w:bottom w:val="single" w:color="auto" w:sz="4" w:space="0"/>
              <w:right w:val="single" w:color="auto" w:sz="4" w:space="0"/>
            </w:tcBorders>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存储模块：根据业务层要求，对对象的图片进行存储落盘操作。</w:t>
            </w:r>
          </w:p>
        </w:tc>
      </w:tr>
    </w:tbl>
    <w:p>
      <w:pPr>
        <w:ind w:firstLine="156" w:firstLineChars="71"/>
        <w:rPr>
          <w:color w:val="auto"/>
          <w:highlight w:val="none"/>
        </w:rPr>
      </w:pPr>
    </w:p>
    <w:p>
      <w:pPr>
        <w:pStyle w:val="9"/>
        <w:spacing w:after="0" w:line="360" w:lineRule="auto"/>
        <w:ind w:left="0" w:leftChars="0" w:firstLine="422" w:firstLineChars="200"/>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rPr>
        <w:t>视频结构化算法</w:t>
      </w:r>
    </w:p>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.2.1</w:t>
      </w:r>
      <w:r>
        <w:rPr>
          <w:rFonts w:hint="eastAsia" w:ascii="宋体" w:hAnsi="宋体" w:cs="宋体"/>
          <w:color w:val="auto"/>
          <w:sz w:val="21"/>
          <w:szCs w:val="21"/>
          <w:highlight w:val="none"/>
        </w:rPr>
        <w:t>视频人工智能解析引擎</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视频人工智能解析引擎：是采用当前最先进的深度学习技术对视频中的目标人形进行捕获，并对捕获到的目标人形进行成分分析以及对应的结构化标记。包括识别、标识、提取属性和特征码（如性别、衣着款式和颜色、鞋子种类等多种属性），结果保存到图片大数据库和图片结构化大数据库。</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视频人工智能解析引擎软件部分参数要求如下：</w:t>
      </w:r>
    </w:p>
    <w:tbl>
      <w:tblPr>
        <w:tblStyle w:val="2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6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3947" w:type="pct"/>
            <w:vAlign w:val="center"/>
          </w:tcPr>
          <w:p>
            <w:pPr>
              <w:spacing w:after="0" w:line="360" w:lineRule="auto"/>
              <w:ind w:firstLine="420" w:firstLineChars="20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图片清洗模块</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对于视频智能边缘计算引擎识别扣取生成的目标图片，根据图片质量进行清理，对于图片质量不满足目标标识和识别要求的图片进行优化处理。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目标标识模块</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准确的从已清洗完的目标图片中，标识出目标人形的位置、大小、图像占比等信息，并将目标图片转化生成更利于结构化处理的小图片。以便进行后续的目标精准识别。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目标识别模块</w:t>
            </w:r>
          </w:p>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（图像人工智能目标识别）</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根据深度学习技术，从已标识目标信息的目标图片中，自动识别处理，进行特征属性的标识，根据特征属性对结构化小图片进行打标签，从而“生成小图片</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rPr>
              <w:t>特征属性”的可用文本格式数据。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图像标准化模块</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根据公安部对于图像结构化属性的要求，构建公安视频图像的结构化属性数据标准，并通过深度学习技术，不断的学习迭代更新。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053"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图像结构化建模软件</w:t>
            </w:r>
          </w:p>
        </w:tc>
        <w:tc>
          <w:tcPr>
            <w:tcW w:w="3947"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图像结构化建模模块提供人形特征（性别、上衣款式和颜色、下衣款式和颜色、鞋子款式和颜色等）的结构化属性建模功能，并以时间、特征属性构建特征数据索引规则。</w:t>
            </w:r>
          </w:p>
          <w:p>
            <w:pPr>
              <w:spacing w:after="0" w:line="360" w:lineRule="auto"/>
              <w:ind w:firstLine="420" w:firstLineChars="200"/>
              <w:rPr>
                <w:rFonts w:ascii="宋体" w:hAnsi="宋体" w:eastAsia="宋体" w:cs="宋体"/>
                <w:color w:val="auto"/>
                <w:sz w:val="21"/>
                <w:szCs w:val="21"/>
                <w:highlight w:val="none"/>
              </w:rPr>
            </w:pPr>
          </w:p>
        </w:tc>
      </w:tr>
    </w:tbl>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.2.2</w:t>
      </w:r>
      <w:r>
        <w:rPr>
          <w:rFonts w:hint="eastAsia" w:ascii="宋体" w:hAnsi="宋体" w:cs="宋体"/>
          <w:color w:val="auto"/>
          <w:sz w:val="21"/>
          <w:szCs w:val="21"/>
          <w:highlight w:val="none"/>
        </w:rPr>
        <w:t>搜索引擎服务软件</w:t>
      </w:r>
    </w:p>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软件部分规格参数要求如下：</w:t>
      </w:r>
    </w:p>
    <w:tbl>
      <w:tblPr>
        <w:tblStyle w:val="2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0"/>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图像结构化大数据搜索算法软件</w:t>
            </w:r>
          </w:p>
        </w:tc>
        <w:tc>
          <w:tcPr>
            <w:tcW w:w="4102" w:type="pct"/>
            <w:vAlign w:val="center"/>
          </w:tcPr>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图像结构化大数据搜索算法软件：</w:t>
            </w:r>
          </w:p>
          <w:p>
            <w:pPr>
              <w:numPr>
                <w:ilvl w:val="0"/>
                <w:numId w:val="4"/>
              </w:num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提供视频图像结构化数据和特征数据的存储功能，可自动根据数据索引规则，进行分类存储。</w:t>
            </w:r>
          </w:p>
          <w:p>
            <w:pPr>
              <w:numPr>
                <w:ilvl w:val="0"/>
                <w:numId w:val="4"/>
              </w:num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图像结构化大数据模块</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基于分布式搜索引擎的技术，提供海量结构化数据的快速搜索功能，亿级数据秒级响应。</w:t>
            </w:r>
          </w:p>
          <w:p>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3</w:t>
            </w:r>
            <w:r>
              <w:rPr>
                <w:rFonts w:hint="eastAsia" w:ascii="宋体" w:hAnsi="宋体" w:eastAsia="宋体" w:cs="宋体"/>
                <w:color w:val="auto"/>
                <w:sz w:val="21"/>
                <w:szCs w:val="21"/>
                <w:highlight w:val="none"/>
              </w:rPr>
              <w:t>、图像特征索引大数据模块</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基于深度学习算法、相似算法和聚类算法，提供视频图像的相似性搜索、分析和筛选。</w:t>
            </w:r>
          </w:p>
          <w:p>
            <w:pPr>
              <w:spacing w:after="0"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4</w:t>
            </w:r>
            <w:r>
              <w:rPr>
                <w:rFonts w:hint="eastAsia" w:ascii="宋体" w:hAnsi="宋体" w:eastAsia="宋体" w:cs="宋体"/>
                <w:color w:val="auto"/>
                <w:sz w:val="21"/>
                <w:szCs w:val="21"/>
                <w:highlight w:val="none"/>
              </w:rPr>
              <w:t>、图像比对分析模块</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提供图像人形的特征比对功能，可针对人形图像照片，自动从图像结构化大数据中，识别比对特征属性类似的结构化图片和特征信息，并进行相似度分析。</w:t>
            </w:r>
          </w:p>
          <w:p>
            <w:pPr>
              <w:spacing w:after="0" w:line="360" w:lineRule="auto"/>
              <w:ind w:firstLine="420" w:firstLineChars="200"/>
              <w:rPr>
                <w:rFonts w:ascii="宋体" w:hAnsi="宋体" w:eastAsia="宋体" w:cs="宋体"/>
                <w:color w:val="auto"/>
                <w:sz w:val="21"/>
                <w:szCs w:val="21"/>
                <w:highlight w:val="none"/>
              </w:rPr>
            </w:pPr>
          </w:p>
        </w:tc>
      </w:tr>
    </w:tbl>
    <w:p>
      <w:pPr>
        <w:spacing w:after="0" w:line="360" w:lineRule="auto"/>
        <w:ind w:firstLine="420" w:firstLineChars="200"/>
        <w:textAlignment w:val="auto"/>
        <w:rPr>
          <w:rFonts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按照软件系统架构设计要求和实际</w:t>
      </w:r>
      <w:r>
        <w:rPr>
          <w:rFonts w:hint="eastAsia" w:ascii="宋体" w:hAnsi="宋体" w:eastAsia="宋体" w:cs="宋体"/>
          <w:color w:val="auto"/>
          <w:sz w:val="21"/>
          <w:szCs w:val="21"/>
          <w:highlight w:val="none"/>
          <w:lang w:val="en-US" w:eastAsia="zh-CN" w:bidi="ar-SA"/>
        </w:rPr>
        <w:t>用</w:t>
      </w:r>
      <w:r>
        <w:rPr>
          <w:rFonts w:hint="eastAsia" w:ascii="宋体" w:hAnsi="宋体" w:eastAsia="宋体" w:cs="宋体"/>
          <w:color w:val="auto"/>
          <w:sz w:val="21"/>
          <w:szCs w:val="21"/>
          <w:highlight w:val="none"/>
          <w:lang w:bidi="ar-SA"/>
        </w:rPr>
        <w:t>户使用的需求，视频人工智能与图像大数据应用系统平台软件须满足以下功能要求：</w:t>
      </w:r>
    </w:p>
    <w:tbl>
      <w:tblPr>
        <w:tblStyle w:val="2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2208"/>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8" w:type="pct"/>
            <w:vAlign w:val="center"/>
          </w:tcPr>
          <w:p>
            <w:pPr>
              <w:spacing w:after="0" w:line="360" w:lineRule="auto"/>
              <w:ind w:firstLine="0" w:firstLineChars="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1296" w:type="pct"/>
            <w:vAlign w:val="center"/>
          </w:tcPr>
          <w:p>
            <w:pPr>
              <w:spacing w:after="0" w:line="360" w:lineRule="auto"/>
              <w:ind w:firstLine="0" w:firstLineChars="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功能点描述</w:t>
            </w:r>
          </w:p>
        </w:tc>
        <w:tc>
          <w:tcPr>
            <w:tcW w:w="3056" w:type="pct"/>
            <w:vAlign w:val="center"/>
          </w:tcPr>
          <w:p>
            <w:pPr>
              <w:spacing w:after="0" w:line="360" w:lineRule="auto"/>
              <w:ind w:firstLine="420" w:firstLineChars="200"/>
              <w:jc w:val="center"/>
              <w:rPr>
                <w:rFonts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支持指定一个或多个监控点范围内的条件搜索。</w:t>
            </w:r>
          </w:p>
          <w:p>
            <w:pPr>
              <w:spacing w:after="0" w:line="360" w:lineRule="auto"/>
              <w:ind w:firstLine="0" w:firstLineChars="0"/>
              <w:jc w:val="center"/>
              <w:rPr>
                <w:rFonts w:ascii="宋体" w:hAnsi="宋体" w:eastAsia="宋体" w:cs="宋体"/>
                <w:color w:val="auto"/>
                <w:sz w:val="21"/>
                <w:szCs w:val="21"/>
                <w:highlight w:val="none"/>
              </w:rPr>
            </w:pP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可通过单选、框选、圈选、多边形选等多种方式，指定一个或多个监控点作为搜索范围，进行条件搜索。</w:t>
            </w:r>
          </w:p>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搜索条件包括但不限于：时间范围、性别、上衣款式和颜色、下衣款式和颜色、鞋子颜色、是否骑车等。</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支持指定一个或多个监控点范围内以所选图片为模板进行以图搜图。</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可通过单选、框选、圈选、多边形选等多种方式，指定一个或多个监控点作为搜索范围，选择一张或多张图片为模板进行以图搜图。</w:t>
            </w:r>
          </w:p>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图片来源：通过本地上传图片，从档案库选择图片，从案件选择图片。</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支持建立档案和档案管理</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可把条件搜索和以图搜图的搜索结果加入到档案，可在档案界面中查看加入的图片；可对档案进行命名，并可自定义切换档案。</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支持创建嫌疑人轨迹并地图展示</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可在档案界面中选择档案中的图片，查看所选图片形成的轨迹，并在地图中展示。</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支持案件管理功能</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可将档案内容生成为案件，并自动导入所选档案库中的图片和轨迹信息；支持案件进行信息完善、批量导入导出案件等功能。</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支持实时视频播放</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可实时查看、播放各个轨迹监控点的实时视频，并展示实时画面的抠图结果。</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支持历史视频图像原图查看功能</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可在嫌疑人轨迹中，实时查看、播放各个轨迹监控点对应的历史视频图像原图的滚动查看。</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可接入到市局平台，并支持跨镇区的条件和图片搜索</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可将分局视频人工智能与图像大数据应用系统平台接入到市局视频人工智能与图像大数据应用系统平台中，通过市局平台进行跨镇区的条件搜图和以图搜图功能。</w:t>
            </w:r>
          </w:p>
          <w:p>
            <w:pPr>
              <w:spacing w:after="0" w:line="360" w:lineRule="auto"/>
              <w:ind w:firstLine="420" w:firstLineChars="200"/>
              <w:jc w:val="both"/>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支持用户管理功能</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提供单位和用户信息的注册、编辑、删除和查询功能；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支持用户权限控制</w:t>
            </w:r>
          </w:p>
        </w:tc>
        <w:tc>
          <w:tcPr>
            <w:tcW w:w="3056" w:type="pct"/>
            <w:vAlign w:val="center"/>
          </w:tcPr>
          <w:p>
            <w:p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可针对平台主要功能模块进行角色权限的设置，并可为每一个平台用户，进行角色权限的控制调整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支持设备管控</w:t>
            </w:r>
          </w:p>
        </w:tc>
        <w:tc>
          <w:tcPr>
            <w:tcW w:w="3056" w:type="pct"/>
            <w:vAlign w:val="center"/>
          </w:tcPr>
          <w:p>
            <w:pPr>
              <w:spacing w:after="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提供摄像头信息的注册、编辑和删除、以及查询功能，并可查看每路摄像头实时视频流和抠图情况，以便设备调试，实现对前端摄像头设备的管理功能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648"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296" w:type="pct"/>
            <w:vAlign w:val="center"/>
          </w:tcPr>
          <w:p>
            <w:pPr>
              <w:spacing w:after="0" w:line="360" w:lineRule="auto"/>
              <w:ind w:firstLine="0" w:firstLineChars="0"/>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支持与现有视频监控的无缝对接，在不更换前端摄像头的基础上，可直接获取实时视频码流进行结构化处理分析</w:t>
            </w:r>
          </w:p>
        </w:tc>
        <w:tc>
          <w:tcPr>
            <w:tcW w:w="3056" w:type="pct"/>
            <w:vAlign w:val="center"/>
          </w:tcPr>
          <w:p>
            <w:pPr>
              <w:spacing w:after="0" w:line="360" w:lineRule="auto"/>
              <w:ind w:firstLine="420" w:firstLineChars="200"/>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结合视频智能边缘计算引擎、视频人工智能解析引擎等设备配套的相关软件，通过GB-28181标准，实现与视频监控系统的无缝对接，直接获取前端摄像头实时视频码流，完成视频图像的结构化处理和结构化结果的分析搜索。</w:t>
            </w:r>
          </w:p>
        </w:tc>
      </w:tr>
    </w:tbl>
    <w:p>
      <w:pPr>
        <w:pStyle w:val="10"/>
        <w:spacing w:before="0" w:after="0" w:line="360" w:lineRule="auto"/>
        <w:ind w:left="0" w:firstLine="422" w:firstLineChars="200"/>
        <w:rPr>
          <w:rFonts w:ascii="宋体" w:hAnsi="宋体" w:cs="宋体"/>
          <w:color w:val="auto"/>
          <w:sz w:val="21"/>
          <w:szCs w:val="21"/>
          <w:highlight w:val="none"/>
        </w:rPr>
      </w:pPr>
      <w:r>
        <w:rPr>
          <w:rFonts w:hint="eastAsia" w:ascii="宋体" w:hAnsi="宋体" w:cs="宋体"/>
          <w:color w:val="auto"/>
          <w:sz w:val="21"/>
          <w:szCs w:val="21"/>
          <w:highlight w:val="none"/>
        </w:rPr>
        <w:t>3</w:t>
      </w:r>
      <w:r>
        <w:rPr>
          <w:rFonts w:ascii="宋体" w:hAnsi="宋体" w:cs="宋体"/>
          <w:color w:val="auto"/>
          <w:sz w:val="21"/>
          <w:szCs w:val="21"/>
          <w:highlight w:val="none"/>
        </w:rPr>
        <w:t>.2.3</w:t>
      </w:r>
      <w:r>
        <w:rPr>
          <w:rFonts w:hint="eastAsia" w:ascii="宋体" w:hAnsi="宋体" w:cs="宋体"/>
          <w:color w:val="auto"/>
          <w:sz w:val="21"/>
          <w:szCs w:val="21"/>
          <w:highlight w:val="none"/>
        </w:rPr>
        <w:t>平台接入网关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针对网络上不同的通信协议、数据格式或语言，甚至体系结构完全不同的两种系统之间，实现网络的互联互通。确保网络数据安全问题，符合公安业务数据安全要求。视频平台厂家提供平台接入资源环境。</w:t>
      </w:r>
    </w:p>
    <w:p>
      <w:pPr>
        <w:pStyle w:val="10"/>
        <w:spacing w:before="0" w:after="0" w:line="360" w:lineRule="auto"/>
        <w:ind w:left="0" w:firstLine="42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3.2.4流媒体转发服务器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现以流式协议将视频文件传输到客户端,供用户在线观看;也可从视频采集、压缩软件接收实时视频流,再以流式协议直播给客户端。和视频监控平台对接后提高推流能力，解决在系统中可以统一查看历史视频回放和下载功能。视频平台厂家提供流媒体转发环境。</w:t>
      </w:r>
    </w:p>
    <w:p>
      <w:pPr>
        <w:pStyle w:val="10"/>
        <w:spacing w:before="0" w:after="0" w:line="360" w:lineRule="auto"/>
        <w:ind w:left="0" w:firstLine="42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3.2.5流媒体国标平台软件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通过视频网平台与结构化平台对接，将视频网的历史视频获取到结构化平台，进行视频结构化，实现动态监控点位的视频结构化分析查看（提供软著）。</w:t>
      </w:r>
    </w:p>
    <w:p>
      <w:pPr>
        <w:pStyle w:val="10"/>
        <w:spacing w:before="0" w:after="0" w:line="360" w:lineRule="auto"/>
        <w:ind w:left="0" w:firstLine="422"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3.2.6系统维护管理软件</w:t>
      </w:r>
    </w:p>
    <w:p>
      <w:pPr>
        <w:spacing w:after="0"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系统维护管理软件可以对服务器GPU、CPU 存储、风扇运行情况、温度相关的参数进行监控。监控服务器上运行的软件版本号同最新版本号进行比对，若版本信息不一致则信息告警，同时也可以在统计图查看。监控离线边缘和离线摄像头，并提供导出数据功能，数据列表和柱形图统计功能（提供软著）。</w:t>
      </w:r>
    </w:p>
    <w:p>
      <w:pPr>
        <w:pStyle w:val="9"/>
        <w:widowControl/>
        <w:adjustRightInd w:val="0"/>
        <w:snapToGrid w:val="0"/>
        <w:spacing w:after="0" w:line="360" w:lineRule="auto"/>
        <w:ind w:left="0" w:leftChars="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r>
        <w:rPr>
          <w:rFonts w:ascii="宋体" w:hAnsi="宋体" w:eastAsia="宋体" w:cs="宋体"/>
          <w:b/>
          <w:bCs/>
          <w:color w:val="auto"/>
          <w:sz w:val="21"/>
          <w:szCs w:val="21"/>
          <w:highlight w:val="none"/>
        </w:rPr>
        <w:t>.3</w:t>
      </w:r>
      <w:r>
        <w:rPr>
          <w:rFonts w:hint="eastAsia" w:ascii="宋体" w:hAnsi="宋体" w:eastAsia="宋体" w:cs="宋体"/>
          <w:b/>
          <w:bCs/>
          <w:color w:val="auto"/>
          <w:sz w:val="21"/>
          <w:szCs w:val="21"/>
          <w:highlight w:val="none"/>
        </w:rPr>
        <w:t>公安平台对接</w:t>
      </w:r>
    </w:p>
    <w:p>
      <w:pPr>
        <w:pStyle w:val="10"/>
        <w:widowControl/>
        <w:adjustRightInd w:val="0"/>
        <w:snapToGrid w:val="0"/>
        <w:spacing w:after="0" w:line="360" w:lineRule="auto"/>
        <w:ind w:left="0" w:leftChars="0" w:firstLine="422" w:firstLineChars="200"/>
        <w:outlineLvl w:val="6"/>
        <w:rPr>
          <w:rFonts w:ascii="宋体" w:hAnsi="宋体" w:cs="宋体"/>
          <w:b/>
          <w:bCs/>
          <w:color w:val="auto"/>
          <w:sz w:val="21"/>
          <w:szCs w:val="21"/>
          <w:highlight w:val="none"/>
        </w:rPr>
      </w:pPr>
      <w:r>
        <w:rPr>
          <w:rFonts w:ascii="宋体" w:hAnsi="宋体" w:cs="宋体"/>
          <w:b/>
          <w:bCs/>
          <w:color w:val="auto"/>
          <w:sz w:val="21"/>
          <w:szCs w:val="21"/>
          <w:highlight w:val="none"/>
        </w:rPr>
        <w:t>3.3.1</w:t>
      </w:r>
      <w:r>
        <w:rPr>
          <w:rFonts w:hint="eastAsia" w:ascii="宋体" w:hAnsi="宋体" w:cs="宋体"/>
          <w:b/>
          <w:bCs/>
          <w:color w:val="auto"/>
          <w:sz w:val="21"/>
          <w:szCs w:val="21"/>
          <w:highlight w:val="none"/>
        </w:rPr>
        <w:t>结构化数据对接</w:t>
      </w:r>
    </w:p>
    <w:p>
      <w:pPr>
        <w:spacing w:after="0" w:line="360" w:lineRule="auto"/>
        <w:ind w:firstLine="420" w:firstLineChars="200"/>
        <w:rPr>
          <w:rFonts w:hint="eastAsia" w:ascii="宋体" w:hAnsi="宋体" w:eastAsia="宋体" w:cs="宋体"/>
          <w:color w:val="auto"/>
          <w:sz w:val="21"/>
          <w:szCs w:val="21"/>
          <w:highlight w:val="none"/>
          <w:lang w:bidi="ar-SA"/>
        </w:rPr>
      </w:pPr>
      <w:r>
        <w:rPr>
          <w:rFonts w:hint="eastAsia" w:ascii="宋体" w:hAnsi="宋体" w:eastAsia="宋体" w:cs="宋体"/>
          <w:color w:val="auto"/>
          <w:sz w:val="21"/>
          <w:szCs w:val="21"/>
          <w:highlight w:val="none"/>
          <w:lang w:bidi="ar-SA"/>
        </w:rPr>
        <w:t>通过国标1</w:t>
      </w:r>
      <w:r>
        <w:rPr>
          <w:rFonts w:ascii="宋体" w:hAnsi="宋体" w:eastAsia="宋体" w:cs="宋体"/>
          <w:color w:val="auto"/>
          <w:sz w:val="21"/>
          <w:szCs w:val="21"/>
          <w:highlight w:val="none"/>
          <w:lang w:bidi="ar-SA"/>
        </w:rPr>
        <w:t>400</w:t>
      </w:r>
      <w:r>
        <w:rPr>
          <w:rFonts w:hint="eastAsia" w:ascii="宋体" w:hAnsi="宋体" w:eastAsia="宋体" w:cs="宋体"/>
          <w:color w:val="auto"/>
          <w:sz w:val="21"/>
          <w:szCs w:val="21"/>
          <w:highlight w:val="none"/>
          <w:lang w:bidi="ar-SA"/>
        </w:rPr>
        <w:t>标准，通过提供API接口对接市局结构化平台。</w:t>
      </w:r>
    </w:p>
    <w:p>
      <w:pPr>
        <w:spacing w:after="0" w:line="360" w:lineRule="auto"/>
        <w:ind w:firstLine="420" w:firstLineChars="200"/>
        <w:rPr>
          <w:rFonts w:hint="eastAsia" w:ascii="宋体" w:hAnsi="宋体" w:eastAsia="宋体" w:cs="宋体"/>
          <w:color w:val="auto"/>
          <w:sz w:val="21"/>
          <w:szCs w:val="21"/>
          <w:highlight w:val="none"/>
          <w:lang w:bidi="ar-SA"/>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lang w:val="en-US" w:eastAsia="zh-CN"/>
        </w:rPr>
        <w:t>系统建设进度计划</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系统开发实施阶段期限要求为6个月，中标人应在4个月内完成软件的开发并进入试运行阶段，试运行期限为2个月，试运行期间，中标人应按照相关规定要求进行第三方测评及培训工作。项目验收合格交付使用后运维服务期限要求为1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2、项目开始：建设项目开工日从中标人收到采购方签发的开工通知书当日开始计算。</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3、开发环境及测试环境由中标人提供，正式运营环境由采购人提供。</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4、系统开发完工且试运行结束后，中标人提交相关资料（详见验收要求）向采购方申请验收。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5、试运行运行良好且通过第三方测评，中标人向采购方申请终验。</w:t>
      </w:r>
    </w:p>
    <w:p>
      <w:pPr>
        <w:spacing w:after="0" w:line="360" w:lineRule="auto"/>
        <w:ind w:firstLine="420" w:firstLineChars="200"/>
        <w:rPr>
          <w:rFonts w:ascii="宋体" w:hAnsi="宋体" w:eastAsia="宋体"/>
          <w:b/>
          <w:color w:val="auto"/>
          <w:sz w:val="24"/>
          <w:highlight w:val="none"/>
        </w:rPr>
      </w:pPr>
      <w:r>
        <w:rPr>
          <w:rFonts w:hint="eastAsia" w:ascii="宋体" w:hAnsi="宋体" w:eastAsia="宋体" w:cs="宋体"/>
          <w:color w:val="auto"/>
          <w:sz w:val="21"/>
          <w:szCs w:val="21"/>
          <w:highlight w:val="none"/>
        </w:rPr>
        <w:t>6、运维服务期要求：要求中标人通过项目终验后开始提供为期1年的服务。</w:t>
      </w: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运维服务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（1）运维服务期。从项目终验通过之后第二日开始提供为期1年的服务。</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（2）运维服务期内，中标人应及时将其所发现并掌握的有关系统的操作、故障检测、故障排除方法及一些新的技术发展通知采购方。</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服务响应时间：不允许出现系统服务中断；接到故障报修后，需立即实施维护抢修；一般故障在1小时内排除，较大故障（如1小时内无法排除，或需更换配件等）需在8小时内提交修复方案，经采购方批准后，在要求时间内修复。</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（4）在运维期内中标人需在维修工作的次日提交故障报表。报表中必须真实地反映出故障现象、故障原因、故障接报和处理完毕时间。</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（5）中标人应及时向采购方通报系统软件升级情况，若用户需要对系统软件升级，在运维服务期内，中标人应给予升级，提供升级版本和相应的支持服务，不再收取其他费用。</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（6）中标人负责对采购方进行相关设备的操作和维护培训，并使受训人员达到能独立地，熟练地操作设备，保障系统正常运行。</w:t>
      </w:r>
    </w:p>
    <w:p>
      <w:pPr>
        <w:spacing w:after="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在运维期结束前90日前需跟采购方商定下一运维期的责任方。如果运维责任方不再是中标人，那么中标人需负责将运维服务顺利的移交给下一运维期的责任方，整个运维服务的移交需经过下一运维期责任方的确认。</w:t>
      </w:r>
    </w:p>
    <w:p>
      <w:pPr>
        <w:pStyle w:val="2"/>
        <w:keepNext w:val="0"/>
        <w:keepLines w:val="0"/>
        <w:pageBreakBefore w:val="0"/>
        <w:widowControl/>
        <w:kinsoku/>
        <w:wordWrap/>
        <w:overflowPunct/>
        <w:topLinePunct w:val="0"/>
        <w:autoSpaceDE/>
        <w:autoSpaceDN/>
        <w:bidi w:val="0"/>
        <w:adjustRightInd w:val="0"/>
        <w:snapToGrid w:val="0"/>
        <w:spacing w:before="0" w:after="0" w:line="360" w:lineRule="auto"/>
        <w:ind w:left="0"/>
        <w:textAlignment w:val="auto"/>
        <w:rPr>
          <w:rFonts w:hint="eastAsia"/>
          <w:color w:val="auto"/>
          <w:highlight w:val="none"/>
        </w:rPr>
      </w:pPr>
    </w:p>
    <w:p>
      <w:pPr>
        <w:pStyle w:val="33"/>
        <w:numPr>
          <w:ilvl w:val="0"/>
          <w:numId w:val="1"/>
        </w:numPr>
        <w:spacing w:after="0" w:line="360" w:lineRule="auto"/>
        <w:ind w:left="0" w:firstLine="482"/>
        <w:outlineLvl w:val="3"/>
        <w:rPr>
          <w:rFonts w:hint="eastAsia" w:ascii="宋体" w:hAnsi="宋体" w:eastAsia="宋体"/>
          <w:b/>
          <w:color w:val="auto"/>
          <w:sz w:val="24"/>
          <w:highlight w:val="none"/>
        </w:rPr>
      </w:pPr>
      <w:r>
        <w:rPr>
          <w:rFonts w:hint="eastAsia" w:ascii="宋体" w:hAnsi="宋体" w:eastAsia="宋体"/>
          <w:b/>
          <w:color w:val="auto"/>
          <w:sz w:val="24"/>
          <w:highlight w:val="none"/>
        </w:rPr>
        <w:t>培训工作</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中标人应向采购方提供培训，配训至少包括一次技术培训：面向采购方技术部门介绍系统架构、系统部署以及采用的开发技术标准；一次接口对接方案培训：面向应用软件开发商，接口对接的统一培训；一次用户使用操作培训：面向所有实际业务操作者，包括前端软件以及后端管理平台使用者。具体培训时间以采购方确认为准。</w:t>
      </w:r>
    </w:p>
    <w:p>
      <w:pPr>
        <w:pStyle w:val="33"/>
        <w:spacing w:after="0" w:line="360" w:lineRule="auto"/>
        <w:ind w:left="440" w:leftChars="200" w:firstLine="0" w:firstLineChars="0"/>
        <w:rPr>
          <w:color w:val="auto"/>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验收要求</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试运行</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个月结束后，中标人提供以下文档，由采购方相关部门组织项目最终验收。</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验收时应提供的文档：</w:t>
      </w:r>
    </w:p>
    <w:tbl>
      <w:tblPr>
        <w:tblStyle w:val="24"/>
        <w:tblW w:w="4998" w:type="pct"/>
        <w:jc w:val="center"/>
        <w:tblLayout w:type="autofit"/>
        <w:tblCellMar>
          <w:top w:w="0" w:type="dxa"/>
          <w:left w:w="0" w:type="dxa"/>
          <w:bottom w:w="0" w:type="dxa"/>
          <w:right w:w="0" w:type="dxa"/>
        </w:tblCellMar>
      </w:tblPr>
      <w:tblGrid>
        <w:gridCol w:w="837"/>
        <w:gridCol w:w="2736"/>
        <w:gridCol w:w="1103"/>
        <w:gridCol w:w="1360"/>
        <w:gridCol w:w="1149"/>
        <w:gridCol w:w="1334"/>
      </w:tblGrid>
      <w:tr>
        <w:tblPrEx>
          <w:tblCellMar>
            <w:top w:w="0" w:type="dxa"/>
            <w:left w:w="0" w:type="dxa"/>
            <w:bottom w:w="0" w:type="dxa"/>
            <w:right w:w="0" w:type="dxa"/>
          </w:tblCellMar>
        </w:tblPrEx>
        <w:trPr>
          <w:trHeight w:val="384" w:hRule="atLeast"/>
          <w:jc w:val="center"/>
        </w:trPr>
        <w:tc>
          <w:tcPr>
            <w:tcW w:w="491"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编号</w:t>
            </w:r>
          </w:p>
        </w:tc>
        <w:tc>
          <w:tcPr>
            <w:tcW w:w="1605"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名称</w:t>
            </w:r>
          </w:p>
        </w:tc>
        <w:tc>
          <w:tcPr>
            <w:tcW w:w="647"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形式</w:t>
            </w:r>
          </w:p>
        </w:tc>
        <w:tc>
          <w:tcPr>
            <w:tcW w:w="798"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b/>
                <w:bCs/>
                <w:color w:val="auto"/>
                <w:sz w:val="21"/>
                <w:szCs w:val="21"/>
                <w:highlight w:val="none"/>
              </w:rPr>
              <w:t>介质</w:t>
            </w:r>
          </w:p>
        </w:tc>
        <w:tc>
          <w:tcPr>
            <w:tcW w:w="674"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数量（纸质版）</w:t>
            </w:r>
          </w:p>
        </w:tc>
        <w:tc>
          <w:tcPr>
            <w:tcW w:w="782" w:type="pc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b/>
                <w:bCs/>
                <w:color w:val="auto"/>
                <w:sz w:val="21"/>
                <w:szCs w:val="21"/>
                <w:highlight w:val="none"/>
              </w:rPr>
            </w:pPr>
            <w:r>
              <w:rPr>
                <w:rFonts w:hint="eastAsia" w:cs="宋体" w:asciiTheme="minorEastAsia" w:hAnsiTheme="minorEastAsia" w:eastAsiaTheme="minorEastAsia"/>
                <w:b/>
                <w:bCs/>
                <w:color w:val="auto"/>
                <w:sz w:val="21"/>
                <w:szCs w:val="21"/>
                <w:highlight w:val="none"/>
              </w:rPr>
              <w:t>备注</w:t>
            </w: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项目开发计划</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软件需求说明书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系统概要设计说明书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总体设计说明书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数据库设计说明书</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详细设计文档</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为本项目开发的软件源代码</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由中标人提供无版权争议承诺书</w:t>
            </w:r>
          </w:p>
        </w:tc>
      </w:tr>
      <w:tr>
        <w:tblPrEx>
          <w:tblCellMar>
            <w:top w:w="0" w:type="dxa"/>
            <w:left w:w="0" w:type="dxa"/>
            <w:bottom w:w="0" w:type="dxa"/>
            <w:right w:w="0" w:type="dxa"/>
          </w:tblCellMar>
        </w:tblPrEx>
        <w:trPr>
          <w:trHeight w:val="410"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8</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性能测试报告、功能测试报告</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9</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项目实施报告</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10</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培训计划</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11</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shd w:val="clear" w:color="auto" w:fill="FFFFFF"/>
              </w:rPr>
              <w:t>用户手册</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12</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应用软件清单</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384"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13</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所提供的第三方产品的技术说明和操作、维护资料</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r>
        <w:tblPrEx>
          <w:tblCellMar>
            <w:top w:w="0" w:type="dxa"/>
            <w:left w:w="0" w:type="dxa"/>
            <w:bottom w:w="0" w:type="dxa"/>
            <w:right w:w="0" w:type="dxa"/>
          </w:tblCellMar>
        </w:tblPrEx>
        <w:trPr>
          <w:trHeight w:val="410" w:hRule="atLeast"/>
          <w:jc w:val="center"/>
        </w:trPr>
        <w:tc>
          <w:tcPr>
            <w:tcW w:w="491" w:type="pc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14</w:t>
            </w:r>
          </w:p>
        </w:tc>
        <w:tc>
          <w:tcPr>
            <w:tcW w:w="1605"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项目总结报告</w:t>
            </w:r>
          </w:p>
        </w:tc>
        <w:tc>
          <w:tcPr>
            <w:tcW w:w="647"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文档</w:t>
            </w:r>
          </w:p>
        </w:tc>
        <w:tc>
          <w:tcPr>
            <w:tcW w:w="798"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电子、纸质</w:t>
            </w:r>
          </w:p>
        </w:tc>
        <w:tc>
          <w:tcPr>
            <w:tcW w:w="674"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w:t>
            </w:r>
          </w:p>
        </w:tc>
        <w:tc>
          <w:tcPr>
            <w:tcW w:w="782" w:type="pct"/>
            <w:tcBorders>
              <w:top w:val="nil"/>
              <w:left w:val="nil"/>
              <w:bottom w:val="single" w:color="auto" w:sz="8" w:space="0"/>
              <w:right w:val="single" w:color="auto" w:sz="8" w:space="0"/>
            </w:tcBorders>
            <w:tcMar>
              <w:top w:w="0" w:type="dxa"/>
              <w:left w:w="108" w:type="dxa"/>
              <w:bottom w:w="0" w:type="dxa"/>
              <w:right w:w="108" w:type="dxa"/>
            </w:tcMar>
            <w:vAlign w:val="center"/>
          </w:tcPr>
          <w:p>
            <w:pPr>
              <w:spacing w:after="0" w:line="360" w:lineRule="auto"/>
              <w:jc w:val="center"/>
              <w:rPr>
                <w:rFonts w:cs="宋体" w:asciiTheme="minorEastAsia" w:hAnsiTheme="minorEastAsia" w:eastAsiaTheme="minorEastAsia"/>
                <w:color w:val="auto"/>
                <w:sz w:val="21"/>
                <w:szCs w:val="21"/>
                <w:highlight w:val="none"/>
              </w:rPr>
            </w:pPr>
          </w:p>
        </w:tc>
      </w:tr>
    </w:tbl>
    <w:p>
      <w:pPr>
        <w:pStyle w:val="33"/>
        <w:spacing w:after="0" w:line="360" w:lineRule="auto"/>
        <w:ind w:left="440" w:leftChars="200" w:firstLine="0" w:firstLineChars="0"/>
        <w:rPr>
          <w:rFonts w:ascii="宋体" w:hAnsi="宋体" w:eastAsia="宋体"/>
          <w:b/>
          <w:color w:val="auto"/>
          <w:sz w:val="24"/>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付款方式</w:t>
      </w:r>
    </w:p>
    <w:p>
      <w:pPr>
        <w:spacing w:after="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Hans"/>
        </w:rPr>
        <w:t>最终以实际结算价为准</w:t>
      </w:r>
      <w:r>
        <w:rPr>
          <w:rFonts w:hint="default" w:ascii="宋体" w:hAnsi="宋体" w:eastAsia="宋体" w:cs="宋体"/>
          <w:color w:val="auto"/>
          <w:sz w:val="21"/>
          <w:szCs w:val="21"/>
          <w:highlight w:val="none"/>
          <w:lang w:eastAsia="zh-Hans"/>
        </w:rPr>
        <w:t>，</w:t>
      </w:r>
      <w:r>
        <w:rPr>
          <w:rFonts w:hint="eastAsia" w:ascii="宋体" w:hAnsi="宋体" w:eastAsia="宋体" w:cs="宋体"/>
          <w:color w:val="auto"/>
          <w:sz w:val="21"/>
          <w:szCs w:val="21"/>
          <w:highlight w:val="none"/>
          <w:lang w:val="en-US" w:eastAsia="zh-Hans"/>
        </w:rPr>
        <w:t>实际结算价不高于合同价</w:t>
      </w:r>
      <w:r>
        <w:rPr>
          <w:rFonts w:hint="default" w:ascii="宋体" w:hAnsi="宋体" w:eastAsia="宋体" w:cs="宋体"/>
          <w:color w:val="auto"/>
          <w:sz w:val="21"/>
          <w:szCs w:val="21"/>
          <w:highlight w:val="none"/>
          <w:lang w:eastAsia="zh-Hans"/>
        </w:rPr>
        <w:t>。</w:t>
      </w:r>
    </w:p>
    <w:p>
      <w:pPr>
        <w:spacing w:after="0" w:line="360" w:lineRule="auto"/>
        <w:ind w:firstLine="420" w:firstLineChars="200"/>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2、签订合同后中标人向采购人提供</w:t>
      </w:r>
      <w:r>
        <w:rPr>
          <w:rFonts w:hint="eastAsia" w:ascii="宋体" w:hAnsi="宋体" w:eastAsia="宋体" w:cs="宋体"/>
          <w:color w:val="auto"/>
          <w:sz w:val="21"/>
          <w:szCs w:val="21"/>
          <w:highlight w:val="none"/>
          <w:lang w:val="en-US" w:eastAsia="zh-CN"/>
        </w:rPr>
        <w:t>总体设计说明书并通过采购人审核确认后，</w:t>
      </w:r>
      <w:r>
        <w:rPr>
          <w:rFonts w:hint="default" w:ascii="宋体" w:hAnsi="宋体" w:eastAsia="宋体" w:cs="宋体"/>
          <w:color w:val="auto"/>
          <w:sz w:val="21"/>
          <w:szCs w:val="21"/>
          <w:highlight w:val="none"/>
        </w:rPr>
        <w:t>采购人在</w:t>
      </w:r>
      <w:r>
        <w:rPr>
          <w:rFonts w:hint="eastAsia" w:ascii="宋体" w:hAnsi="宋体" w:eastAsia="宋体" w:cs="宋体"/>
          <w:color w:val="auto"/>
          <w:sz w:val="21"/>
          <w:szCs w:val="21"/>
          <w:highlight w:val="none"/>
          <w:lang w:eastAsia="zh-CN"/>
        </w:rPr>
        <w:t>收到中标人提供的等额发票等付款资料后</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个工作日内支付合同总价</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w:t>
      </w:r>
    </w:p>
    <w:p>
      <w:pPr>
        <w:spacing w:after="0"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3、项目初验后，采购人在收到中标人提供的等额发票等付款资料后，采购人在30个工作日内支付合同总价的30%；</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项目完成</w:t>
      </w:r>
      <w:r>
        <w:rPr>
          <w:rFonts w:hint="default" w:ascii="宋体" w:hAnsi="宋体" w:eastAsia="宋体" w:cs="宋体"/>
          <w:color w:val="auto"/>
          <w:sz w:val="21"/>
          <w:szCs w:val="21"/>
          <w:highlight w:val="none"/>
        </w:rPr>
        <w:t>，经采购人最终验收合格后、进行项目实际结算时，中标人向采购人提供等额发票，采购人在</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个工作日内支付至实际结算价的95%；</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项目运维服务期结束后</w:t>
      </w:r>
      <w:r>
        <w:rPr>
          <w:rFonts w:hint="default" w:ascii="宋体" w:hAnsi="宋体" w:eastAsia="宋体" w:cs="宋体"/>
          <w:color w:val="auto"/>
          <w:sz w:val="21"/>
          <w:szCs w:val="21"/>
          <w:highlight w:val="none"/>
        </w:rPr>
        <w:t>，且达到相关售后服务要求，中标人向采购人提供发票后，采购人在</w:t>
      </w:r>
      <w:r>
        <w:rPr>
          <w:rFonts w:hint="eastAsia" w:ascii="宋体" w:hAnsi="宋体" w:eastAsia="宋体" w:cs="宋体"/>
          <w:color w:val="auto"/>
          <w:sz w:val="21"/>
          <w:szCs w:val="21"/>
          <w:highlight w:val="none"/>
          <w:lang w:val="en-US" w:eastAsia="zh-CN"/>
        </w:rPr>
        <w:t>30</w:t>
      </w:r>
      <w:r>
        <w:rPr>
          <w:rFonts w:hint="default" w:ascii="宋体" w:hAnsi="宋体" w:eastAsia="宋体" w:cs="宋体"/>
          <w:color w:val="auto"/>
          <w:sz w:val="21"/>
          <w:szCs w:val="21"/>
          <w:highlight w:val="none"/>
        </w:rPr>
        <w:t>个工作日内支付实际结算价的剩余5%。</w:t>
      </w:r>
    </w:p>
    <w:p>
      <w:pPr>
        <w:pStyle w:val="33"/>
        <w:spacing w:after="0" w:line="360" w:lineRule="auto"/>
        <w:ind w:left="440" w:leftChars="200" w:firstLine="0" w:firstLineChars="0"/>
        <w:rPr>
          <w:color w:val="auto"/>
          <w:highlight w:val="none"/>
        </w:rPr>
      </w:pPr>
    </w:p>
    <w:p>
      <w:pPr>
        <w:pStyle w:val="33"/>
        <w:numPr>
          <w:ilvl w:val="0"/>
          <w:numId w:val="1"/>
        </w:numPr>
        <w:spacing w:after="0" w:line="360" w:lineRule="auto"/>
        <w:ind w:left="0" w:firstLine="482"/>
        <w:outlineLvl w:val="3"/>
        <w:rPr>
          <w:rFonts w:ascii="宋体" w:hAnsi="宋体" w:eastAsia="宋体"/>
          <w:b/>
          <w:color w:val="auto"/>
          <w:sz w:val="24"/>
          <w:highlight w:val="none"/>
        </w:rPr>
      </w:pPr>
      <w:r>
        <w:rPr>
          <w:rFonts w:hint="eastAsia" w:ascii="宋体" w:hAnsi="宋体" w:eastAsia="宋体"/>
          <w:b/>
          <w:color w:val="auto"/>
          <w:sz w:val="24"/>
          <w:highlight w:val="none"/>
        </w:rPr>
        <w:t>其他要求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1、中标人在项目实施过程中，需对项目进行规范化管理，要有项目实施组织、项目实施管理计划、项目进度计划、项目验收计划、风险控制、质量控制等方案，确保项目质量。</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default" w:ascii="宋体" w:hAnsi="宋体" w:eastAsia="宋体" w:cs="宋体"/>
          <w:color w:val="auto"/>
          <w:sz w:val="21"/>
          <w:szCs w:val="21"/>
          <w:highlight w:val="none"/>
        </w:rPr>
        <w:t>项目建设期内拟投入本项目的项目团队成员不得少于22人（含项目负责人1人）。项目建设至运维期间，中标人应派驻2人在采购单位现场长期办公，并服从采购单位的工作安排。</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3、中标人应成立相应的项目组，并指定专职的项目负责人负责项目协调和调度工作。项目组人员原则上不得更换，若确需更换，需书面向采购方提出申请，并获得采购方认可。</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4、中标人的项目负责人必须参与项目各阶段的评审汇报，并作为中标人主汇报人。</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5、采购人根据项目需求组织专家研讨会、咨询会，中标人应保证参加与关会议。</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6、中标人的工作过程需接受采购方的监督和管理。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7、中标人在项目实施过程中，每周一次书面向采购方委托的项目管理单位通报项目进展情况和需要协调解决的有关事项，项目负责人需参加项目管理单位组织的项目月、周例会，提交工作总结、进度报告，确保项目按招投标文件及项目合同要求完成。另外，根据项目管理单位需要，随时提供项目进展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8、建立重大问题汇报制度。项目实施过程中，如出现重大问题或重要变更发生时，中标人需在当天内向采购方书面报告，并提出解决问题的办法。</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9、中标人必须提供项目各类重大问题的故障应急处理机制方案。</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10、中标人应确保为本项目所开发的软件或建设的系统能接入采购人所使用的设备。</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11、报价须包含完成本项目的所有费用（含税）。</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12、项目未尽事宜将在采购合同中另行约定，中标人需无条件同意采购人基于为顺利完成本项目所提出的各项合理要求。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13、用户需求为本次采购最低要求，各供应商可以自行优化服务计划，为本项目设计最优投标方案。</w:t>
      </w:r>
    </w:p>
    <w:p>
      <w:pPr>
        <w:spacing w:after="0" w:line="360" w:lineRule="auto"/>
        <w:ind w:firstLine="422" w:firstLineChars="200"/>
        <w:rPr>
          <w:rFonts w:ascii="宋体" w:hAnsi="宋体" w:eastAsia="宋体" w:cs="Times New Roman"/>
          <w:b/>
          <w:bCs/>
          <w:color w:val="auto"/>
          <w:sz w:val="21"/>
          <w:szCs w:val="21"/>
          <w:highlight w:val="none"/>
        </w:rPr>
      </w:pPr>
      <w:bookmarkStart w:id="32" w:name="_Toc31278"/>
      <w:bookmarkStart w:id="33" w:name="_Toc14462"/>
      <w:bookmarkStart w:id="34" w:name="_Toc24679"/>
      <w:bookmarkStart w:id="35" w:name="_Toc13112"/>
    </w:p>
    <w:p>
      <w:pPr>
        <w:spacing w:line="360" w:lineRule="auto"/>
        <w:ind w:firstLine="422" w:firstLineChars="200"/>
        <w:rPr>
          <w:color w:val="auto"/>
          <w:sz w:val="24"/>
          <w:szCs w:val="24"/>
          <w:highlight w:val="none"/>
        </w:rPr>
      </w:pPr>
      <w:r>
        <w:rPr>
          <w:rFonts w:hint="eastAsia" w:ascii="宋体" w:hAnsi="宋体" w:eastAsia="宋体" w:cs="Times New Roman"/>
          <w:b/>
          <w:bCs/>
          <w:color w:val="auto"/>
          <w:sz w:val="21"/>
          <w:szCs w:val="21"/>
          <w:highlight w:val="none"/>
        </w:rPr>
        <w:t>注：不满足招标文件中 “★”条款的投标文件将作无效投标处理。</w:t>
      </w:r>
      <w:bookmarkEnd w:id="32"/>
      <w:bookmarkEnd w:id="33"/>
      <w:bookmarkEnd w:id="34"/>
      <w:bookmarkEnd w:id="35"/>
      <w:r>
        <w:rPr>
          <w:rFonts w:hint="eastAsia"/>
          <w:color w:val="auto"/>
          <w:sz w:val="24"/>
          <w:szCs w:val="24"/>
          <w:highlight w:val="none"/>
        </w:rPr>
        <w:br w:type="page"/>
      </w:r>
      <w:bookmarkStart w:id="36" w:name="_Toc2479"/>
      <w:r>
        <w:rPr>
          <w:rFonts w:hint="eastAsia"/>
          <w:color w:val="auto"/>
          <w:szCs w:val="28"/>
          <w:highlight w:val="none"/>
        </w:rPr>
        <w:t>第四部分 投标人须知</w:t>
      </w:r>
      <w:bookmarkEnd w:id="36"/>
    </w:p>
    <w:p>
      <w:pPr>
        <w:pStyle w:val="6"/>
        <w:numPr>
          <w:ilvl w:val="0"/>
          <w:numId w:val="5"/>
        </w:numPr>
        <w:spacing w:before="0" w:after="0" w:line="480" w:lineRule="auto"/>
        <w:jc w:val="center"/>
        <w:rPr>
          <w:rFonts w:ascii="宋体" w:hAnsi="宋体" w:eastAsia="宋体"/>
          <w:color w:val="auto"/>
          <w:highlight w:val="none"/>
        </w:rPr>
      </w:pPr>
      <w:bookmarkStart w:id="37" w:name="_Toc19746"/>
      <w:r>
        <w:rPr>
          <w:rFonts w:hint="eastAsia" w:ascii="宋体" w:hAnsi="宋体" w:eastAsia="宋体"/>
          <w:color w:val="auto"/>
          <w:highlight w:val="none"/>
        </w:rPr>
        <w:t>说明</w:t>
      </w:r>
      <w:bookmarkEnd w:id="37"/>
    </w:p>
    <w:p>
      <w:pPr>
        <w:pStyle w:val="7"/>
        <w:widowControl w:val="0"/>
        <w:overflowPunct w:val="0"/>
        <w:spacing w:before="0" w:after="0" w:line="240" w:lineRule="auto"/>
        <w:rPr>
          <w:rFonts w:ascii="宋体" w:hAnsi="宋体" w:eastAsia="宋体"/>
          <w:color w:val="auto"/>
          <w:sz w:val="21"/>
          <w:szCs w:val="21"/>
          <w:highlight w:val="none"/>
        </w:rPr>
      </w:pPr>
      <w:bookmarkStart w:id="38" w:name="_Toc18488"/>
      <w:r>
        <w:rPr>
          <w:rFonts w:hint="eastAsia" w:ascii="宋体" w:hAnsi="宋体" w:eastAsia="宋体"/>
          <w:color w:val="auto"/>
          <w:sz w:val="21"/>
          <w:szCs w:val="21"/>
          <w:highlight w:val="none"/>
        </w:rPr>
        <w:t>1.适用范围</w:t>
      </w:r>
      <w:bookmarkEnd w:id="38"/>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招标范围：见本文件《用户需求书》</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39" w:name="_Toc13400"/>
      <w:r>
        <w:rPr>
          <w:rFonts w:hint="eastAsia" w:ascii="宋体" w:hAnsi="宋体" w:eastAsia="宋体"/>
          <w:color w:val="auto"/>
          <w:sz w:val="21"/>
          <w:szCs w:val="21"/>
          <w:highlight w:val="none"/>
        </w:rPr>
        <w:t>2.</w:t>
      </w:r>
      <w:bookmarkStart w:id="40" w:name="_Toc303084246"/>
      <w:bookmarkStart w:id="41" w:name="_Toc382049092"/>
      <w:bookmarkStart w:id="42" w:name="_Toc298847174"/>
      <w:bookmarkStart w:id="43" w:name="_Toc1530"/>
      <w:r>
        <w:rPr>
          <w:rFonts w:hint="eastAsia" w:ascii="宋体" w:hAnsi="宋体" w:eastAsia="宋体"/>
          <w:color w:val="auto"/>
          <w:sz w:val="21"/>
          <w:szCs w:val="21"/>
          <w:highlight w:val="none"/>
        </w:rPr>
        <w:t>定义</w:t>
      </w:r>
      <w:bookmarkEnd w:id="39"/>
      <w:bookmarkEnd w:id="40"/>
      <w:bookmarkEnd w:id="41"/>
      <w:bookmarkEnd w:id="42"/>
      <w:bookmarkEnd w:id="4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w:t>
      </w:r>
      <w:r>
        <w:rPr>
          <w:rFonts w:ascii="宋体" w:hAnsi="宋体" w:eastAsia="宋体"/>
          <w:color w:val="auto"/>
          <w:sz w:val="21"/>
          <w:szCs w:val="21"/>
          <w:highlight w:val="none"/>
        </w:rPr>
        <w:t>是指依法进行政府采购的国家机关、事业单位</w:t>
      </w:r>
      <w:r>
        <w:rPr>
          <w:rFonts w:hint="eastAsia" w:ascii="宋体" w:hAnsi="宋体" w:eastAsia="宋体"/>
          <w:color w:val="auto"/>
          <w:sz w:val="21"/>
          <w:szCs w:val="21"/>
          <w:highlight w:val="none"/>
        </w:rPr>
        <w:t>等</w:t>
      </w:r>
      <w:r>
        <w:rPr>
          <w:rFonts w:ascii="宋体" w:hAnsi="宋体" w:eastAsia="宋体"/>
          <w:color w:val="auto"/>
          <w:sz w:val="21"/>
          <w:szCs w:val="21"/>
          <w:highlight w:val="none"/>
        </w:rPr>
        <w:t>团体组织</w:t>
      </w:r>
      <w:r>
        <w:rPr>
          <w:rFonts w:hint="eastAsia" w:ascii="宋体" w:hAnsi="宋体" w:eastAsia="宋体"/>
          <w:color w:val="auto"/>
          <w:sz w:val="21"/>
          <w:szCs w:val="21"/>
          <w:highlight w:val="none"/>
        </w:rPr>
        <w:t>。</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投标人：响应招标并且符合招标文件规定资格条件和参加投标竞争的法人、其他组织或者自然人。</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法人：法人是依法在国内进行注册并具有民事权利能力和民事行为能力，依法独立享有民事权利和承担民事义务的组织。</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中标人：指经评标委员会评审推荐、采购人确认的获得本项目中标资格的投标人。</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采购代理机构：广东政通招标有限公司。</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评标委员会：评标委员会是依据《中华人民共和国政府采购法》及其实施条例、《政府采购货物和服务招标投标管理办法》等组建的专门负责本次招标其评标工作的临时性机构。</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合同：指由本次招标所产生的合同或合约文件。</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公章：</w:t>
      </w:r>
      <w:r>
        <w:rPr>
          <w:rFonts w:ascii="宋体" w:hAnsi="宋体" w:eastAsia="宋体"/>
          <w:color w:val="auto"/>
          <w:sz w:val="21"/>
          <w:szCs w:val="21"/>
          <w:highlight w:val="none"/>
        </w:rPr>
        <w:t>公章是</w:t>
      </w:r>
      <w:r>
        <w:rPr>
          <w:rFonts w:ascii="宋体" w:hAnsi="宋体" w:eastAsia="宋体"/>
          <w:iCs/>
          <w:color w:val="auto"/>
          <w:sz w:val="21"/>
          <w:szCs w:val="21"/>
          <w:highlight w:val="none"/>
        </w:rPr>
        <w:t>指</w:t>
      </w:r>
      <w:r>
        <w:rPr>
          <w:rFonts w:hint="eastAsia" w:ascii="宋体" w:hAnsi="宋体" w:eastAsia="宋体"/>
          <w:iCs/>
          <w:color w:val="auto"/>
          <w:sz w:val="21"/>
          <w:szCs w:val="21"/>
          <w:highlight w:val="none"/>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highlight w:val="none"/>
        </w:rPr>
        <w:t>）</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时间</w:t>
      </w:r>
      <w:r>
        <w:rPr>
          <w:rFonts w:hint="eastAsia" w:ascii="宋体" w:hAnsi="宋体" w:eastAsia="宋体"/>
          <w:iCs/>
          <w:color w:val="auto"/>
          <w:sz w:val="21"/>
          <w:szCs w:val="21"/>
          <w:highlight w:val="none"/>
        </w:rPr>
        <w:t>：本文件规定按日计算期间的，开始当天不计入，从次日开始计算。期限的最后一日是国家法定节假日的，顺延到节假日后的次日为期限的最后一日。</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4" w:name="_Toc3780"/>
      <w:r>
        <w:rPr>
          <w:rFonts w:hint="eastAsia" w:ascii="宋体" w:hAnsi="宋体" w:eastAsia="宋体"/>
          <w:color w:val="auto"/>
          <w:sz w:val="21"/>
          <w:szCs w:val="21"/>
          <w:highlight w:val="none"/>
        </w:rPr>
        <w:t>3.货物和服务</w:t>
      </w:r>
      <w:bookmarkEnd w:id="4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货物</w:t>
      </w:r>
      <w:r>
        <w:rPr>
          <w:rFonts w:ascii="宋体" w:hAnsi="宋体" w:eastAsia="宋体"/>
          <w:color w:val="auto"/>
          <w:sz w:val="21"/>
          <w:szCs w:val="21"/>
          <w:highlight w:val="none"/>
        </w:rPr>
        <w:t>是指各种形态和种类的物品，包括原材料、燃料、设备、产品等</w:t>
      </w:r>
      <w:r>
        <w:rPr>
          <w:rFonts w:hint="eastAsia" w:ascii="宋体" w:hAnsi="宋体" w:eastAsia="宋体"/>
          <w:color w:val="auto"/>
          <w:sz w:val="21"/>
          <w:szCs w:val="21"/>
          <w:highlight w:val="none"/>
        </w:rPr>
        <w:t>。</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服务是指</w:t>
      </w:r>
      <w:r>
        <w:rPr>
          <w:rFonts w:ascii="宋体" w:hAnsi="宋体" w:eastAsia="宋体"/>
          <w:color w:val="auto"/>
          <w:sz w:val="21"/>
          <w:szCs w:val="21"/>
          <w:highlight w:val="none"/>
        </w:rPr>
        <w:t>除货物和工程以外的其他政府采购对象</w:t>
      </w:r>
      <w:r>
        <w:rPr>
          <w:rFonts w:hint="eastAsia"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5" w:name="_Toc15945"/>
      <w:r>
        <w:rPr>
          <w:rFonts w:hint="eastAsia" w:ascii="宋体" w:hAnsi="宋体" w:eastAsia="宋体"/>
          <w:color w:val="auto"/>
          <w:sz w:val="21"/>
          <w:szCs w:val="21"/>
          <w:highlight w:val="none"/>
        </w:rPr>
        <w:t>4.投标费用</w:t>
      </w:r>
      <w:bookmarkEnd w:id="45"/>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6" w:name="_Toc25040"/>
      <w:r>
        <w:rPr>
          <w:rFonts w:hint="eastAsia" w:ascii="宋体" w:hAnsi="宋体" w:eastAsia="宋体"/>
          <w:color w:val="auto"/>
          <w:sz w:val="21"/>
          <w:szCs w:val="21"/>
          <w:highlight w:val="none"/>
        </w:rPr>
        <w:t>5.知识产权</w:t>
      </w:r>
      <w:bookmarkEnd w:id="46"/>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采购人享有本项目实施过程中产生的知识成果及知识产权。</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投标人如欲在项目实施过程中采用自有知识成果，需在投标文件中声明，并提供相关知识产权证明文件。使用该知识成果后，投标人需提供开发接口和开发手册等技术文档。</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采购货物为计算机办公设备时，投标人提供的产品必须是预装正版操作系统软件的计算机产品。</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7" w:name="_Toc21930"/>
      <w:r>
        <w:rPr>
          <w:rFonts w:hint="eastAsia" w:ascii="宋体" w:hAnsi="宋体" w:eastAsia="宋体"/>
          <w:color w:val="auto"/>
          <w:sz w:val="21"/>
          <w:szCs w:val="21"/>
          <w:highlight w:val="none"/>
        </w:rPr>
        <w:t>6.关于联合体投标</w:t>
      </w:r>
      <w:bookmarkEnd w:id="47"/>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对接受联合体投标的项目：两个以上的自然人、法人或者其他组织可以组成一个联合体，以一个投标人的身份共同参加政府采购。</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以联合体形式参与项目的供应商在领购招标文件时，应提供所有联合体组成成员的营业执照复印件，并加盖各联合体组成成员的公章。</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联合体各方均应当符合《政府采购法》第二十二条规定的条件。</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采购人根据采购项目的特殊要求规定投标人特定条件的，联合体各方中至少应当有一方符合采购人规定的特定条件。</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联合体各方之间应当签订共同投标协议并</w:t>
      </w:r>
      <w:r>
        <w:rPr>
          <w:rFonts w:ascii="宋体" w:hAnsi="宋体" w:eastAsia="宋体"/>
          <w:color w:val="auto"/>
          <w:sz w:val="21"/>
          <w:szCs w:val="21"/>
          <w:highlight w:val="none"/>
        </w:rPr>
        <w:t>在投标文件内提交</w:t>
      </w:r>
      <w:r>
        <w:rPr>
          <w:rFonts w:hint="eastAsia" w:ascii="宋体" w:hAnsi="宋体" w:eastAsia="宋体"/>
          <w:color w:val="auto"/>
          <w:sz w:val="21"/>
          <w:szCs w:val="21"/>
          <w:highlight w:val="none"/>
        </w:rPr>
        <w:t>，明确约定联合体各方承担的工作和相应的责任。联合体各方签订共同投标协议后，不得再以自己名义单独在同一项目中投标，也不得组成新的联合体参加同一项目投标。</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供应商为联合体的，可以由联合体中的任意一方交纳保证金，其交纳的保证金对联合体各方均具有约束力。</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联合体中有同类资质的投标人按照联合体分工承担相同工作的，应当按照资质等级较低的供应商确定资质等级。</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以联合体形式参加政府采购活动，联合体各方均为中小企业的，联合体视同中小企业。其中，联合体各方均为小微企业的，联合体视同小微企业。双方均应提供《中小企业声明函》。</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除联合体协议明确授权盖章单位外，联合体投标时投标文件中所有要求盖章的地方均须加盖联合体所有组成成员的公章，否则该处盖章无效。</w:t>
      </w:r>
    </w:p>
    <w:p>
      <w:pPr>
        <w:widowControl w:val="0"/>
        <w:numPr>
          <w:ilvl w:val="1"/>
          <w:numId w:val="6"/>
        </w:numPr>
        <w:adjustRightInd/>
        <w:snapToGrid/>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48" w:name="_Toc16571"/>
      <w:r>
        <w:rPr>
          <w:rFonts w:hint="eastAsia" w:ascii="宋体" w:hAnsi="宋体" w:eastAsia="宋体"/>
          <w:color w:val="auto"/>
          <w:sz w:val="21"/>
          <w:szCs w:val="21"/>
          <w:highlight w:val="none"/>
        </w:rPr>
        <w:t>7.关于分支机构投标</w:t>
      </w:r>
      <w:bookmarkEnd w:id="48"/>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49" w:name="EB389f116341dd4693875bc7987e7327f3"/>
    </w:p>
    <w:p>
      <w:pPr>
        <w:widowControl w:val="0"/>
        <w:numPr>
          <w:ilvl w:val="1"/>
          <w:numId w:val="6"/>
        </w:numPr>
        <w:adjustRightInd/>
        <w:snapToGrid/>
        <w:spacing w:after="0"/>
        <w:jc w:val="both"/>
        <w:rPr>
          <w:rFonts w:ascii="宋体" w:hAnsi="宋体" w:eastAsia="宋体"/>
          <w:color w:val="auto"/>
          <w:sz w:val="21"/>
          <w:szCs w:val="21"/>
          <w:highlight w:val="none"/>
        </w:rPr>
      </w:pPr>
      <w:r>
        <w:rPr>
          <w:rFonts w:ascii="宋体" w:hAnsi="宋体" w:eastAsia="宋体"/>
          <w:color w:val="auto"/>
          <w:sz w:val="21"/>
          <w:szCs w:val="21"/>
          <w:highlight w:val="none"/>
        </w:rPr>
        <w:t>对可接受</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投标的项目，</w:t>
      </w:r>
      <w:r>
        <w:rPr>
          <w:rFonts w:hint="eastAsia" w:ascii="宋体" w:hAnsi="宋体" w:eastAsia="宋体"/>
          <w:color w:val="auto"/>
          <w:sz w:val="21"/>
          <w:szCs w:val="21"/>
          <w:highlight w:val="none"/>
        </w:rPr>
        <w:t>分支机构</w:t>
      </w:r>
      <w:r>
        <w:rPr>
          <w:rFonts w:ascii="宋体" w:hAnsi="宋体" w:eastAsia="宋体"/>
          <w:color w:val="auto"/>
          <w:sz w:val="21"/>
          <w:szCs w:val="21"/>
          <w:highlight w:val="none"/>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49"/>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50" w:name="_Toc17879"/>
      <w:r>
        <w:rPr>
          <w:rFonts w:hint="eastAsia" w:ascii="宋体" w:hAnsi="宋体" w:eastAsia="宋体"/>
          <w:color w:val="auto"/>
          <w:highlight w:val="none"/>
        </w:rPr>
        <w:t>招标文件</w:t>
      </w:r>
      <w:bookmarkEnd w:id="50"/>
    </w:p>
    <w:p>
      <w:pPr>
        <w:pStyle w:val="7"/>
        <w:widowControl w:val="0"/>
        <w:overflowPunct w:val="0"/>
        <w:spacing w:before="0" w:after="0" w:line="240" w:lineRule="auto"/>
        <w:rPr>
          <w:rFonts w:ascii="宋体" w:hAnsi="宋体" w:eastAsia="宋体"/>
          <w:color w:val="auto"/>
          <w:sz w:val="21"/>
          <w:szCs w:val="21"/>
          <w:highlight w:val="none"/>
        </w:rPr>
      </w:pPr>
      <w:bookmarkStart w:id="51" w:name="_Toc21771"/>
      <w:r>
        <w:rPr>
          <w:rFonts w:hint="eastAsia" w:ascii="宋体" w:hAnsi="宋体" w:eastAsia="宋体"/>
          <w:color w:val="auto"/>
          <w:sz w:val="21"/>
          <w:szCs w:val="21"/>
          <w:highlight w:val="none"/>
        </w:rPr>
        <w:t>8.招标文件的组成</w:t>
      </w:r>
      <w:bookmarkEnd w:id="51"/>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（1）投标邀请书；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（2）投标资料表；</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（3）用户需求书；</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（4）投标人须知；</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（5）合同文本参考格式；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（6）投标文件参考格式；</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（7）在招标过程中由采购代理机构发出的澄清更正文件等。</w:t>
      </w:r>
    </w:p>
    <w:p>
      <w:pPr>
        <w:spacing w:after="0"/>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2" w:name="_Toc14217"/>
      <w:r>
        <w:rPr>
          <w:rFonts w:hint="eastAsia" w:ascii="宋体" w:hAnsi="宋体" w:eastAsia="宋体"/>
          <w:color w:val="auto"/>
          <w:sz w:val="21"/>
          <w:szCs w:val="21"/>
          <w:highlight w:val="none"/>
        </w:rPr>
        <w:t>9.招标文件的澄清或修改</w:t>
      </w:r>
      <w:bookmarkEnd w:id="52"/>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highlight w:val="none"/>
        </w:rPr>
        <w:t>具有约束作用</w:t>
      </w:r>
      <w:r>
        <w:rPr>
          <w:rFonts w:hint="eastAsia" w:ascii="宋体" w:hAnsi="宋体" w:eastAsia="宋体"/>
          <w:color w:val="auto"/>
          <w:sz w:val="21"/>
          <w:szCs w:val="21"/>
          <w:highlight w:val="none"/>
        </w:rPr>
        <w:t>。</w:t>
      </w:r>
      <w:r>
        <w:rPr>
          <w:rFonts w:ascii="宋体" w:hAnsi="宋体" w:eastAsia="宋体"/>
          <w:color w:val="auto"/>
          <w:sz w:val="21"/>
          <w:szCs w:val="21"/>
          <w:highlight w:val="none"/>
        </w:rPr>
        <w:t>当招标文件、招标文件的澄清</w:t>
      </w:r>
      <w:r>
        <w:rPr>
          <w:rFonts w:hint="eastAsia" w:ascii="宋体" w:hAnsi="宋体" w:eastAsia="宋体"/>
          <w:color w:val="auto"/>
          <w:sz w:val="21"/>
          <w:szCs w:val="21"/>
          <w:highlight w:val="none"/>
        </w:rPr>
        <w:t>或</w:t>
      </w:r>
      <w:r>
        <w:rPr>
          <w:rFonts w:ascii="宋体" w:hAnsi="宋体" w:eastAsia="宋体"/>
          <w:color w:val="auto"/>
          <w:sz w:val="21"/>
          <w:szCs w:val="21"/>
          <w:highlight w:val="none"/>
        </w:rPr>
        <w:t>修改等在同一内容的表述上不一致时，以最后发出的书面文件</w:t>
      </w:r>
      <w:r>
        <w:rPr>
          <w:rFonts w:hint="eastAsia" w:ascii="宋体" w:hAnsi="宋体" w:eastAsia="宋体"/>
          <w:color w:val="auto"/>
          <w:sz w:val="21"/>
          <w:szCs w:val="21"/>
          <w:highlight w:val="none"/>
        </w:rPr>
        <w:t>及公告</w:t>
      </w:r>
      <w:r>
        <w:rPr>
          <w:rFonts w:ascii="宋体" w:hAnsi="宋体" w:eastAsia="宋体"/>
          <w:color w:val="auto"/>
          <w:sz w:val="21"/>
          <w:szCs w:val="21"/>
          <w:highlight w:val="none"/>
        </w:rPr>
        <w:t>为准。</w:t>
      </w:r>
    </w:p>
    <w:p>
      <w:pPr>
        <w:widowControl w:val="0"/>
        <w:numPr>
          <w:ilvl w:val="1"/>
          <w:numId w:val="6"/>
        </w:numPr>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6"/>
        <w:numPr>
          <w:ilvl w:val="0"/>
          <w:numId w:val="5"/>
        </w:numPr>
        <w:spacing w:before="0" w:after="0" w:line="480" w:lineRule="auto"/>
        <w:jc w:val="center"/>
        <w:rPr>
          <w:rFonts w:ascii="宋体" w:hAnsi="宋体" w:eastAsia="宋体"/>
          <w:color w:val="auto"/>
          <w:highlight w:val="none"/>
        </w:rPr>
      </w:pPr>
      <w:bookmarkStart w:id="53" w:name="_Toc23726"/>
      <w:r>
        <w:rPr>
          <w:rFonts w:hint="eastAsia" w:ascii="宋体" w:hAnsi="宋体" w:eastAsia="宋体"/>
          <w:color w:val="auto"/>
          <w:highlight w:val="none"/>
        </w:rPr>
        <w:t>投标文件的编制</w:t>
      </w:r>
      <w:bookmarkEnd w:id="53"/>
    </w:p>
    <w:p>
      <w:pPr>
        <w:pStyle w:val="7"/>
        <w:widowControl w:val="0"/>
        <w:overflowPunct w:val="0"/>
        <w:spacing w:before="0" w:after="0" w:line="240" w:lineRule="auto"/>
        <w:rPr>
          <w:rFonts w:ascii="宋体" w:hAnsi="宋体" w:eastAsia="宋体"/>
          <w:color w:val="auto"/>
          <w:sz w:val="21"/>
          <w:szCs w:val="21"/>
          <w:highlight w:val="none"/>
        </w:rPr>
      </w:pPr>
      <w:bookmarkStart w:id="54" w:name="_Toc20623"/>
      <w:r>
        <w:rPr>
          <w:rFonts w:hint="eastAsia" w:ascii="宋体" w:hAnsi="宋体" w:eastAsia="宋体"/>
          <w:color w:val="auto"/>
          <w:sz w:val="21"/>
          <w:szCs w:val="21"/>
          <w:highlight w:val="none"/>
        </w:rPr>
        <w:t>10.投标文件的语言及度量衡单位</w:t>
      </w:r>
      <w:bookmarkEnd w:id="5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除非招标文件在技术规格中另有规定，投标人在投标文件中及其与采购代理机构和采购人所有往来文件中的所有</w:t>
      </w:r>
      <w:r>
        <w:rPr>
          <w:rFonts w:ascii="宋体" w:hAnsi="宋体" w:eastAsia="宋体"/>
          <w:color w:val="auto"/>
          <w:sz w:val="21"/>
          <w:szCs w:val="21"/>
          <w:highlight w:val="none"/>
        </w:rPr>
        <w:t>计量单位</w:t>
      </w:r>
      <w:r>
        <w:rPr>
          <w:rFonts w:hint="eastAsia" w:ascii="宋体" w:hAnsi="宋体" w:eastAsia="宋体"/>
          <w:color w:val="auto"/>
          <w:sz w:val="21"/>
          <w:szCs w:val="21"/>
          <w:highlight w:val="none"/>
        </w:rPr>
        <w:t>均应采用中华人民共和国法定计量单位</w:t>
      </w:r>
      <w:r>
        <w:rPr>
          <w:rFonts w:ascii="宋体" w:hAnsi="宋体" w:eastAsia="宋体"/>
          <w:color w:val="auto"/>
          <w:sz w:val="21"/>
          <w:szCs w:val="21"/>
          <w:highlight w:val="none"/>
        </w:rPr>
        <w:t>。</w:t>
      </w:r>
    </w:p>
    <w:p>
      <w:pPr>
        <w:widowControl w:val="0"/>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55" w:name="_Toc12145"/>
      <w:bookmarkStart w:id="56" w:name="_Toc303084256"/>
      <w:bookmarkStart w:id="57" w:name="_Toc28866"/>
      <w:bookmarkStart w:id="58" w:name="_Toc382049103"/>
      <w:bookmarkStart w:id="59" w:name="_Toc307934854"/>
      <w:r>
        <w:rPr>
          <w:rFonts w:hint="eastAsia" w:ascii="宋体" w:hAnsi="宋体" w:eastAsia="宋体"/>
          <w:color w:val="auto"/>
          <w:sz w:val="21"/>
          <w:szCs w:val="21"/>
          <w:highlight w:val="none"/>
        </w:rPr>
        <w:t>11.</w:t>
      </w:r>
      <w:r>
        <w:rPr>
          <w:rFonts w:ascii="宋体" w:hAnsi="宋体" w:eastAsia="宋体"/>
          <w:color w:val="auto"/>
          <w:sz w:val="21"/>
          <w:szCs w:val="21"/>
          <w:highlight w:val="none"/>
        </w:rPr>
        <w:t>投标文件的组成</w:t>
      </w:r>
      <w:bookmarkEnd w:id="55"/>
      <w:bookmarkEnd w:id="56"/>
      <w:bookmarkEnd w:id="57"/>
      <w:bookmarkEnd w:id="58"/>
      <w:bookmarkEnd w:id="59"/>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包括但不限于招标文件附件格式中要求提供的表格。</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上述文件须按顺序装订成册，并编制投标文件目录。除上述文件资料外投标人还须按投标人须知的要求制作“开标文件”。“开标文件”作为投标文件的一部分，但须单独密封。</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0" w:name="_Toc30189"/>
      <w:r>
        <w:rPr>
          <w:rFonts w:hint="eastAsia" w:ascii="宋体" w:hAnsi="宋体" w:eastAsia="宋体"/>
          <w:color w:val="auto"/>
          <w:sz w:val="21"/>
          <w:szCs w:val="21"/>
          <w:highlight w:val="none"/>
        </w:rPr>
        <w:t>12.投标文件编制</w:t>
      </w:r>
      <w:bookmarkEnd w:id="60"/>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61" w:name="_Toc303084258"/>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投标人应按招标文件的规定以及附件要求的内容和格式完整地填写</w:t>
      </w:r>
      <w:r>
        <w:rPr>
          <w:rFonts w:ascii="宋体" w:hAnsi="宋体" w:eastAsia="宋体"/>
          <w:color w:val="auto"/>
          <w:sz w:val="21"/>
          <w:szCs w:val="21"/>
          <w:highlight w:val="none"/>
        </w:rPr>
        <w:t>（表格可以按同样格式扩展）</w:t>
      </w:r>
      <w:r>
        <w:rPr>
          <w:rFonts w:hint="eastAsia" w:ascii="宋体" w:hAnsi="宋体" w:eastAsia="宋体"/>
          <w:color w:val="auto"/>
          <w:sz w:val="21"/>
          <w:szCs w:val="21"/>
          <w:highlight w:val="none"/>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因投标文件编制存在歧义对投标人产生负面影响的，投标人自行承担后果。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投标单位名称与投标人公章不一致，若投标单位名称已进行变更，应在投标文件中提供相应的证明材料并加盖公章，否则投标文件无效。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投标文件密封、标记及内容与本项目采购信息不符，导致无法分辨所投项目为本项目的，投标文件无效。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投标文件若出现以下内容，经评标委员会认定有可能间接影响评审秩序，其投标无效：</w:t>
      </w:r>
    </w:p>
    <w:p>
      <w:pPr>
        <w:pStyle w:val="33"/>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（1）投标文件内出现无官方证明文件的行业地域排名或</w:t>
      </w:r>
      <w:r>
        <w:rPr>
          <w:rFonts w:ascii="宋体" w:hAnsi="宋体" w:eastAsia="宋体"/>
          <w:color w:val="auto"/>
          <w:sz w:val="21"/>
          <w:szCs w:val="21"/>
          <w:highlight w:val="none"/>
        </w:rPr>
        <w:t>使用“国家级”、“最高级”、“最佳”等用语</w:t>
      </w:r>
      <w:r>
        <w:rPr>
          <w:rFonts w:hint="eastAsia" w:ascii="宋体" w:hAnsi="宋体" w:eastAsia="宋体"/>
          <w:color w:val="auto"/>
          <w:sz w:val="21"/>
          <w:szCs w:val="21"/>
          <w:highlight w:val="none"/>
        </w:rPr>
        <w:t>字眼的。</w:t>
      </w:r>
    </w:p>
    <w:p>
      <w:pPr>
        <w:pStyle w:val="33"/>
        <w:widowControl w:val="0"/>
        <w:adjustRightInd/>
        <w:snapToGrid/>
        <w:spacing w:after="0" w:line="360" w:lineRule="exact"/>
        <w:ind w:firstLine="0" w:firstLineChars="0"/>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（2）投标文件内出现恶意诋毁、</w:t>
      </w:r>
      <w:r>
        <w:rPr>
          <w:rFonts w:ascii="宋体" w:hAnsi="宋体" w:eastAsia="宋体"/>
          <w:color w:val="auto"/>
          <w:sz w:val="21"/>
          <w:szCs w:val="21"/>
          <w:highlight w:val="none"/>
        </w:rPr>
        <w:t>贬低其他生产经营者的商品或者服务</w:t>
      </w:r>
      <w:r>
        <w:rPr>
          <w:rFonts w:hint="eastAsia" w:ascii="宋体" w:hAnsi="宋体" w:eastAsia="宋体"/>
          <w:color w:val="auto"/>
          <w:sz w:val="21"/>
          <w:szCs w:val="21"/>
          <w:highlight w:val="none"/>
        </w:rPr>
        <w:t>的内容。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有下列情形之一的，视为投标人串通投标，其投标无效：</w:t>
      </w:r>
      <w:bookmarkEnd w:id="61"/>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（一）不同投标人的投标文件由同一单位或者个人编制；</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（二）不同投标人委托同一单位或者个人办理投标事宜；</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（三）不同投标人的投标文件载明的项目管理成员或者联系人员为同一人；</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（四）不同投标人的投标文件异常一致或者投标报价呈规律性差异；</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（五）不同投标人的投标文件相互混装；</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（六）不同投标人的投标保证金从同一单位或者个人的账户转出。</w:t>
      </w:r>
    </w:p>
    <w:p>
      <w:pPr>
        <w:widowControl w:val="0"/>
        <w:adjustRightInd/>
        <w:snapToGrid/>
        <w:spacing w:after="0" w:line="360" w:lineRule="exact"/>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2" w:name="_Toc259"/>
      <w:r>
        <w:rPr>
          <w:rFonts w:hint="eastAsia" w:ascii="宋体" w:hAnsi="宋体" w:eastAsia="宋体"/>
          <w:color w:val="auto"/>
          <w:sz w:val="21"/>
          <w:szCs w:val="21"/>
          <w:highlight w:val="none"/>
        </w:rPr>
        <w:t>13.投标报价说明</w:t>
      </w:r>
      <w:bookmarkEnd w:id="62"/>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本次招标，投标人应按用户需求中的要求进行投标报价，少报无效。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投标人所提供的货物或服务均以人民币（或相关费率）报价。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投标报价应包含完成本次招标所有服务内容的费用，包含各种税务费及合同实施过程中的全部费用和售后服务费等。</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中标后开出的所有发票必须与中标人的名称一致。</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3" w:name="_Toc27724"/>
      <w:r>
        <w:rPr>
          <w:rFonts w:hint="eastAsia" w:ascii="宋体" w:hAnsi="宋体" w:eastAsia="宋体"/>
          <w:color w:val="auto"/>
          <w:sz w:val="21"/>
          <w:szCs w:val="21"/>
          <w:highlight w:val="none"/>
        </w:rPr>
        <w:t>14.投标人所提供的服务或货物的证明文件</w:t>
      </w:r>
      <w:bookmarkEnd w:id="6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bookmarkStart w:id="64" w:name="_Hlt107925668"/>
      <w:bookmarkEnd w:id="64"/>
      <w:bookmarkStart w:id="65" w:name="_Hlt107925638"/>
      <w:bookmarkEnd w:id="65"/>
      <w:r>
        <w:rPr>
          <w:rFonts w:hint="eastAsia" w:ascii="宋体" w:hAnsi="宋体" w:eastAsia="宋体"/>
          <w:color w:val="auto"/>
          <w:sz w:val="21"/>
          <w:szCs w:val="21"/>
          <w:highlight w:val="none"/>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33"/>
        <w:widowControl w:val="0"/>
        <w:adjustRightInd/>
        <w:snapToGrid/>
        <w:spacing w:after="0" w:line="360" w:lineRule="exact"/>
        <w:ind w:left="425" w:firstLine="0" w:firstLineChars="0"/>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6" w:name="_Toc19520"/>
      <w:r>
        <w:rPr>
          <w:rFonts w:hint="eastAsia" w:ascii="宋体" w:hAnsi="宋体" w:eastAsia="宋体"/>
          <w:color w:val="auto"/>
          <w:sz w:val="21"/>
          <w:szCs w:val="21"/>
          <w:highlight w:val="none"/>
        </w:rPr>
        <w:t>15.★投标有效期</w:t>
      </w:r>
      <w:bookmarkEnd w:id="66"/>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投标文件应根据投标人须知的规定在投标截止日后的90天内保持有效。</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67" w:name="_Toc12456"/>
      <w:r>
        <w:rPr>
          <w:rFonts w:hint="eastAsia" w:ascii="宋体" w:hAnsi="宋体" w:eastAsia="宋体"/>
          <w:color w:val="auto"/>
          <w:sz w:val="21"/>
          <w:szCs w:val="21"/>
          <w:highlight w:val="none"/>
        </w:rPr>
        <w:t>16.★投标保证金</w:t>
      </w:r>
      <w:bookmarkEnd w:id="67"/>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bookmarkStart w:id="68" w:name="_Ref179619405"/>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投标人应按投标资料表中规定数额及法律规定的时间按相应包号保证金金额要求一次性提交投标保证金，以多次汇入达到招标文件要求金额的投标保证金无效。</w:t>
      </w:r>
      <w:bookmarkEnd w:id="68"/>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投标保证金金额与招标文件要求金额保持一致（详见投标资料表）。</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投标保证金有效期与投标有效期保持一致。</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投标人应一次性缴交招标文件规定数额的投标保证金，投标人与交款人名称必须一致，非投标人缴纳的投标保证金无效。</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采用银行转账、电汇方式提交的,付至采购代理机构指定账户上。 (详见投标人资料表)</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采用《政府采购投标担保函》提交的，应符合下列规定：</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①投标担保函有效期应与投标有效期一致；</w:t>
      </w:r>
    </w:p>
    <w:p>
      <w:pPr>
        <w:spacing w:after="0"/>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②投标担保金额应与本项目的投标保证金一致；</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保证金不接受现金方式（包括以存现方式）提交，未按要求提交投标保证金的将导致废标。</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未中标的投标人的保证金在采购结果公示发出后5个工作日内退还，中标投标人的保证金在采购合同签订后5个工作日内退还。</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为方便退还未中标的投保人的保证金，投标人应制作《投标保证金汇入情况说明》随开标文件一并递交。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有下列情形之一的，投标保证金将不予退还：</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（2）投标人在响应文件中提供虚假材料的；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（5）招标文件规定的其他情形。</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69" w:name="_Toc31124"/>
      <w:r>
        <w:rPr>
          <w:rFonts w:hint="eastAsia" w:ascii="宋体" w:hAnsi="宋体" w:eastAsia="宋体"/>
          <w:color w:val="auto"/>
          <w:highlight w:val="none"/>
        </w:rPr>
        <w:t>投标文件的递交</w:t>
      </w:r>
      <w:bookmarkEnd w:id="69"/>
    </w:p>
    <w:p>
      <w:pPr>
        <w:pStyle w:val="7"/>
        <w:widowControl w:val="0"/>
        <w:overflowPunct w:val="0"/>
        <w:spacing w:before="0" w:after="0" w:line="240" w:lineRule="auto"/>
        <w:rPr>
          <w:rFonts w:ascii="宋体" w:hAnsi="宋体" w:eastAsia="宋体"/>
          <w:color w:val="auto"/>
          <w:sz w:val="21"/>
          <w:szCs w:val="21"/>
          <w:highlight w:val="none"/>
        </w:rPr>
      </w:pPr>
      <w:bookmarkStart w:id="70" w:name="_Toc29590"/>
      <w:bookmarkStart w:id="71" w:name="_Toc24997"/>
      <w:bookmarkStart w:id="72" w:name="_Toc303084264"/>
      <w:bookmarkStart w:id="73" w:name="_Toc382049111"/>
      <w:r>
        <w:rPr>
          <w:rFonts w:hint="eastAsia" w:ascii="宋体" w:hAnsi="宋体" w:eastAsia="宋体"/>
          <w:color w:val="auto"/>
          <w:sz w:val="21"/>
          <w:szCs w:val="21"/>
          <w:highlight w:val="none"/>
        </w:rPr>
        <w:t>17.</w:t>
      </w:r>
      <w:r>
        <w:rPr>
          <w:rFonts w:ascii="宋体" w:hAnsi="宋体" w:eastAsia="宋体"/>
          <w:color w:val="auto"/>
          <w:sz w:val="21"/>
          <w:szCs w:val="21"/>
          <w:highlight w:val="none"/>
        </w:rPr>
        <w:t>投标文件的</w:t>
      </w:r>
      <w:r>
        <w:rPr>
          <w:rFonts w:hint="eastAsia" w:ascii="宋体" w:hAnsi="宋体" w:eastAsia="宋体"/>
          <w:color w:val="auto"/>
          <w:sz w:val="21"/>
          <w:szCs w:val="21"/>
          <w:highlight w:val="none"/>
        </w:rPr>
        <w:t>装订，签署，</w:t>
      </w:r>
      <w:r>
        <w:rPr>
          <w:rFonts w:ascii="宋体" w:hAnsi="宋体" w:eastAsia="宋体"/>
          <w:color w:val="auto"/>
          <w:sz w:val="21"/>
          <w:szCs w:val="21"/>
          <w:highlight w:val="none"/>
        </w:rPr>
        <w:t>密封和标记</w:t>
      </w:r>
      <w:bookmarkEnd w:id="70"/>
      <w:bookmarkEnd w:id="71"/>
      <w:bookmarkEnd w:id="72"/>
      <w:bookmarkEnd w:id="7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为方便评标委员会对投标文件进行评审</w:t>
      </w:r>
      <w:r>
        <w:rPr>
          <w:rFonts w:ascii="宋体" w:hAnsi="宋体" w:eastAsia="宋体"/>
          <w:color w:val="auto"/>
          <w:sz w:val="21"/>
          <w:szCs w:val="21"/>
          <w:highlight w:val="none"/>
        </w:rPr>
        <w:t>，</w:t>
      </w:r>
      <w:r>
        <w:rPr>
          <w:rFonts w:hint="eastAsia" w:ascii="宋体" w:hAnsi="宋体" w:eastAsia="宋体"/>
          <w:color w:val="auto"/>
          <w:sz w:val="21"/>
          <w:szCs w:val="21"/>
          <w:highlight w:val="none"/>
        </w:rPr>
        <w:t>建议投标人对投标文件进行装订，</w:t>
      </w:r>
      <w:r>
        <w:rPr>
          <w:rFonts w:ascii="宋体" w:hAnsi="宋体" w:eastAsia="宋体"/>
          <w:color w:val="auto"/>
          <w:sz w:val="21"/>
          <w:szCs w:val="21"/>
          <w:highlight w:val="none"/>
        </w:rPr>
        <w:t>对未经装订的投标文件可能发生的文件缺</w:t>
      </w:r>
      <w:r>
        <w:rPr>
          <w:rFonts w:hint="eastAsia" w:ascii="宋体" w:hAnsi="宋体" w:eastAsia="宋体"/>
          <w:color w:val="auto"/>
          <w:sz w:val="21"/>
          <w:szCs w:val="21"/>
          <w:highlight w:val="none"/>
        </w:rPr>
        <w:t>损</w:t>
      </w:r>
      <w:r>
        <w:rPr>
          <w:rFonts w:ascii="宋体" w:hAnsi="宋体" w:eastAsia="宋体"/>
          <w:color w:val="auto"/>
          <w:sz w:val="21"/>
          <w:szCs w:val="21"/>
          <w:highlight w:val="none"/>
        </w:rPr>
        <w:t>，由此产生的后果由投标人承担。</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正本均须用不褪色墨水书写或打印。投标文件的副本可采用投标文件的正本复印件，每套</w:t>
      </w:r>
      <w:r>
        <w:rPr>
          <w:rFonts w:ascii="宋体" w:hAnsi="宋体" w:eastAsia="宋体"/>
          <w:color w:val="auto"/>
          <w:sz w:val="21"/>
          <w:szCs w:val="21"/>
          <w:highlight w:val="none"/>
        </w:rPr>
        <w:t>投标文件</w:t>
      </w:r>
      <w:r>
        <w:rPr>
          <w:rFonts w:hint="eastAsia" w:ascii="宋体" w:hAnsi="宋体" w:eastAsia="宋体"/>
          <w:color w:val="auto"/>
          <w:sz w:val="21"/>
          <w:szCs w:val="21"/>
          <w:highlight w:val="none"/>
        </w:rPr>
        <w:t>应当标</w:t>
      </w:r>
      <w:r>
        <w:rPr>
          <w:rFonts w:ascii="宋体" w:hAnsi="宋体" w:eastAsia="宋体"/>
          <w:color w:val="auto"/>
          <w:sz w:val="21"/>
          <w:szCs w:val="21"/>
          <w:highlight w:val="none"/>
        </w:rPr>
        <w:t>明“正本”</w:t>
      </w:r>
      <w:r>
        <w:rPr>
          <w:rFonts w:hint="eastAsia" w:ascii="宋体" w:hAnsi="宋体" w:eastAsia="宋体"/>
          <w:color w:val="auto"/>
          <w:sz w:val="21"/>
          <w:szCs w:val="21"/>
          <w:highlight w:val="none"/>
        </w:rPr>
        <w:t>、</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的字样</w:t>
      </w:r>
      <w:r>
        <w:rPr>
          <w:rFonts w:ascii="宋体" w:hAnsi="宋体" w:eastAsia="宋体"/>
          <w:color w:val="auto"/>
          <w:sz w:val="21"/>
          <w:szCs w:val="21"/>
          <w:highlight w:val="none"/>
        </w:rPr>
        <w:t>。</w:t>
      </w:r>
      <w:r>
        <w:rPr>
          <w:rFonts w:hint="eastAsia" w:ascii="宋体" w:hAnsi="宋体" w:eastAsia="宋体"/>
          <w:color w:val="auto"/>
          <w:sz w:val="21"/>
          <w:szCs w:val="21"/>
          <w:highlight w:val="none"/>
        </w:rPr>
        <w:t>投标文件的【正本】及所有【副本】的封面及骑缝均须加盖投标人公章（文件每页盖章等同于盖骑缝章）。若</w:t>
      </w:r>
      <w:r>
        <w:rPr>
          <w:rFonts w:ascii="宋体" w:hAnsi="宋体" w:eastAsia="宋体"/>
          <w:color w:val="auto"/>
          <w:sz w:val="21"/>
          <w:szCs w:val="21"/>
          <w:highlight w:val="none"/>
        </w:rPr>
        <w:t>正本</w:t>
      </w:r>
      <w:r>
        <w:rPr>
          <w:rFonts w:hint="eastAsia" w:ascii="宋体" w:hAnsi="宋体" w:eastAsia="宋体"/>
          <w:color w:val="auto"/>
          <w:sz w:val="21"/>
          <w:szCs w:val="21"/>
          <w:highlight w:val="none"/>
        </w:rPr>
        <w:t>与</w:t>
      </w:r>
      <w:r>
        <w:rPr>
          <w:rFonts w:ascii="宋体" w:hAnsi="宋体" w:eastAsia="宋体"/>
          <w:color w:val="auto"/>
          <w:sz w:val="21"/>
          <w:szCs w:val="21"/>
          <w:highlight w:val="none"/>
        </w:rPr>
        <w:t>副本</w:t>
      </w:r>
      <w:r>
        <w:rPr>
          <w:rFonts w:hint="eastAsia" w:ascii="宋体" w:hAnsi="宋体" w:eastAsia="宋体"/>
          <w:color w:val="auto"/>
          <w:sz w:val="21"/>
          <w:szCs w:val="21"/>
          <w:highlight w:val="none"/>
        </w:rPr>
        <w:t>不符，以</w:t>
      </w:r>
      <w:r>
        <w:rPr>
          <w:rFonts w:ascii="宋体" w:hAnsi="宋体" w:eastAsia="宋体"/>
          <w:color w:val="auto"/>
          <w:sz w:val="21"/>
          <w:szCs w:val="21"/>
          <w:highlight w:val="none"/>
        </w:rPr>
        <w:t>正本为准。</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联合体投标文件的【正本】及【副本】的封面及骑缝均须加盖所有联合体组成成员的公章。（文件每页盖章等同于盖骑缝章）</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建议投标人将投标文件正本和所有的副本分开密封装在单独的信封中，且在信封上标明“正本”“副本”字样。然后再将所有信封封装在一个外层信封中。电子文件与正本密封包装，随正本提交。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电子文件内容包括：由投标人自行制作的与正本文件一致的所有文件。电子文件</w:t>
      </w:r>
      <w:r>
        <w:rPr>
          <w:rFonts w:hint="eastAsia" w:ascii="宋体" w:hAnsi="宋体" w:eastAsia="宋体"/>
          <w:color w:val="auto"/>
          <w:sz w:val="21"/>
          <w:szCs w:val="21"/>
          <w:highlight w:val="none"/>
        </w:rPr>
        <w:t>由</w:t>
      </w:r>
      <w:r>
        <w:rPr>
          <w:rFonts w:ascii="宋体" w:hAnsi="宋体" w:eastAsia="宋体"/>
          <w:color w:val="auto"/>
          <w:sz w:val="21"/>
          <w:szCs w:val="21"/>
          <w:highlight w:val="none"/>
        </w:rPr>
        <w:t>光盘</w:t>
      </w:r>
      <w:r>
        <w:rPr>
          <w:rFonts w:hint="eastAsia" w:ascii="宋体" w:hAnsi="宋体" w:eastAsia="宋体"/>
          <w:color w:val="auto"/>
          <w:sz w:val="21"/>
          <w:szCs w:val="21"/>
          <w:highlight w:val="none"/>
        </w:rPr>
        <w:t>或U盘</w:t>
      </w:r>
      <w:r>
        <w:rPr>
          <w:rFonts w:ascii="宋体" w:hAnsi="宋体" w:eastAsia="宋体"/>
          <w:color w:val="auto"/>
          <w:sz w:val="21"/>
          <w:szCs w:val="21"/>
          <w:highlight w:val="none"/>
        </w:rPr>
        <w:t>储存</w:t>
      </w:r>
      <w:r>
        <w:rPr>
          <w:rFonts w:hint="eastAsia" w:ascii="宋体" w:hAnsi="宋体" w:eastAsia="宋体"/>
          <w:color w:val="auto"/>
          <w:sz w:val="21"/>
          <w:szCs w:val="21"/>
          <w:highlight w:val="none"/>
        </w:rPr>
        <w:t>，并注明投标人名称及项目名称、采购项目编号，随投标文件一同密封提交。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除投标人对错误处修改外，全套投标文件应无涂改或行间插字和增删。如有修改，修改处</w:t>
      </w:r>
      <w:r>
        <w:rPr>
          <w:rFonts w:hint="eastAsia" w:ascii="宋体" w:hAnsi="宋体" w:eastAsia="宋体"/>
          <w:color w:val="auto"/>
          <w:sz w:val="21"/>
          <w:szCs w:val="21"/>
          <w:highlight w:val="none"/>
        </w:rPr>
        <w:t>须由法定代表人或其正式授权代表在旁边签字及盖章</w:t>
      </w:r>
      <w:r>
        <w:rPr>
          <w:rFonts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所有的信封均应注明： </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收件人：广东政通招标有限公司</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投标单位名称：</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p>
      <w:pPr>
        <w:widowControl w:val="0"/>
        <w:numPr>
          <w:ilvl w:val="0"/>
          <w:numId w:val="7"/>
        </w:numPr>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采购代理机构将拒绝接收出现以下情况的投标文件：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采用透明包装进行密封或未进行密封的投标文件；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密封破损导致投标文件内容直接或间接泄露的投标文件；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密封信封上项目编号错误的投标文件；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未在规定时间内领购文件的投标人的投标文件；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项目名称出现严重歧义或未标注所投项目信息导致无法分辨所投项目为本项目的投标文件；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采用传真、电传的投标文件；</w:t>
      </w:r>
    </w:p>
    <w:p>
      <w:pPr>
        <w:widowControl w:val="0"/>
        <w:numPr>
          <w:ilvl w:val="0"/>
          <w:numId w:val="8"/>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招标文件规定的其他情形。</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采购代理机构对所有投标文件的误投或提前启封概不负责。</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投标人同时参加几个包投标时必须按招标文件要求按包号分别制作投标文件，分别密封递交。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递交的投标文件中所提供的通讯方式应保持联络畅通，因联系不上而导致的所有后果由投标人自行承担。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4" w:name="_Toc8628"/>
      <w:r>
        <w:rPr>
          <w:rFonts w:hint="eastAsia" w:ascii="宋体" w:hAnsi="宋体" w:eastAsia="宋体"/>
          <w:color w:val="auto"/>
          <w:sz w:val="21"/>
          <w:szCs w:val="21"/>
          <w:highlight w:val="none"/>
        </w:rPr>
        <w:t>18.迟交的投标文件</w:t>
      </w:r>
      <w:bookmarkEnd w:id="7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投标人在投标截止时间之后提交的投标文件，采购代理机构将拒绝接收</w:t>
      </w:r>
      <w:r>
        <w:rPr>
          <w:rFonts w:ascii="宋体" w:hAnsi="宋体" w:eastAsia="宋体"/>
          <w:color w:val="auto"/>
          <w:sz w:val="21"/>
          <w:szCs w:val="21"/>
          <w:highlight w:val="none"/>
        </w:rPr>
        <w:t>。</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有违反其他法律规定情形的，采购代理机构将拒绝接收。</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5" w:name="_Toc13212"/>
      <w:r>
        <w:rPr>
          <w:rFonts w:hint="eastAsia" w:ascii="宋体" w:hAnsi="宋体" w:eastAsia="宋体"/>
          <w:color w:val="auto"/>
          <w:sz w:val="21"/>
          <w:szCs w:val="21"/>
          <w:highlight w:val="none"/>
        </w:rPr>
        <w:t>19.投标样品（如需提交）</w:t>
      </w:r>
      <w:bookmarkEnd w:id="75"/>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如有必要，采购代理机构可以要求投标人提供本服务项目涉及的部分设备或产品样品，投标人在投标时应提交《样品清单》。</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为方便评标，投标人在提供样品时，应在所提供的样品表面显著位置标注投标人的名称、包号、样品名称、招标文件规定的服务或货物编号。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76" w:name="_Toc5900"/>
      <w:bookmarkStart w:id="77" w:name="_Toc382049112"/>
      <w:bookmarkStart w:id="78" w:name="_Toc9777"/>
      <w:bookmarkStart w:id="79" w:name="_Toc303084265"/>
      <w:r>
        <w:rPr>
          <w:rFonts w:hint="eastAsia" w:ascii="宋体" w:hAnsi="宋体" w:eastAsia="宋体"/>
          <w:color w:val="auto"/>
          <w:sz w:val="21"/>
          <w:szCs w:val="21"/>
          <w:highlight w:val="none"/>
        </w:rPr>
        <w:t>20.投标截止期</w:t>
      </w:r>
      <w:bookmarkEnd w:id="76"/>
      <w:bookmarkEnd w:id="77"/>
      <w:bookmarkEnd w:id="78"/>
      <w:bookmarkEnd w:id="79"/>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投标人应在招标文件规定的截止日期和时间内，将投标文件送达到指定地点。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可按本须知规定以</w:t>
      </w:r>
      <w:r>
        <w:rPr>
          <w:rFonts w:hint="eastAsia" w:ascii="宋体" w:hAnsi="宋体" w:eastAsia="宋体"/>
          <w:color w:val="auto"/>
          <w:sz w:val="21"/>
          <w:szCs w:val="21"/>
          <w:highlight w:val="none"/>
        </w:rPr>
        <w:t>澄清或</w:t>
      </w:r>
      <w:r>
        <w:rPr>
          <w:rFonts w:ascii="宋体" w:hAnsi="宋体" w:eastAsia="宋体"/>
          <w:color w:val="auto"/>
          <w:sz w:val="21"/>
          <w:szCs w:val="21"/>
          <w:highlight w:val="none"/>
        </w:rPr>
        <w:t>修改通知的方式，酌情延长</w:t>
      </w:r>
      <w:r>
        <w:rPr>
          <w:rFonts w:hint="eastAsia" w:ascii="宋体" w:hAnsi="宋体" w:eastAsia="宋体"/>
          <w:color w:val="auto"/>
          <w:sz w:val="21"/>
          <w:szCs w:val="21"/>
          <w:highlight w:val="none"/>
        </w:rPr>
        <w:t>递</w:t>
      </w:r>
      <w:r>
        <w:rPr>
          <w:rFonts w:ascii="宋体" w:hAnsi="宋体" w:eastAsia="宋体"/>
          <w:color w:val="auto"/>
          <w:sz w:val="21"/>
          <w:szCs w:val="21"/>
          <w:highlight w:val="none"/>
        </w:rPr>
        <w:t>交投标文件的截止时间。在此情况下，投标人的所有权利和义务以及投标人受制约的截止时间，均以延长后新的投标截止时间为准。</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0" w:name="_Toc6003"/>
      <w:r>
        <w:rPr>
          <w:rFonts w:hint="eastAsia" w:ascii="宋体" w:hAnsi="宋体" w:eastAsia="宋体"/>
          <w:color w:val="auto"/>
          <w:sz w:val="21"/>
          <w:szCs w:val="21"/>
          <w:highlight w:val="none"/>
        </w:rPr>
        <w:t>21.投标文件的补充、修改与撤回</w:t>
      </w:r>
      <w:bookmarkEnd w:id="80"/>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投标文件一经递交不予退还。</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在提交投标文件截止时间至投标有效期满之前，投标人不得撤回其投标，否则其投标保证金将不予退还。</w:t>
      </w:r>
    </w:p>
    <w:p>
      <w:pPr>
        <w:pStyle w:val="2"/>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81" w:name="_Toc29574"/>
      <w:r>
        <w:rPr>
          <w:rFonts w:hint="eastAsia" w:ascii="宋体" w:hAnsi="宋体" w:eastAsia="宋体"/>
          <w:color w:val="auto"/>
          <w:highlight w:val="none"/>
        </w:rPr>
        <w:t>开标与评标</w:t>
      </w:r>
      <w:bookmarkEnd w:id="81"/>
    </w:p>
    <w:p>
      <w:pPr>
        <w:pStyle w:val="7"/>
        <w:widowControl w:val="0"/>
        <w:overflowPunct w:val="0"/>
        <w:spacing w:before="0" w:after="0" w:line="240" w:lineRule="auto"/>
        <w:rPr>
          <w:rFonts w:ascii="宋体" w:hAnsi="宋体" w:eastAsia="宋体"/>
          <w:color w:val="auto"/>
          <w:sz w:val="21"/>
          <w:szCs w:val="21"/>
          <w:highlight w:val="none"/>
        </w:rPr>
      </w:pPr>
      <w:bookmarkStart w:id="82" w:name="_Toc28458"/>
      <w:r>
        <w:rPr>
          <w:rFonts w:hint="eastAsia" w:ascii="宋体" w:hAnsi="宋体" w:eastAsia="宋体"/>
          <w:color w:val="auto"/>
          <w:sz w:val="21"/>
          <w:szCs w:val="21"/>
          <w:highlight w:val="none"/>
        </w:rPr>
        <w:t>22.开标</w:t>
      </w:r>
      <w:bookmarkEnd w:id="82"/>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采购代理机构按</w:t>
      </w:r>
      <w:r>
        <w:rPr>
          <w:rFonts w:ascii="宋体" w:hAnsi="宋体" w:eastAsia="宋体"/>
          <w:color w:val="auto"/>
          <w:sz w:val="21"/>
          <w:szCs w:val="21"/>
          <w:highlight w:val="none"/>
        </w:rPr>
        <w:t>本</w:t>
      </w:r>
      <w:r>
        <w:rPr>
          <w:rFonts w:hint="eastAsia" w:ascii="宋体" w:hAnsi="宋体" w:eastAsia="宋体"/>
          <w:color w:val="auto"/>
          <w:sz w:val="21"/>
          <w:szCs w:val="21"/>
          <w:highlight w:val="none"/>
        </w:rPr>
        <w:t>招标文件</w:t>
      </w:r>
      <w:r>
        <w:rPr>
          <w:rFonts w:ascii="宋体" w:hAnsi="宋体" w:eastAsia="宋体"/>
          <w:color w:val="auto"/>
          <w:sz w:val="21"/>
          <w:szCs w:val="21"/>
          <w:highlight w:val="none"/>
        </w:rPr>
        <w:t>所规定的时间和地点公开开标，并邀请所有投标人</w:t>
      </w:r>
      <w:r>
        <w:rPr>
          <w:rFonts w:hint="eastAsia" w:ascii="宋体" w:hAnsi="宋体" w:eastAsia="宋体"/>
          <w:color w:val="auto"/>
          <w:sz w:val="21"/>
          <w:szCs w:val="21"/>
          <w:highlight w:val="none"/>
        </w:rPr>
        <w:t>代表</w:t>
      </w:r>
      <w:r>
        <w:rPr>
          <w:rFonts w:ascii="宋体" w:hAnsi="宋体" w:eastAsia="宋体"/>
          <w:color w:val="auto"/>
          <w:sz w:val="21"/>
          <w:szCs w:val="21"/>
          <w:highlight w:val="none"/>
        </w:rPr>
        <w:t>参加。</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开标程序：</w:t>
      </w:r>
    </w:p>
    <w:p>
      <w:pPr>
        <w:widowControl w:val="0"/>
        <w:numPr>
          <w:ilvl w:val="2"/>
          <w:numId w:val="6"/>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开标</w:t>
      </w:r>
      <w:r>
        <w:rPr>
          <w:rFonts w:hint="eastAsia" w:ascii="宋体" w:hAnsi="宋体" w:eastAsia="宋体"/>
          <w:color w:val="auto"/>
          <w:sz w:val="21"/>
          <w:szCs w:val="21"/>
          <w:highlight w:val="none"/>
        </w:rPr>
        <w:t>会</w:t>
      </w:r>
      <w:r>
        <w:rPr>
          <w:rFonts w:ascii="宋体" w:hAnsi="宋体" w:eastAsia="宋体"/>
          <w:color w:val="auto"/>
          <w:sz w:val="21"/>
          <w:szCs w:val="21"/>
          <w:highlight w:val="none"/>
        </w:rPr>
        <w:t>由</w:t>
      </w:r>
      <w:r>
        <w:rPr>
          <w:rFonts w:hint="eastAsia" w:ascii="宋体" w:hAnsi="宋体" w:eastAsia="宋体"/>
          <w:color w:val="auto"/>
          <w:sz w:val="21"/>
          <w:szCs w:val="21"/>
          <w:highlight w:val="none"/>
        </w:rPr>
        <w:t>采购代理机构</w:t>
      </w:r>
      <w:r>
        <w:rPr>
          <w:rFonts w:ascii="宋体" w:hAnsi="宋体" w:eastAsia="宋体"/>
          <w:color w:val="auto"/>
          <w:sz w:val="21"/>
          <w:szCs w:val="21"/>
          <w:highlight w:val="none"/>
        </w:rPr>
        <w:t>主持</w:t>
      </w:r>
      <w:r>
        <w:rPr>
          <w:rFonts w:hint="eastAsia" w:ascii="宋体" w:hAnsi="宋体" w:eastAsia="宋体"/>
          <w:color w:val="auto"/>
          <w:sz w:val="21"/>
          <w:szCs w:val="21"/>
          <w:highlight w:val="none"/>
        </w:rPr>
        <w:t>，投标人的法定代表人或其授权代表携带有效身份证明准时参加开标会并签名报到。</w:t>
      </w:r>
    </w:p>
    <w:p>
      <w:pPr>
        <w:widowControl w:val="0"/>
        <w:numPr>
          <w:ilvl w:val="2"/>
          <w:numId w:val="6"/>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2"/>
          <w:numId w:val="6"/>
        </w:numPr>
        <w:tabs>
          <w:tab w:val="left" w:pos="567"/>
          <w:tab w:val="clear" w:pos="794"/>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投标人未参加开标的，视同认可开标结果。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合格投标人不足3家的，不得开标；</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3" w:name="_Toc5524"/>
      <w:r>
        <w:rPr>
          <w:rFonts w:hint="eastAsia" w:ascii="宋体" w:hAnsi="宋体" w:eastAsia="宋体"/>
          <w:color w:val="auto"/>
          <w:sz w:val="21"/>
          <w:szCs w:val="21"/>
          <w:highlight w:val="none"/>
        </w:rPr>
        <w:t>23.评标委员会及评标方法</w:t>
      </w:r>
      <w:bookmarkEnd w:id="83"/>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评标委员会根据招标项目的特点进行组建，并负责评标工作。</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评审方法：本次招标的评审方法采用综合评分法。</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定标原则：在最大限度</w:t>
      </w:r>
      <w:r>
        <w:rPr>
          <w:rFonts w:ascii="宋体" w:hAnsi="宋体" w:eastAsia="宋体"/>
          <w:color w:val="auto"/>
          <w:sz w:val="21"/>
          <w:szCs w:val="21"/>
          <w:highlight w:val="none"/>
        </w:rPr>
        <w:t>满足招标文件</w:t>
      </w:r>
      <w:r>
        <w:rPr>
          <w:rFonts w:hint="eastAsia" w:ascii="宋体" w:hAnsi="宋体" w:eastAsia="宋体"/>
          <w:color w:val="auto"/>
          <w:sz w:val="21"/>
          <w:szCs w:val="21"/>
          <w:highlight w:val="none"/>
        </w:rPr>
        <w:t>实质性要求前提下，按照招标文件规定的各项评价因素进行量化打分，以评标总得分最高的投标人作为中标候选人或中标人。</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通过资格性和符合性审查的有效供应商方有资格提交最终报价及进入综合评审。磋商文件中要求供应商提供的相关资质证书证明材料因国家政策变动导致新旧证书名称不一致，旧证书未取消且新旧证书具有同等效力的，供应商提供新证书与提供在有效期内的旧证书给予同等认可。</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4" w:name="_Toc15231"/>
      <w:r>
        <w:rPr>
          <w:rFonts w:hint="eastAsia" w:ascii="宋体" w:hAnsi="宋体" w:eastAsia="宋体"/>
          <w:color w:val="auto"/>
          <w:sz w:val="21"/>
          <w:szCs w:val="21"/>
          <w:highlight w:val="none"/>
        </w:rPr>
        <w:t>24.评审原则及评标过程的保密</w:t>
      </w:r>
      <w:bookmarkEnd w:id="84"/>
    </w:p>
    <w:p>
      <w:pPr>
        <w:pStyle w:val="33"/>
        <w:widowControl w:val="0"/>
        <w:numPr>
          <w:ilvl w:val="0"/>
          <w:numId w:val="6"/>
        </w:numPr>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评审的基本原则：评标委员会将依据《中华人民共和国政府采购法》及国家和地方政府有关法规的规定，遵循“客观、公正、审慎”的原则进行评审工作。</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从公开开标到签订合同，凡与审查、澄清、评审和投标有关的资料以及定标意见相关的事项，均不得向投标人及与评标无关的其他人透露。</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任何单位和个人不得非法干预、影响评标的过程和结果。</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5" w:name="_Toc3762"/>
      <w:r>
        <w:rPr>
          <w:rFonts w:hint="eastAsia" w:ascii="宋体" w:hAnsi="宋体" w:eastAsia="宋体"/>
          <w:color w:val="auto"/>
          <w:sz w:val="21"/>
          <w:szCs w:val="21"/>
          <w:highlight w:val="none"/>
        </w:rPr>
        <w:t>25.投标文件的初审</w:t>
      </w:r>
      <w:bookmarkEnd w:id="85"/>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color w:val="auto"/>
          <w:sz w:val="21"/>
          <w:szCs w:val="21"/>
          <w:highlight w:val="none"/>
        </w:rPr>
        <w:t>开标结束后，采购人或者采购代理机构将依法对投标人的资格进行审查。资格审查时，投标人存在不符合资格性检查所要求事项情况的，投标无效。未通过资格审查的投标人不进入符合性审查的评审，</w:t>
      </w:r>
      <w:r>
        <w:rPr>
          <w:rFonts w:hint="eastAsia" w:ascii="宋体" w:hAnsi="宋体" w:eastAsia="宋体"/>
          <w:b/>
          <w:color w:val="auto"/>
          <w:sz w:val="21"/>
          <w:szCs w:val="21"/>
          <w:highlight w:val="none"/>
        </w:rPr>
        <w:t>资格性检查中发现下列情形之一的，其投标作无效处理：</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1) 资格瑕疵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资格证明文件未提供或不符合招标文件要求的；②资格证明文件有效期过期的；③《营业执照》复印件（加盖公章）或《事业单位法人证书》复印件（加盖公章）或其他主体证书复印件（加盖公章）未提供或有效期过期的；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包括但不限于：①投标人未按招标文件要求提交投标保证金；②提交方式、提交时间、提交金额不符合招标文件要求；③投标保证金有效期不符合招标文件要求。</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将对符合资格的投标人的投标文件进行符合性审查，以确定其是否满足招标文件的实质性要求。投标人不得通过修正或撤消不合要求的偏离或保留从而使其投标成为实质上响应的投标。符合性审查过程中，</w:t>
      </w:r>
      <w:r>
        <w:rPr>
          <w:rFonts w:hint="eastAsia" w:ascii="宋体" w:hAnsi="宋体" w:eastAsia="宋体"/>
          <w:b/>
          <w:color w:val="auto"/>
          <w:sz w:val="21"/>
          <w:szCs w:val="21"/>
          <w:highlight w:val="none"/>
        </w:rPr>
        <w:t>发现下列情况之一的，其投标将作无效处理</w:t>
      </w:r>
      <w:r>
        <w:rPr>
          <w:rFonts w:hint="eastAsia" w:ascii="宋体" w:hAnsi="宋体" w:eastAsia="宋体"/>
          <w:color w:val="auto"/>
          <w:sz w:val="21"/>
          <w:szCs w:val="21"/>
          <w:highlight w:val="none"/>
        </w:rPr>
        <w:t>：</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的数量、制作不符合要求、投标文件内容与采购内容不符的（包括但不限于投标文件项目采购项目编号错误，投标文件项目名称错误导致无法分辨所投项目为本项目，投标文件数量少于招标文件要求的）；②投标文件中要求签字的内容无法定代表人或其授权代表签字，或签字人无法定代表人有效授权的；③签字盖章不符合招标文件要求的；④投标文件内容有严重缺漏项的；⑤投标文件的关键内容字迹模糊、无法辨认的；⑥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投标方案不唯一；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⑤投标文件附有采购人不能接受的条件的；⑥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包括但不限于：①投标报价超过本招标文件明确的项目预算或文件明确的最高限价；②未按招标文件要求进行报价的；③报价内容或报价格式不符合招标文件要求的；④投标报价有严重缺漏项的。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5）违规行为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包括但不限于：①以他人的名义投标、串通投标、以行贿手段谋取中标或者以其他弄虚作假方式投标的；②扰乱开标、评标秩序，干扰招标工作正常进行的。③存在经评标委员会认定的其他违规违法行为。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6)法律法规及招标文件中规定的其它情形。</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6"/>
        </w:numPr>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对于投标文件中不构成实质性偏差的不正规、不一致或不规则，评标委员会可以接受，但这种接受不能损害或影响任何投标人的相对排序。</w:t>
      </w:r>
    </w:p>
    <w:p>
      <w:pPr>
        <w:widowControl w:val="0"/>
        <w:numPr>
          <w:ilvl w:val="1"/>
          <w:numId w:val="6"/>
        </w:numPr>
        <w:adjustRightInd/>
        <w:snapToGrid/>
        <w:spacing w:after="0" w:line="360" w:lineRule="exact"/>
        <w:jc w:val="both"/>
        <w:rPr>
          <w:color w:val="auto"/>
          <w:highlight w:val="none"/>
        </w:rPr>
      </w:pPr>
      <w:r>
        <w:rPr>
          <w:rFonts w:hint="eastAsia" w:ascii="宋体" w:hAnsi="宋体" w:eastAsia="宋体"/>
          <w:color w:val="auto"/>
          <w:sz w:val="21"/>
          <w:szCs w:val="21"/>
          <w:highlight w:val="none"/>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6" w:name="_Toc21742"/>
      <w:r>
        <w:rPr>
          <w:rFonts w:hint="eastAsia" w:ascii="宋体" w:hAnsi="宋体" w:eastAsia="宋体"/>
          <w:color w:val="auto"/>
          <w:sz w:val="21"/>
          <w:szCs w:val="21"/>
          <w:highlight w:val="none"/>
        </w:rPr>
        <w:t>26.商务、技术、价格评审（具体评审项目详见投标资料表）</w:t>
      </w:r>
      <w:bookmarkEnd w:id="86"/>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ascii="宋体" w:hAnsi="宋体" w:eastAsia="宋体"/>
          <w:color w:val="auto"/>
          <w:sz w:val="21"/>
          <w:szCs w:val="21"/>
          <w:highlight w:val="none"/>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highlight w:val="none"/>
        </w:rPr>
        <w:t xml:space="preserve">。 </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投标文件报价出现前后不一致的，评标委员会按照下列规定修正：</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投标文件中开标一览表（报价表）内容与投标文件中相应内容不一致的，以开标一览表（报价表）为准；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大写金额和小写金额不一致的，以大写金额为准；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单价金额小数点或者百分比有明显错位的，以开标一览表的总价为准，并修改单价；</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总价金额与按单价汇总金额不一致的，以单价金额计算结果为准。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同时出现两种以上不一致的，按照前款规定的顺序修正。修正后的报价按照经投标人确认后产生约束力，投标人不确认的，其投标无效。</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使用综合评分法的采购项目，核心产品提供相同品牌产品且通过资格审查、符合性审查的不同投标人参加同一合同项下投标的，按一家投标人计算，评审后得分最高的同品牌投标人获得中标人推荐资格。</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核心产品提供相同品牌产品且通过资格审查、符合性审查的不同投标人参加同一合同项下投标且评审得分相同的，按照评审因素的技术评审得分最高的投标人为排名第一的中标候选人，其他同品牌投标人不作为中标候选人。</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7" w:name="_Toc22192"/>
      <w:r>
        <w:rPr>
          <w:rFonts w:hint="eastAsia" w:ascii="宋体" w:hAnsi="宋体" w:eastAsia="宋体"/>
          <w:color w:val="auto"/>
          <w:sz w:val="21"/>
          <w:szCs w:val="21"/>
          <w:highlight w:val="none"/>
        </w:rPr>
        <w:t>27.优惠政策</w:t>
      </w:r>
      <w:bookmarkEnd w:id="87"/>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财政部、工业和信息化部制定了《政府采购促进中小企业发展管理办法》（财库〔2020〕46号）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投标人为小型或微型企业且投标产品含小型或微型企业产品时，其对应产品价格的扣除详见投标资料表。</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在货物采购项目中，供应商提供的货物既有中小企业制造货物，也有大型企业制造货物的，不享受“财政部 工业和信息化部关于印发《政府采购促进中小企业发展管理办法》的通知（财库〔2020〕46号）”规定的中小企业扶持政策。</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投标人同时为小型、微型企业、监狱企业、残疾人福利性单位任两种或以上情况的，评审中只享受一次价格扣除，不重复进行价格扣除。</w:t>
      </w:r>
    </w:p>
    <w:p>
      <w:pPr>
        <w:widowControl w:val="0"/>
        <w:numPr>
          <w:ilvl w:val="1"/>
          <w:numId w:val="6"/>
        </w:numPr>
        <w:tabs>
          <w:tab w:val="left" w:pos="907"/>
        </w:tabs>
        <w:adjustRightInd/>
        <w:snapToGrid/>
        <w:spacing w:after="0" w:line="360" w:lineRule="exact"/>
        <w:jc w:val="both"/>
        <w:rPr>
          <w:rFonts w:ascii="宋体" w:hAnsi="宋体" w:eastAsia="宋体"/>
          <w:b/>
          <w:bCs/>
          <w:color w:val="auto"/>
          <w:sz w:val="21"/>
          <w:szCs w:val="21"/>
          <w:highlight w:val="none"/>
          <w:u w:val="single"/>
        </w:rPr>
      </w:pPr>
      <w:r>
        <w:rPr>
          <w:rFonts w:hint="eastAsia" w:ascii="宋体" w:hAnsi="宋体" w:eastAsia="宋体"/>
          <w:b/>
          <w:bCs/>
          <w:color w:val="auto"/>
          <w:sz w:val="21"/>
          <w:szCs w:val="21"/>
          <w:highlight w:val="none"/>
          <w:u w:val="single"/>
        </w:rPr>
        <w:t>中标、成交供应商享受本办法（财库〔2020〕46号）规定的中小企业扶持政策的，采购代理机构将随中标、成交结果公开中标、成交供应商的《中小企业声明函》。各供应商不得提供虚假声明，提供虚假声明取消中标、成交资格，并追究其法律责任。</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（5）提供本单位制造的货物、承担的工程或者服务（以下简称产品），或者提供其他残疾人福利性单位制造的货物（不包括使用非残疾人福利性单位注册商标的货物）。</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根据《关于调整优化节能产品、环境标志产品政府采购执行机制的通知》（财库〔2019〕9号）及《转发财政部 发展改革委 生态环境部 市场监管总局关于调整优化节能产品 环境标志产品政府采购执行机制的通知》（粤财采购函〔2019〕1号）的规定，对提供节能产品或环境标志产品的投标单位的价格给予一定比例扣除（扣除比例详见投标资料表）。</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提供节能产品或环境标志产品的投标人其产品应符合以下规定：</w:t>
      </w:r>
    </w:p>
    <w:p>
      <w:pPr>
        <w:widowControl w:val="0"/>
        <w:numPr>
          <w:ilvl w:val="0"/>
          <w:numId w:val="9"/>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9"/>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所投节能产品或环境标志产品其认证证书的认证机构应属于《市场监管总局关于发布参与实施政府采购节能产品、环境标志产品认证机构名录的公告（2019年第16号）》公告中所公示的认证机构，若投标人所提供的产品认证证书其认证机构不属于以上公示中的机构，则视为无效认证，不给予价格扣除优惠。</w:t>
      </w:r>
    </w:p>
    <w:p>
      <w:pPr>
        <w:widowControl w:val="0"/>
        <w:numPr>
          <w:ilvl w:val="0"/>
          <w:numId w:val="9"/>
        </w:numPr>
        <w:tabs>
          <w:tab w:val="left" w:pos="907"/>
        </w:tabs>
        <w:adjustRightInd/>
        <w:snapToGrid/>
        <w:spacing w:after="0" w:line="360" w:lineRule="exact"/>
        <w:ind w:left="567"/>
        <w:jc w:val="both"/>
        <w:rPr>
          <w:rFonts w:ascii="宋体" w:hAnsi="宋体" w:eastAsia="宋体"/>
          <w:color w:val="auto"/>
          <w:sz w:val="21"/>
          <w:szCs w:val="21"/>
          <w:highlight w:val="none"/>
        </w:rPr>
      </w:pPr>
      <w:r>
        <w:rPr>
          <w:rFonts w:hint="eastAsia" w:ascii="宋体" w:hAnsi="宋体" w:eastAsia="宋体"/>
          <w:color w:val="auto"/>
          <w:sz w:val="21"/>
          <w:szCs w:val="21"/>
          <w:highlight w:val="none"/>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88" w:name="_Toc316375620"/>
      <w:bookmarkStart w:id="89" w:name="_Toc20328"/>
      <w:bookmarkStart w:id="90" w:name="_Toc382049120"/>
      <w:bookmarkStart w:id="91" w:name="_Toc22591"/>
      <w:r>
        <w:rPr>
          <w:rFonts w:hint="eastAsia" w:ascii="宋体" w:hAnsi="宋体" w:eastAsia="宋体"/>
          <w:color w:val="auto"/>
          <w:sz w:val="21"/>
          <w:szCs w:val="21"/>
          <w:highlight w:val="none"/>
        </w:rPr>
        <w:t>28.纪律和</w:t>
      </w:r>
      <w:r>
        <w:rPr>
          <w:rFonts w:ascii="宋体" w:hAnsi="宋体" w:eastAsia="宋体"/>
          <w:color w:val="auto"/>
          <w:sz w:val="21"/>
          <w:szCs w:val="21"/>
          <w:highlight w:val="none"/>
        </w:rPr>
        <w:t>保密</w:t>
      </w:r>
      <w:bookmarkEnd w:id="88"/>
      <w:r>
        <w:rPr>
          <w:rFonts w:hint="eastAsia" w:ascii="宋体" w:hAnsi="宋体" w:eastAsia="宋体"/>
          <w:color w:val="auto"/>
          <w:sz w:val="21"/>
          <w:szCs w:val="21"/>
          <w:highlight w:val="none"/>
        </w:rPr>
        <w:t>事项</w:t>
      </w:r>
      <w:bookmarkEnd w:id="89"/>
      <w:bookmarkEnd w:id="90"/>
      <w:bookmarkEnd w:id="91"/>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投标人不得串通作弊，以不正当的手段妨碍、排挤其他投标人，扰乱招标市场，破坏公平竞争原则。否则将按相关法律规定严肃处理。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获得本招标文件的投标人，应对文件进行保密，不得用作本次投标以外的任何用途。开标后，投标人应归还招标文件中要求保密的文件和资料。</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92" w:name="_Toc29310"/>
      <w:r>
        <w:rPr>
          <w:rFonts w:hint="eastAsia" w:ascii="宋体" w:hAnsi="宋体" w:eastAsia="宋体"/>
          <w:color w:val="auto"/>
          <w:highlight w:val="none"/>
        </w:rPr>
        <w:t>授予合同</w:t>
      </w:r>
      <w:bookmarkEnd w:id="92"/>
    </w:p>
    <w:p>
      <w:pPr>
        <w:pStyle w:val="7"/>
        <w:widowControl w:val="0"/>
        <w:overflowPunct w:val="0"/>
        <w:spacing w:before="0" w:after="0" w:line="240" w:lineRule="auto"/>
        <w:rPr>
          <w:rFonts w:ascii="宋体" w:hAnsi="宋体" w:eastAsia="宋体"/>
          <w:color w:val="auto"/>
          <w:sz w:val="21"/>
          <w:szCs w:val="21"/>
          <w:highlight w:val="none"/>
        </w:rPr>
      </w:pPr>
      <w:bookmarkStart w:id="93" w:name="_Toc27817"/>
      <w:bookmarkStart w:id="94" w:name="_Toc508284011"/>
      <w:r>
        <w:rPr>
          <w:rFonts w:hint="eastAsia" w:ascii="宋体" w:hAnsi="宋体" w:eastAsia="宋体"/>
          <w:color w:val="auto"/>
          <w:sz w:val="21"/>
          <w:szCs w:val="21"/>
          <w:highlight w:val="none"/>
        </w:rPr>
        <w:t>29.</w:t>
      </w:r>
      <w:r>
        <w:rPr>
          <w:rFonts w:ascii="宋体" w:hAnsi="宋体" w:eastAsia="宋体"/>
          <w:color w:val="auto"/>
          <w:sz w:val="21"/>
          <w:szCs w:val="21"/>
          <w:highlight w:val="none"/>
        </w:rPr>
        <w:t>合同授予标准</w:t>
      </w:r>
      <w:bookmarkEnd w:id="93"/>
      <w:bookmarkEnd w:id="94"/>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根据评标委员会的评审结果，采购人按照评审报告推荐的中标候选人中按顺序依法确定中标人</w:t>
      </w:r>
      <w:r>
        <w:rPr>
          <w:rFonts w:ascii="宋体" w:hAnsi="宋体" w:eastAsia="宋体"/>
          <w:color w:val="auto"/>
          <w:sz w:val="21"/>
          <w:szCs w:val="21"/>
          <w:highlight w:val="none"/>
        </w:rPr>
        <w:t>。</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5" w:name="_Toc29283"/>
      <w:bookmarkStart w:id="96" w:name="_Toc508284013"/>
      <w:r>
        <w:rPr>
          <w:rFonts w:hint="eastAsia" w:ascii="宋体" w:hAnsi="宋体" w:eastAsia="宋体"/>
          <w:color w:val="auto"/>
          <w:sz w:val="21"/>
          <w:szCs w:val="21"/>
          <w:highlight w:val="none"/>
        </w:rPr>
        <w:t>30.发布采购结果</w:t>
      </w:r>
      <w:bookmarkEnd w:id="95"/>
      <w:bookmarkEnd w:id="96"/>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评标委员会提出评标书面报告和推荐中标意见报采购人确认后，采购代理机构将在指定的信息发布媒体上发布公告。</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中标公告期限为1个工作日。</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结果公示发布后，中标单位应及时领取中标通知书。《中标通知书》是合同的一个组成部分，《中标通知书》对采购人和中标人均具有同等法律效力。</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中标人无正当理由不得放弃中标，因中标人放弃中标而对采购人造成的损失由放弃中标的中标人承担。</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中标人为残疾人福利性单位的，采购人或者其委托的采购代理机构应当随中标、成交结果同时公告其《残疾人福利性单位声明函》，接受社会监督。</w:t>
      </w:r>
    </w:p>
    <w:p>
      <w:pPr>
        <w:widowControl w:val="0"/>
        <w:numPr>
          <w:ilvl w:val="1"/>
          <w:numId w:val="6"/>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原件核查</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采购结果发布后，采购代理机构或采购人有权对中标单位进行原件核查，中标单位应在五个工作日内把相关原件递交至采购代理机构办公地址或采购人指定地址进行核查。</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中标单位有下列情形之一的，取消中标资格：</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在规定时间内递交的原件数量、内容与采购人、采购代理机构要求不一致的；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10"/>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采购结果发布后，采购代理机构或采购人有权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投标人有下列情形之一的，投标文件作无效处理，其投标无效：</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拒绝采购人或采购代理机构原件核查要求的；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未在规定时间内将原件递交到到采购代理机构办公地址或采购人指定地址进行核查的；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在规定时间内递交的原件数量、内容不符合采购人、采购代理机构要求的；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因原件续期、更改等原因不能按时递交原件且未能在规定时间内提供相应部门开具的变更、续期等证明的；</w:t>
      </w:r>
    </w:p>
    <w:p>
      <w:pPr>
        <w:widowControl w:val="0"/>
        <w:numPr>
          <w:ilvl w:val="0"/>
          <w:numId w:val="11"/>
        </w:numPr>
        <w:tabs>
          <w:tab w:val="left" w:pos="567"/>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经查原件，投标文件内容有造假行为的。</w:t>
      </w:r>
    </w:p>
    <w:p>
      <w:pPr>
        <w:widowControl w:val="0"/>
        <w:numPr>
          <w:ilvl w:val="2"/>
          <w:numId w:val="6"/>
        </w:numPr>
        <w:tabs>
          <w:tab w:val="left" w:pos="567"/>
          <w:tab w:val="left" w:pos="907"/>
          <w:tab w:val="clear" w:pos="794"/>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若投标人出现虚假应标情况，投标文件作无效处理，其投标、中标无效。并根据相关法律上报相关监管部门。</w:t>
      </w:r>
    </w:p>
    <w:p>
      <w:pPr>
        <w:widowControl w:val="0"/>
        <w:numPr>
          <w:ilvl w:val="2"/>
          <w:numId w:val="6"/>
        </w:numPr>
        <w:tabs>
          <w:tab w:val="left" w:pos="567"/>
          <w:tab w:val="left" w:pos="907"/>
          <w:tab w:val="clear" w:pos="794"/>
        </w:tabs>
        <w:adjustRightInd/>
        <w:snapToGrid/>
        <w:spacing w:after="0" w:line="360" w:lineRule="exact"/>
        <w:jc w:val="both"/>
        <w:rPr>
          <w:color w:val="auto"/>
          <w:highlight w:val="none"/>
        </w:rPr>
      </w:pPr>
      <w:r>
        <w:rPr>
          <w:rFonts w:hint="eastAsia" w:ascii="宋体" w:hAnsi="宋体" w:eastAsia="宋体"/>
          <w:color w:val="auto"/>
          <w:sz w:val="21"/>
          <w:szCs w:val="21"/>
          <w:highlight w:val="none"/>
        </w:rPr>
        <w:t>属于建办市函[2016]462号通知内的证件可不提供原件，仅提供带二维码原件的复印件即可。</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7" w:name="_Toc22451"/>
      <w:r>
        <w:rPr>
          <w:rFonts w:hint="eastAsia" w:ascii="宋体" w:hAnsi="宋体" w:eastAsia="宋体"/>
          <w:color w:val="auto"/>
          <w:sz w:val="21"/>
          <w:szCs w:val="21"/>
          <w:highlight w:val="none"/>
        </w:rPr>
        <w:t>31.合同的签订与履行</w:t>
      </w:r>
      <w:bookmarkEnd w:id="97"/>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采购人应当自采购结果公示发出之日起30日内，按照招标文件和中标人投标文件的规定，与中标人签订书面合同。所签订的合同不得对招标文件确定的事项和中标人投标文件作实质性修改。</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采购人与中标人应当根据合同的约定依法履行合同义务。</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政府采购合同的履行、违约责任和解决争议的方法等适用《中华人民共和国民法典》。</w:t>
      </w:r>
    </w:p>
    <w:p>
      <w:pPr>
        <w:widowControl w:val="0"/>
        <w:numPr>
          <w:ilvl w:val="1"/>
          <w:numId w:val="6"/>
        </w:numPr>
        <w:tabs>
          <w:tab w:val="left" w:pos="907"/>
        </w:tabs>
        <w:adjustRightInd/>
        <w:snapToGrid/>
        <w:spacing w:after="0" w:line="360" w:lineRule="exact"/>
        <w:jc w:val="both"/>
        <w:rPr>
          <w:rFonts w:ascii="宋体" w:hAnsi="宋体" w:eastAsia="宋体"/>
          <w:b/>
          <w:color w:val="auto"/>
          <w:sz w:val="21"/>
          <w:szCs w:val="21"/>
          <w:highlight w:val="none"/>
        </w:rPr>
      </w:pPr>
      <w:r>
        <w:rPr>
          <w:rFonts w:hint="eastAsia" w:ascii="宋体" w:hAnsi="宋体" w:eastAsia="宋体"/>
          <w:b/>
          <w:color w:val="auto"/>
          <w:sz w:val="21"/>
          <w:szCs w:val="21"/>
          <w:highlight w:val="none"/>
        </w:rPr>
        <w:t>合同签订之日起2个工作日内，中标人应将所签订的合同副本（加盖公章）交至广东政通招标有限公司归档。</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投标人根据招标文件的规定和采购项目的实际情况，拟在中标后将中标项目的非主体、非关键性工作分包的，应当在投标文件中载明分包承担主体，分包承担主体应当具备相应资质条件且不得再次分包。</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投标人在评审结束当天至合同履行结束，若因不可抗力的因素（如国家出台新法律法规等）造成投标人资质的变动，投标人应以纸质版形式通知采购人。若资质变动导致中标投标人不再具备履行合同资质要求，采购人有权中止合同。</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中标人拒绝与采购人签订合同的，采购人可以按照评审报告推荐的中标候选人名单排序，确定下一候选人为中标人，也可以重新开展政府采购活动。</w:t>
      </w:r>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98" w:name="_Toc382049124"/>
      <w:bookmarkStart w:id="99" w:name="_Toc303084277"/>
      <w:bookmarkStart w:id="100" w:name="_Toc29009"/>
      <w:bookmarkStart w:id="101" w:name="_Toc2744"/>
      <w:r>
        <w:rPr>
          <w:rFonts w:hint="eastAsia" w:ascii="宋体" w:hAnsi="宋体" w:eastAsia="宋体"/>
          <w:color w:val="auto"/>
          <w:sz w:val="21"/>
          <w:szCs w:val="21"/>
          <w:highlight w:val="none"/>
        </w:rPr>
        <w:t>32.</w:t>
      </w:r>
      <w:r>
        <w:rPr>
          <w:rFonts w:ascii="宋体" w:hAnsi="宋体" w:eastAsia="宋体"/>
          <w:color w:val="auto"/>
          <w:sz w:val="21"/>
          <w:szCs w:val="21"/>
          <w:highlight w:val="none"/>
        </w:rPr>
        <w:t>履约</w:t>
      </w:r>
      <w:r>
        <w:rPr>
          <w:rFonts w:hint="eastAsia" w:ascii="宋体" w:hAnsi="宋体" w:eastAsia="宋体"/>
          <w:color w:val="auto"/>
          <w:sz w:val="21"/>
          <w:szCs w:val="21"/>
          <w:highlight w:val="none"/>
        </w:rPr>
        <w:t>保证金</w:t>
      </w:r>
      <w:bookmarkEnd w:id="98"/>
      <w:bookmarkEnd w:id="99"/>
      <w:bookmarkEnd w:id="100"/>
      <w:bookmarkEnd w:id="101"/>
      <w:r>
        <w:rPr>
          <w:rFonts w:hint="eastAsia" w:ascii="宋体" w:hAnsi="宋体" w:eastAsia="宋体"/>
          <w:b/>
          <w:color w:val="auto"/>
          <w:sz w:val="21"/>
          <w:szCs w:val="21"/>
          <w:highlight w:val="none"/>
          <w:lang w:eastAsia="zh-CN"/>
        </w:rPr>
        <w:t>（</w:t>
      </w:r>
      <w:r>
        <w:rPr>
          <w:rFonts w:hint="eastAsia" w:ascii="宋体" w:hAnsi="宋体" w:eastAsia="宋体"/>
          <w:b/>
          <w:color w:val="auto"/>
          <w:sz w:val="21"/>
          <w:szCs w:val="21"/>
          <w:highlight w:val="none"/>
          <w:lang w:val="en-US" w:eastAsia="zh-CN"/>
        </w:rPr>
        <w:t>以</w:t>
      </w:r>
      <w:r>
        <w:rPr>
          <w:rFonts w:hint="eastAsia" w:ascii="宋体" w:hAnsi="宋体" w:eastAsia="宋体"/>
          <w:b/>
          <w:color w:val="auto"/>
          <w:sz w:val="21"/>
          <w:szCs w:val="21"/>
          <w:highlight w:val="none"/>
          <w:lang w:eastAsia="zh-CN"/>
        </w:rPr>
        <w:t>履约保函</w:t>
      </w:r>
      <w:r>
        <w:rPr>
          <w:rFonts w:hint="eastAsia" w:ascii="宋体" w:hAnsi="宋体" w:eastAsia="宋体"/>
          <w:b/>
          <w:color w:val="auto"/>
          <w:sz w:val="21"/>
          <w:szCs w:val="21"/>
          <w:highlight w:val="none"/>
          <w:lang w:val="en-US" w:eastAsia="zh-CN"/>
        </w:rPr>
        <w:t>的形式提交</w:t>
      </w:r>
      <w:r>
        <w:rPr>
          <w:rFonts w:hint="eastAsia" w:ascii="宋体" w:hAnsi="宋体" w:eastAsia="宋体"/>
          <w:b/>
          <w:color w:val="auto"/>
          <w:sz w:val="21"/>
          <w:szCs w:val="21"/>
          <w:highlight w:val="none"/>
          <w:lang w:eastAsia="zh-CN"/>
        </w:rPr>
        <w:t>）</w:t>
      </w:r>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应在领取中标通知书之后签订合同之前递交履约保证金（履约保函的提交与履约保证金的提交时间一致）。给采购人造成的损失超过投标担保数额的，还应当由其对超过部分予以赔偿，并依法追究其责任。中标人应在汇入履约保证金时在汇款单备注中注明：中标项目名称及中标项目编号。</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采用保证金（银行转帐、电汇）方式：中标人必须保证资金在签订合同前到帐。履约保证金账户采购人另行通知，到期后无息退还。</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中标人须将履约保证金的汇款凭证 (注明中标通知书或项目编号)或履约保函（采购人注明原件已收到并盖章）用A4纸复印一式四份并加盖中标人的公章送至采购代理机构。</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履约保证金退回：履约保证金在项目验收合格后，中标人向采购人提交退回履约保证金的申请、履约保证金汇款凭证复印件、采购合同、采购项目验收报告原件、中标通知书复印件，前往采购人办理履约保证金退还手续。</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102" w:name="_Toc13694"/>
      <w:r>
        <w:rPr>
          <w:rFonts w:hint="eastAsia" w:ascii="宋体" w:hAnsi="宋体" w:eastAsia="宋体"/>
          <w:color w:val="auto"/>
          <w:highlight w:val="none"/>
        </w:rPr>
        <w:t>询问或质疑</w:t>
      </w:r>
      <w:bookmarkEnd w:id="102"/>
    </w:p>
    <w:p>
      <w:pPr>
        <w:pStyle w:val="7"/>
        <w:widowControl w:val="0"/>
        <w:overflowPunct w:val="0"/>
        <w:spacing w:before="0" w:after="0" w:line="240" w:lineRule="auto"/>
        <w:rPr>
          <w:rFonts w:ascii="宋体" w:hAnsi="宋体" w:eastAsia="宋体"/>
          <w:color w:val="auto"/>
          <w:sz w:val="21"/>
          <w:szCs w:val="21"/>
          <w:highlight w:val="none"/>
        </w:rPr>
      </w:pPr>
      <w:bookmarkStart w:id="103" w:name="_Toc25498"/>
      <w:r>
        <w:rPr>
          <w:rFonts w:hint="eastAsia" w:ascii="宋体" w:hAnsi="宋体" w:eastAsia="宋体"/>
          <w:color w:val="auto"/>
          <w:sz w:val="21"/>
          <w:szCs w:val="21"/>
          <w:highlight w:val="none"/>
        </w:rPr>
        <w:t>33.询问</w:t>
      </w:r>
      <w:bookmarkEnd w:id="103"/>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投标人对政府采购活动事项（招标文件、采购过程和采购结果）有疑问的，可以按规定向采购代理机构提出询问。</w:t>
      </w:r>
    </w:p>
    <w:p>
      <w:pPr>
        <w:widowControl w:val="0"/>
        <w:tabs>
          <w:tab w:val="left" w:pos="907"/>
        </w:tabs>
        <w:adjustRightInd/>
        <w:snapToGrid/>
        <w:spacing w:after="0" w:line="360" w:lineRule="exact"/>
        <w:ind w:left="567"/>
        <w:jc w:val="both"/>
        <w:rPr>
          <w:rFonts w:ascii="宋体" w:hAnsi="宋体" w:eastAsia="宋体"/>
          <w:color w:val="auto"/>
          <w:sz w:val="21"/>
          <w:szCs w:val="21"/>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04" w:name="_Toc8234"/>
      <w:r>
        <w:rPr>
          <w:rFonts w:hint="eastAsia" w:ascii="宋体" w:hAnsi="宋体" w:eastAsia="宋体"/>
          <w:color w:val="auto"/>
          <w:sz w:val="21"/>
          <w:szCs w:val="21"/>
          <w:highlight w:val="none"/>
        </w:rPr>
        <w:t>34.质疑</w:t>
      </w:r>
      <w:bookmarkEnd w:id="104"/>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提出质疑的投标人应当是参与所质疑项目采购活动的供应商或是在规定的时间内已依法获取其可质疑的招标文件的潜在供应商。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投标人在法定质疑期内须一次性提出针对同一采购程序环节的质疑，对同一采购程序环节的二次质疑采购代理机构不予受理。</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递交地点、联系人详见投标邀请书）。投标人以电话、传真或电邮形式提交的质疑属于无效质疑。</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授权委托书应当载明代理人的姓名或者名称、代理事项、具体权限、期限和相关事项。</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投标人提出质疑应当提交质疑函和必要的证明材料（须注明法律依据），因缺少相关证明材料或证明材料存在不真实而导致的后果由投标人自行承担。</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不涉及对投标人利益造成损害的相关内容，不能作为质疑内容提交。</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投诉人在全国范围12个月内三次以上投诉查无实据的，由财政部门列入不良行为记录名单。</w:t>
      </w:r>
    </w:p>
    <w:p>
      <w:pPr>
        <w:widowControl w:val="0"/>
        <w:numPr>
          <w:ilvl w:val="1"/>
          <w:numId w:val="6"/>
        </w:numPr>
        <w:tabs>
          <w:tab w:val="left" w:pos="907"/>
        </w:tabs>
        <w:adjustRightInd/>
        <w:snapToGrid/>
        <w:spacing w:after="0" w:line="360" w:lineRule="exact"/>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投诉人有下列行为之一的，属于虚假、恶意投诉，由财政部门列入不良行为记录名单，禁止其1至3年内参加全国范围内的政府采购活动：</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（一）捏造事实;</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（二）提供虚假材料;</w:t>
      </w:r>
    </w:p>
    <w:p>
      <w:pPr>
        <w:widowControl w:val="0"/>
        <w:tabs>
          <w:tab w:val="left" w:pos="907"/>
        </w:tabs>
        <w:adjustRightInd/>
        <w:snapToGrid/>
        <w:spacing w:after="0" w:line="360" w:lineRule="exact"/>
        <w:ind w:left="567"/>
        <w:jc w:val="both"/>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（三）以非法手段取得证明材料。证据来源的合法性存在明显疑问，投诉人无法证明其取得方式合法的，视为以非法手段取得证明材料。</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以联合体形式参加政府采购活动的，其质疑应当由组成联合体的所有投标人共同提出。</w:t>
      </w:r>
    </w:p>
    <w:p>
      <w:pPr>
        <w:rPr>
          <w:color w:val="auto"/>
          <w:highlight w:val="none"/>
        </w:rPr>
      </w:pPr>
    </w:p>
    <w:p>
      <w:pPr>
        <w:pStyle w:val="6"/>
        <w:numPr>
          <w:ilvl w:val="0"/>
          <w:numId w:val="5"/>
        </w:numPr>
        <w:spacing w:before="0" w:after="0" w:line="480" w:lineRule="auto"/>
        <w:jc w:val="center"/>
        <w:rPr>
          <w:rFonts w:ascii="宋体" w:hAnsi="宋体" w:eastAsia="宋体"/>
          <w:color w:val="auto"/>
          <w:highlight w:val="none"/>
        </w:rPr>
      </w:pPr>
      <w:bookmarkStart w:id="105" w:name="_Toc24383"/>
      <w:r>
        <w:rPr>
          <w:rFonts w:hint="eastAsia" w:ascii="宋体" w:hAnsi="宋体" w:eastAsia="宋体"/>
          <w:color w:val="auto"/>
          <w:highlight w:val="none"/>
        </w:rPr>
        <w:t>其他</w:t>
      </w:r>
      <w:bookmarkEnd w:id="105"/>
    </w:p>
    <w:p>
      <w:pPr>
        <w:pStyle w:val="7"/>
        <w:widowControl w:val="0"/>
        <w:overflowPunct w:val="0"/>
        <w:spacing w:before="0" w:after="0" w:line="240" w:lineRule="auto"/>
        <w:rPr>
          <w:rFonts w:ascii="宋体" w:hAnsi="宋体" w:eastAsia="宋体"/>
          <w:color w:val="auto"/>
          <w:sz w:val="21"/>
          <w:szCs w:val="21"/>
          <w:highlight w:val="none"/>
        </w:rPr>
      </w:pPr>
      <w:bookmarkStart w:id="106" w:name="_Toc10082"/>
      <w:r>
        <w:rPr>
          <w:rFonts w:hint="eastAsia" w:ascii="宋体" w:hAnsi="宋体" w:eastAsia="宋体"/>
          <w:color w:val="auto"/>
          <w:sz w:val="21"/>
          <w:szCs w:val="21"/>
          <w:highlight w:val="none"/>
        </w:rPr>
        <w:t>35.招标文件的解释权</w:t>
      </w:r>
      <w:bookmarkEnd w:id="106"/>
    </w:p>
    <w:p>
      <w:pPr>
        <w:pStyle w:val="33"/>
        <w:widowControl w:val="0"/>
        <w:numPr>
          <w:ilvl w:val="0"/>
          <w:numId w:val="6"/>
        </w:numPr>
        <w:tabs>
          <w:tab w:val="left" w:pos="907"/>
        </w:tabs>
        <w:adjustRightInd/>
        <w:snapToGrid/>
        <w:spacing w:after="0" w:line="360" w:lineRule="exact"/>
        <w:ind w:firstLineChars="0"/>
        <w:jc w:val="both"/>
        <w:rPr>
          <w:rFonts w:ascii="宋体" w:hAnsi="宋体" w:eastAsia="宋体"/>
          <w:vanish/>
          <w:color w:val="auto"/>
          <w:sz w:val="21"/>
          <w:szCs w:val="21"/>
          <w:highlight w:val="none"/>
        </w:rPr>
      </w:pP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招标文件版本号：广东政通20210101。</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本招标文件是根据国家有关法律、法规以及政府采购管理有关规定和参照国际惯例编制，解释权属本采购代理机构。</w:t>
      </w:r>
    </w:p>
    <w:p>
      <w:pPr>
        <w:widowControl w:val="0"/>
        <w:numPr>
          <w:ilvl w:val="1"/>
          <w:numId w:val="6"/>
        </w:numPr>
        <w:tabs>
          <w:tab w:val="left" w:pos="907"/>
        </w:tabs>
        <w:adjustRightInd/>
        <w:snapToGrid/>
        <w:spacing w:after="0" w:line="360" w:lineRule="exact"/>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5"/>
        <w:spacing w:before="0" w:after="0" w:line="240" w:lineRule="auto"/>
        <w:rPr>
          <w:color w:val="auto"/>
          <w:sz w:val="28"/>
          <w:szCs w:val="28"/>
          <w:highlight w:val="none"/>
        </w:rPr>
      </w:pPr>
      <w:bookmarkStart w:id="107" w:name="_Toc21448"/>
      <w:r>
        <w:rPr>
          <w:rFonts w:hint="eastAsia"/>
          <w:color w:val="auto"/>
          <w:sz w:val="28"/>
          <w:szCs w:val="28"/>
          <w:highlight w:val="none"/>
        </w:rPr>
        <w:t>第五部分 合同格式（仅供参考）</w:t>
      </w:r>
      <w:bookmarkEnd w:id="107"/>
      <w:bookmarkStart w:id="108" w:name="_Toc13430"/>
      <w:bookmarkStart w:id="109" w:name="_Toc1534"/>
      <w:bookmarkStart w:id="110" w:name="_Toc21155"/>
    </w:p>
    <w:p>
      <w:pPr>
        <w:pStyle w:val="6"/>
        <w:spacing w:before="0" w:after="0" w:line="240" w:lineRule="auto"/>
        <w:jc w:val="center"/>
        <w:rPr>
          <w:rFonts w:ascii="宋体" w:hAnsi="宋体" w:eastAsia="宋体" w:cs="宋体"/>
          <w:color w:val="auto"/>
          <w:highlight w:val="none"/>
        </w:rPr>
      </w:pPr>
      <w:bookmarkStart w:id="111" w:name="_Toc16730"/>
      <w:r>
        <w:rPr>
          <w:rFonts w:hint="eastAsia" w:ascii="宋体" w:hAnsi="宋体" w:eastAsia="宋体" w:cs="宋体"/>
          <w:color w:val="auto"/>
          <w:highlight w:val="none"/>
        </w:rPr>
        <w:t>合同格式</w:t>
      </w:r>
      <w:bookmarkEnd w:id="108"/>
      <w:bookmarkEnd w:id="109"/>
      <w:bookmarkEnd w:id="110"/>
      <w:bookmarkEnd w:id="111"/>
    </w:p>
    <w:p>
      <w:pPr>
        <w:spacing w:line="420" w:lineRule="atLeast"/>
        <w:ind w:right="560"/>
        <w:rPr>
          <w:rFonts w:ascii="宋体" w:hAnsi="宋体" w:eastAsia="宋体"/>
          <w:color w:val="auto"/>
          <w:sz w:val="21"/>
          <w:szCs w:val="21"/>
          <w:highlight w:val="none"/>
        </w:rPr>
      </w:pPr>
      <w:r>
        <w:rPr>
          <w:rFonts w:hint="eastAsia" w:ascii="宋体" w:hAnsi="宋体" w:eastAsia="宋体"/>
          <w:color w:val="auto"/>
          <w:sz w:val="21"/>
          <w:szCs w:val="21"/>
          <w:highlight w:val="none"/>
        </w:rPr>
        <w:t>合同编号：</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甲方：</w:t>
      </w:r>
    </w:p>
    <w:p>
      <w:pPr>
        <w:spacing w:line="420" w:lineRule="atLeast"/>
        <w:rPr>
          <w:rFonts w:ascii="宋体" w:hAnsi="宋体" w:eastAsia="宋体"/>
          <w:color w:val="auto"/>
          <w:sz w:val="21"/>
          <w:szCs w:val="21"/>
          <w:highlight w:val="none"/>
        </w:rPr>
      </w:pPr>
      <w:r>
        <w:rPr>
          <w:rFonts w:hint="eastAsia" w:ascii="宋体" w:hAnsi="宋体" w:eastAsia="宋体"/>
          <w:color w:val="auto"/>
          <w:sz w:val="21"/>
          <w:szCs w:val="21"/>
          <w:highlight w:val="none"/>
        </w:rPr>
        <w:t>乙方：“ ”为中标单位</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受甲方委托，</w:t>
      </w:r>
      <w:r>
        <w:rPr>
          <w:rFonts w:hint="eastAsia" w:ascii="宋体" w:hAnsi="宋体" w:eastAsia="宋体"/>
          <w:color w:val="auto"/>
          <w:sz w:val="21"/>
          <w:szCs w:val="21"/>
          <w:highlight w:val="none"/>
          <w:u w:val="single"/>
        </w:rPr>
        <w:t xml:space="preserve">           (采购代理机构)</w:t>
      </w:r>
      <w:r>
        <w:rPr>
          <w:rFonts w:hint="eastAsia" w:ascii="宋体" w:hAnsi="宋体" w:eastAsia="宋体"/>
          <w:color w:val="auto"/>
          <w:sz w:val="21"/>
          <w:szCs w:val="21"/>
          <w:highlight w:val="none"/>
        </w:rPr>
        <w:t>组织对</w:t>
      </w:r>
      <w:r>
        <w:rPr>
          <w:rFonts w:hint="eastAsia" w:ascii="宋体" w:hAnsi="宋体" w:eastAsia="宋体"/>
          <w:color w:val="auto"/>
          <w:sz w:val="21"/>
          <w:szCs w:val="21"/>
          <w:highlight w:val="none"/>
          <w:u w:val="single"/>
        </w:rPr>
        <w:t xml:space="preserve">         （项目名称）</w:t>
      </w:r>
      <w:r>
        <w:rPr>
          <w:rFonts w:hint="eastAsia" w:ascii="宋体" w:hAnsi="宋体" w:eastAsia="宋体"/>
          <w:color w:val="auto"/>
          <w:sz w:val="21"/>
          <w:szCs w:val="21"/>
          <w:highlight w:val="none"/>
        </w:rPr>
        <w:t>采购项目（采购项目编号为）进行采购，于年月日通过公开招标，经评标委员会评定乙方为中标单位。为了保护甲、乙双方合法权益，根据《中华人民共和国政府采购法》及其实施条例、《中华人民共和国</w:t>
      </w:r>
      <w:r>
        <w:rPr>
          <w:rFonts w:hint="eastAsia" w:eastAsia="宋体"/>
          <w:color w:val="auto"/>
          <w:highlight w:val="none"/>
        </w:rPr>
        <w:t>民法典</w:t>
      </w:r>
      <w:r>
        <w:rPr>
          <w:rFonts w:hint="eastAsia" w:ascii="宋体" w:hAnsi="宋体" w:eastAsia="宋体"/>
          <w:color w:val="auto"/>
          <w:sz w:val="21"/>
          <w:szCs w:val="21"/>
          <w:highlight w:val="none"/>
        </w:rPr>
        <w:t>》，在平等自愿的基础上，按照下面的条款和条件，签署本合同。</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第一条 合同项目</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1、项目名称：                              ；</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2、采购项目编号：                   。</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第二条 合同组成</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highlight w:val="none"/>
        </w:rPr>
      </w:pPr>
      <w:bookmarkStart w:id="112" w:name="_Toc86481558"/>
      <w:r>
        <w:rPr>
          <w:rFonts w:hint="eastAsia" w:ascii="宋体" w:hAnsi="宋体" w:eastAsia="宋体"/>
          <w:b/>
          <w:color w:val="auto"/>
          <w:sz w:val="21"/>
          <w:szCs w:val="21"/>
          <w:highlight w:val="none"/>
        </w:rPr>
        <w:t>第三条 服务内容、标准及要求</w:t>
      </w:r>
    </w:p>
    <w:p>
      <w:pPr>
        <w:spacing w:after="0" w:line="360" w:lineRule="auto"/>
        <w:rPr>
          <w:rFonts w:ascii="宋体" w:hAnsi="宋体" w:eastAsia="宋体" w:cs="仿宋"/>
          <w:color w:val="auto"/>
          <w:sz w:val="21"/>
          <w:szCs w:val="21"/>
          <w:highlight w:val="none"/>
          <w:u w:val="single"/>
          <w:shd w:val="clear" w:color="auto" w:fill="FFFFFF"/>
        </w:rPr>
      </w:pPr>
      <w:r>
        <w:rPr>
          <w:rFonts w:hint="eastAsia" w:ascii="宋体" w:hAnsi="宋体" w:eastAsia="宋体" w:cs="仿宋"/>
          <w:color w:val="auto"/>
          <w:sz w:val="21"/>
          <w:szCs w:val="21"/>
          <w:highlight w:val="none"/>
          <w:shd w:val="clear" w:color="auto" w:fill="FFFFFF"/>
        </w:rPr>
        <w:t>1、采购内容：</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2、采购标准：</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3、采购要求：</w:t>
      </w:r>
      <w:r>
        <w:rPr>
          <w:rFonts w:hint="eastAsia" w:ascii="宋体" w:hAnsi="宋体" w:eastAsia="宋体" w:cs="仿宋"/>
          <w:color w:val="auto"/>
          <w:sz w:val="21"/>
          <w:szCs w:val="21"/>
          <w:highlight w:val="none"/>
          <w:u w:val="single"/>
          <w:shd w:val="clear" w:color="auto" w:fill="FFFFFF"/>
        </w:rPr>
        <w:t xml:space="preserve">                                                              。</w:t>
      </w:r>
    </w:p>
    <w:p>
      <w:pPr>
        <w:spacing w:after="0" w:line="360" w:lineRule="auto"/>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第四条 价格</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仿宋"/>
          <w:color w:val="auto"/>
          <w:sz w:val="21"/>
          <w:szCs w:val="21"/>
          <w:highlight w:val="none"/>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2、合同总价：（人民币）大写 （¥）</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3、本合同价为固定不变价。</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第五条 服务期限及地点</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1、服务期：  年，合同生效之日自       年  月  日至     年  月  日止。</w:t>
      </w:r>
    </w:p>
    <w:p>
      <w:pPr>
        <w:spacing w:after="0" w:line="360" w:lineRule="auto"/>
        <w:ind w:firstLine="495" w:firstLineChars="236"/>
        <w:rPr>
          <w:rFonts w:ascii="宋体" w:hAnsi="宋体" w:eastAsia="宋体"/>
          <w:color w:val="auto"/>
          <w:sz w:val="21"/>
          <w:szCs w:val="21"/>
          <w:highlight w:val="none"/>
        </w:rPr>
      </w:pPr>
      <w:r>
        <w:rPr>
          <w:rFonts w:hint="eastAsia" w:ascii="宋体" w:hAnsi="宋体" w:eastAsia="宋体"/>
          <w:color w:val="auto"/>
          <w:sz w:val="21"/>
          <w:szCs w:val="21"/>
          <w:highlight w:val="none"/>
        </w:rPr>
        <w:t>2、服务地点：              或甲方指定地点。</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第六条 付款方式</w:t>
      </w:r>
    </w:p>
    <w:p>
      <w:pPr>
        <w:pStyle w:val="23"/>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1、本合同的付款方式为：。</w:t>
      </w:r>
    </w:p>
    <w:p>
      <w:pPr>
        <w:pStyle w:val="23"/>
        <w:spacing w:line="360"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第七条 验收方式</w:t>
      </w:r>
    </w:p>
    <w:p>
      <w:pPr>
        <w:pStyle w:val="23"/>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1、验收应在甲乙双方共同参加下进行，依据招标文件及本合同的有关规定制定的方案进行验收，并按国家有关规定、规范进行。</w:t>
      </w:r>
    </w:p>
    <w:p>
      <w:pPr>
        <w:pStyle w:val="23"/>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2、甲方组织项目验收小组按国家有关规定、规范进行验收，必要时邀请相关专业人员或机构参与验收。</w:t>
      </w:r>
    </w:p>
    <w:p>
      <w:pPr>
        <w:pStyle w:val="23"/>
        <w:spacing w:line="360" w:lineRule="auto"/>
        <w:ind w:firstLine="480"/>
        <w:rPr>
          <w:rFonts w:ascii="宋体" w:hAnsi="宋体"/>
          <w:color w:val="auto"/>
          <w:sz w:val="21"/>
          <w:szCs w:val="21"/>
          <w:highlight w:val="none"/>
        </w:rPr>
      </w:pPr>
      <w:r>
        <w:rPr>
          <w:rFonts w:hint="eastAsia" w:ascii="宋体" w:hAnsi="宋体"/>
          <w:color w:val="auto"/>
          <w:sz w:val="21"/>
          <w:szCs w:val="21"/>
          <w:highlight w:val="none"/>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第八条 税和关税</w:t>
      </w:r>
    </w:p>
    <w:p>
      <w:pPr>
        <w:pStyle w:val="23"/>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1、中国政府根据现行税法对甲方征收的与本合同有关的一切税费均应由甲方承担。</w:t>
      </w:r>
    </w:p>
    <w:p>
      <w:pPr>
        <w:pStyle w:val="23"/>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2、中国政府根据现行税法规定对乙方或其雇员征收的与本合同有关的一切税费应由乙方承担。</w:t>
      </w:r>
    </w:p>
    <w:p>
      <w:pPr>
        <w:pStyle w:val="23"/>
        <w:spacing w:line="360" w:lineRule="auto"/>
        <w:ind w:firstLine="482"/>
        <w:rPr>
          <w:rFonts w:ascii="宋体" w:hAnsi="宋体"/>
          <w:color w:val="auto"/>
          <w:sz w:val="21"/>
          <w:szCs w:val="21"/>
          <w:highlight w:val="none"/>
        </w:rPr>
      </w:pPr>
      <w:r>
        <w:rPr>
          <w:rFonts w:hint="eastAsia" w:ascii="宋体" w:hAnsi="宋体"/>
          <w:color w:val="auto"/>
          <w:sz w:val="21"/>
          <w:szCs w:val="21"/>
          <w:highlight w:val="none"/>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第九条 其它约定</w:t>
      </w:r>
    </w:p>
    <w:p>
      <w:pPr>
        <w:spacing w:after="0" w:line="360" w:lineRule="auto"/>
        <w:ind w:firstLine="420" w:firstLineChars="200"/>
        <w:rPr>
          <w:rFonts w:ascii="宋体" w:hAnsi="宋体" w:eastAsia="宋体"/>
          <w:color w:val="auto"/>
          <w:sz w:val="21"/>
          <w:szCs w:val="21"/>
          <w:highlight w:val="none"/>
        </w:rPr>
      </w:pPr>
      <w:r>
        <w:rPr>
          <w:rFonts w:ascii="宋体" w:hAnsi="宋体" w:eastAsia="宋体"/>
          <w:color w:val="auto"/>
          <w:sz w:val="21"/>
          <w:szCs w:val="21"/>
          <w:highlight w:val="none"/>
        </w:rPr>
        <w:t>1</w:t>
      </w:r>
      <w:r>
        <w:rPr>
          <w:rFonts w:hint="eastAsia" w:ascii="宋体" w:hAnsi="宋体" w:eastAsia="宋体"/>
          <w:color w:val="auto"/>
          <w:sz w:val="21"/>
          <w:szCs w:val="21"/>
          <w:highlight w:val="none"/>
        </w:rPr>
        <w:t>、严禁转包，未经甲方书面同意不得分包。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2、乙方全部工作人员，须符合东莞市政府用工标准要求。</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第十条 违约责任</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1、合同双方任何一方不履行合同条款或不按合同约定履行条款的其它情况，均属违约，由违约方承担违约责任，赔偿因其违约造成的损失，并支付合同价款总额%的违约金。</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2、由于乙方的原因，导致双方签订的合同终止，乙方因此而遭受的损失，将由乙方独立承担，甲方对此不负任何责任，也不作任何赔偿。</w:t>
      </w:r>
      <w:bookmarkEnd w:id="112"/>
    </w:p>
    <w:p>
      <w:pPr>
        <w:spacing w:after="0" w:line="360" w:lineRule="auto"/>
        <w:ind w:firstLine="422" w:firstLineChars="200"/>
        <w:rPr>
          <w:rFonts w:ascii="宋体" w:hAnsi="宋体" w:eastAsia="宋体"/>
          <w:b/>
          <w:color w:val="auto"/>
          <w:sz w:val="21"/>
          <w:szCs w:val="21"/>
          <w:highlight w:val="none"/>
        </w:rPr>
      </w:pPr>
      <w:bookmarkStart w:id="113" w:name="_Toc86481570"/>
      <w:r>
        <w:rPr>
          <w:rFonts w:hint="eastAsia" w:ascii="宋体" w:hAnsi="宋体" w:eastAsia="宋体"/>
          <w:b/>
          <w:color w:val="auto"/>
          <w:sz w:val="21"/>
          <w:szCs w:val="21"/>
          <w:highlight w:val="none"/>
        </w:rPr>
        <w:t>第十一条 争议的解决</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2、本合同发生的诉讼管辖地为东莞市有管辖权的法院。</w:t>
      </w: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highlight w:val="none"/>
          <w:shd w:val="clear" w:color="auto" w:fill="FFFFFF"/>
        </w:rPr>
      </w:pPr>
      <w:r>
        <w:rPr>
          <w:rFonts w:hint="eastAsia" w:ascii="宋体" w:hAnsi="宋体" w:eastAsia="宋体" w:cs="宋体"/>
          <w:color w:val="auto"/>
          <w:sz w:val="21"/>
          <w:szCs w:val="21"/>
          <w:highlight w:val="none"/>
        </w:rPr>
        <w:t>4、本合同按照中华人民共和国的法律进行解释</w:t>
      </w:r>
      <w:r>
        <w:rPr>
          <w:rFonts w:hint="eastAsia" w:ascii="宋体" w:hAnsi="宋体" w:eastAsia="宋体" w:cs="仿宋"/>
          <w:color w:val="auto"/>
          <w:sz w:val="21"/>
          <w:szCs w:val="21"/>
          <w:highlight w:val="none"/>
          <w:shd w:val="clear" w:color="auto" w:fill="FFFFFF"/>
        </w:rPr>
        <w:t>。</w:t>
      </w:r>
    </w:p>
    <w:p>
      <w:pPr>
        <w:spacing w:after="0" w:line="360" w:lineRule="auto"/>
        <w:ind w:firstLine="422" w:firstLineChars="200"/>
        <w:rPr>
          <w:rFonts w:ascii="宋体" w:hAnsi="宋体" w:eastAsia="宋体"/>
          <w:b/>
          <w:color w:val="auto"/>
          <w:sz w:val="21"/>
          <w:szCs w:val="21"/>
          <w:highlight w:val="none"/>
        </w:rPr>
      </w:pPr>
      <w:bookmarkStart w:id="114" w:name="_Toc86481569"/>
      <w:r>
        <w:rPr>
          <w:rFonts w:hint="eastAsia" w:ascii="宋体" w:hAnsi="宋体" w:eastAsia="宋体"/>
          <w:b/>
          <w:color w:val="auto"/>
          <w:sz w:val="21"/>
          <w:szCs w:val="21"/>
          <w:highlight w:val="none"/>
        </w:rPr>
        <w:t>第十二条 合同生效</w:t>
      </w:r>
      <w:bookmarkEnd w:id="114"/>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highlight w:val="none"/>
        </w:rPr>
      </w:pPr>
      <w:r>
        <w:rPr>
          <w:rFonts w:hint="eastAsia" w:ascii="宋体" w:hAnsi="宋体" w:eastAsia="宋体"/>
          <w:b/>
          <w:color w:val="auto"/>
          <w:sz w:val="21"/>
          <w:szCs w:val="21"/>
          <w:highlight w:val="none"/>
        </w:rPr>
        <w:t>第十三条 其它</w:t>
      </w:r>
      <w:bookmarkEnd w:id="113"/>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highlight w:val="none"/>
        </w:rPr>
      </w:pPr>
      <w:r>
        <w:rPr>
          <w:rFonts w:hint="eastAsia" w:ascii="宋体" w:hAnsi="宋体" w:eastAsia="宋体"/>
          <w:color w:val="auto"/>
          <w:sz w:val="21"/>
          <w:szCs w:val="21"/>
          <w:highlight w:val="none"/>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本合同合计   页A4纸张，缺页之合同为无效合同。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甲方（盖章）：                      乙方（盖章）：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法定代表(签字)：                   法定代表(签字)：</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地址：                             地址：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                             电话：</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传真：</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开户银行：</w:t>
      </w:r>
      <w:r>
        <w:rPr>
          <w:rFonts w:hint="eastAsia" w:ascii="宋体" w:hAnsi="宋体" w:eastAsia="宋体"/>
          <w:color w:val="auto"/>
          <w:sz w:val="21"/>
          <w:szCs w:val="21"/>
          <w:highlight w:val="none"/>
        </w:rPr>
        <w:tab/>
      </w:r>
      <w:r>
        <w:rPr>
          <w:rFonts w:hint="eastAsia" w:ascii="宋体" w:hAnsi="宋体" w:eastAsia="宋体"/>
          <w:color w:val="auto"/>
          <w:sz w:val="21"/>
          <w:szCs w:val="21"/>
          <w:highlight w:val="none"/>
        </w:rPr>
        <w:t xml:space="preserve">                     开户银行：</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账号：                             账号：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签约时间：</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签约地点：</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t>此仅为合同书样本，中标人需根据实际情况和甲方签订相应的合同！</w:t>
      </w:r>
    </w:p>
    <w:p>
      <w:pPr>
        <w:rPr>
          <w:rFonts w:ascii="宋体" w:hAnsi="宋体" w:eastAsia="宋体"/>
          <w:b/>
          <w:color w:val="auto"/>
          <w:sz w:val="21"/>
          <w:szCs w:val="21"/>
          <w:highlight w:val="none"/>
        </w:rPr>
      </w:pPr>
      <w:r>
        <w:rPr>
          <w:rFonts w:hint="eastAsia" w:ascii="宋体" w:hAnsi="宋体" w:eastAsia="宋体"/>
          <w:b/>
          <w:color w:val="auto"/>
          <w:sz w:val="21"/>
          <w:szCs w:val="21"/>
          <w:highlight w:val="none"/>
        </w:rPr>
        <w:br w:type="page"/>
      </w:r>
    </w:p>
    <w:p>
      <w:pPr>
        <w:pStyle w:val="5"/>
        <w:spacing w:before="0" w:after="0" w:line="240" w:lineRule="auto"/>
        <w:rPr>
          <w:color w:val="auto"/>
          <w:sz w:val="28"/>
          <w:szCs w:val="28"/>
          <w:highlight w:val="none"/>
        </w:rPr>
      </w:pPr>
      <w:bookmarkStart w:id="115" w:name="_Toc23749"/>
      <w:r>
        <w:rPr>
          <w:rFonts w:hint="eastAsia"/>
          <w:color w:val="auto"/>
          <w:sz w:val="28"/>
          <w:szCs w:val="28"/>
          <w:highlight w:val="none"/>
        </w:rPr>
        <w:t>第六部分  附件－投标文件格式</w:t>
      </w:r>
      <w:bookmarkEnd w:id="115"/>
    </w:p>
    <w:p>
      <w:pPr>
        <w:rPr>
          <w:color w:val="auto"/>
          <w:highlight w:val="none"/>
        </w:rPr>
      </w:pPr>
    </w:p>
    <w:p>
      <w:pPr>
        <w:pStyle w:val="7"/>
        <w:widowControl w:val="0"/>
        <w:overflowPunct w:val="0"/>
        <w:spacing w:before="0" w:after="0" w:line="240" w:lineRule="auto"/>
        <w:rPr>
          <w:rFonts w:ascii="宋体" w:hAnsi="宋体" w:eastAsia="宋体"/>
          <w:color w:val="auto"/>
          <w:sz w:val="21"/>
          <w:szCs w:val="21"/>
          <w:highlight w:val="none"/>
        </w:rPr>
      </w:pPr>
      <w:bookmarkStart w:id="116" w:name="_Toc26830"/>
      <w:r>
        <w:rPr>
          <w:rFonts w:hint="eastAsia" w:ascii="宋体" w:hAnsi="宋体" w:eastAsia="宋体"/>
          <w:color w:val="auto"/>
          <w:sz w:val="21"/>
          <w:szCs w:val="21"/>
          <w:highlight w:val="none"/>
        </w:rPr>
        <w:t>附件1.投标文件目录</w:t>
      </w:r>
      <w:bookmarkEnd w:id="116"/>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目录</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格式自理。</w:t>
      </w: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adjustRightInd/>
        <w:snapToGrid/>
        <w:spacing w:line="276"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1、投标人制作的投标文件应当具备目录。</w:t>
      </w:r>
      <w:r>
        <w:rPr>
          <w:rFonts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7" w:name="_Toc18893"/>
      <w:r>
        <w:rPr>
          <w:rFonts w:hint="eastAsia" w:ascii="宋体" w:hAnsi="宋体" w:eastAsia="宋体"/>
          <w:color w:val="auto"/>
          <w:sz w:val="21"/>
          <w:szCs w:val="21"/>
          <w:highlight w:val="none"/>
        </w:rPr>
        <w:t>附件1-1 评分标准索引表</w:t>
      </w:r>
      <w:bookmarkEnd w:id="117"/>
    </w:p>
    <w:p>
      <w:pPr>
        <w:adjustRightInd/>
        <w:snapToGrid/>
        <w:spacing w:line="276" w:lineRule="auto"/>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评分标准索引表</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评审项目</w:t>
            </w:r>
          </w:p>
        </w:tc>
        <w:tc>
          <w:tcPr>
            <w:tcW w:w="1704"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评分细则</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分值</w:t>
            </w:r>
          </w:p>
        </w:tc>
        <w:tc>
          <w:tcPr>
            <w:tcW w:w="1705" w:type="dxa"/>
            <w:vAlign w:val="center"/>
          </w:tcPr>
          <w:p>
            <w:pPr>
              <w:spacing w:after="0"/>
              <w:jc w:val="center"/>
              <w:rPr>
                <w:rFonts w:ascii="宋体" w:hAnsi="宋体" w:eastAsia="宋体" w:cs="宋体"/>
                <w:color w:val="auto"/>
                <w:highlight w:val="none"/>
              </w:rPr>
            </w:pPr>
            <w:r>
              <w:rPr>
                <w:rFonts w:hint="eastAsia" w:ascii="宋体" w:hAnsi="宋体" w:eastAsia="宋体" w:cs="宋体"/>
                <w:color w:val="auto"/>
                <w:highlight w:val="none"/>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highlight w:val="none"/>
              </w:rPr>
            </w:pPr>
            <w:r>
              <w:rPr>
                <w:rFonts w:hint="eastAsia" w:ascii="宋体" w:hAnsi="宋体" w:eastAsia="宋体" w:cs="宋体"/>
                <w:color w:val="auto"/>
                <w:highlight w:val="none"/>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4"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c>
          <w:tcPr>
            <w:tcW w:w="1705" w:type="dxa"/>
            <w:vAlign w:val="center"/>
          </w:tcPr>
          <w:p>
            <w:pPr>
              <w:spacing w:after="0"/>
              <w:jc w:val="center"/>
              <w:rPr>
                <w:rFonts w:ascii="宋体" w:hAnsi="宋体" w:eastAsia="宋体" w:cs="宋体"/>
                <w:color w:val="auto"/>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numPr>
          <w:ilvl w:val="0"/>
          <w:numId w:val="12"/>
        </w:numPr>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该表格为参考格式，投标人可按实际情况自行制订评分标准索引表。</w:t>
      </w:r>
    </w:p>
    <w:p>
      <w:pPr>
        <w:pStyle w:val="2"/>
        <w:spacing w:before="0"/>
        <w:ind w:left="0"/>
        <w:rPr>
          <w:color w:val="auto"/>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p>
    <w:p>
      <w:pPr>
        <w:adjustRightInd/>
        <w:snapToGrid/>
        <w:spacing w:line="276" w:lineRule="auto"/>
        <w:rPr>
          <w:rFonts w:ascii="宋体" w:hAnsi="宋体" w:eastAsia="宋体"/>
          <w:color w:val="auto"/>
          <w:sz w:val="21"/>
          <w:szCs w:val="21"/>
          <w:highlight w:val="none"/>
        </w:rPr>
      </w:pPr>
      <w:r>
        <w:rPr>
          <w:rFonts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18" w:name="_Toc30640"/>
      <w:r>
        <w:rPr>
          <w:rFonts w:hint="eastAsia" w:ascii="宋体" w:hAnsi="宋体" w:eastAsia="宋体"/>
          <w:color w:val="auto"/>
          <w:sz w:val="21"/>
          <w:szCs w:val="21"/>
          <w:highlight w:val="none"/>
        </w:rPr>
        <w:t>附件2.投标书格式</w:t>
      </w:r>
      <w:bookmarkEnd w:id="118"/>
    </w:p>
    <w:p>
      <w:pPr>
        <w:jc w:val="center"/>
        <w:rPr>
          <w:rFonts w:ascii="宋体" w:hAnsi="宋体" w:eastAsia="宋体"/>
          <w:color w:val="auto"/>
          <w:sz w:val="21"/>
          <w:szCs w:val="21"/>
          <w:highlight w:val="none"/>
        </w:rPr>
      </w:pPr>
      <w:r>
        <w:rPr>
          <w:rFonts w:hint="eastAsia" w:ascii="黑体" w:eastAsia="黑体"/>
          <w:color w:val="auto"/>
          <w:sz w:val="32"/>
          <w:szCs w:val="32"/>
          <w:highlight w:val="none"/>
        </w:rPr>
        <w:t>投标书</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360" w:lineRule="auto"/>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根据贵方为</w:t>
      </w:r>
      <w:r>
        <w:rPr>
          <w:rFonts w:hint="eastAsia" w:ascii="宋体" w:hAnsi="宋体" w:eastAsia="宋体"/>
          <w:color w:val="auto"/>
          <w:sz w:val="21"/>
          <w:szCs w:val="21"/>
          <w:highlight w:val="none"/>
          <w:u w:val="single"/>
        </w:rPr>
        <w:t>（项目名称）（采购项目编号）</w:t>
      </w:r>
      <w:r>
        <w:rPr>
          <w:rFonts w:hint="eastAsia" w:ascii="宋体" w:hAnsi="宋体" w:eastAsia="宋体"/>
          <w:color w:val="auto"/>
          <w:sz w:val="21"/>
          <w:szCs w:val="21"/>
          <w:highlight w:val="none"/>
        </w:rPr>
        <w:t>项目招标公告/招标邀请，签字代表</w:t>
      </w:r>
      <w:r>
        <w:rPr>
          <w:rFonts w:hint="eastAsia" w:ascii="宋体" w:hAnsi="宋体" w:eastAsia="宋体"/>
          <w:color w:val="auto"/>
          <w:sz w:val="21"/>
          <w:szCs w:val="21"/>
          <w:highlight w:val="none"/>
          <w:u w:val="single"/>
        </w:rPr>
        <w:t>（姓名、职务）</w:t>
      </w:r>
      <w:r>
        <w:rPr>
          <w:rFonts w:hint="eastAsia" w:ascii="宋体" w:hAnsi="宋体" w:eastAsia="宋体"/>
          <w:color w:val="auto"/>
          <w:sz w:val="21"/>
          <w:szCs w:val="21"/>
          <w:highlight w:val="none"/>
        </w:rPr>
        <w:t>经正式授权并代表投标人</w:t>
      </w:r>
      <w:r>
        <w:rPr>
          <w:rFonts w:hint="eastAsia" w:ascii="宋体" w:hAnsi="宋体" w:eastAsia="宋体"/>
          <w:color w:val="auto"/>
          <w:sz w:val="21"/>
          <w:szCs w:val="21"/>
          <w:highlight w:val="none"/>
          <w:u w:val="single"/>
        </w:rPr>
        <w:t>（投标人名称、地址）</w:t>
      </w:r>
      <w:r>
        <w:rPr>
          <w:rFonts w:hint="eastAsia" w:ascii="宋体" w:hAnsi="宋体" w:eastAsia="宋体"/>
          <w:color w:val="auto"/>
          <w:sz w:val="21"/>
          <w:szCs w:val="21"/>
          <w:highlight w:val="none"/>
        </w:rPr>
        <w:t>提交投标文件及“开标文件”：</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在此，签字代表宣布同意如下：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我方将按招标文件的规定履行合同责任和义务。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本投标有效期为自开标日起</w:t>
      </w:r>
      <w:r>
        <w:rPr>
          <w:rFonts w:hint="eastAsia" w:ascii="宋体" w:hAnsi="宋体" w:eastAsia="宋体"/>
          <w:color w:val="auto"/>
          <w:sz w:val="21"/>
          <w:szCs w:val="21"/>
          <w:highlight w:val="none"/>
          <w:u w:val="single"/>
        </w:rPr>
        <w:t>90</w:t>
      </w:r>
      <w:r>
        <w:rPr>
          <w:rFonts w:hint="eastAsia" w:ascii="宋体" w:hAnsi="宋体" w:eastAsia="宋体"/>
          <w:color w:val="auto"/>
          <w:sz w:val="21"/>
          <w:szCs w:val="21"/>
          <w:highlight w:val="none"/>
        </w:rPr>
        <w:t xml:space="preserve">个日历日。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我方保证遵守投标人须知中关于没收投标保证金的规定。</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我方承诺，与买方聘请的为此项目提供咨询服务的公司及任何附属机构均无关联，我方不是买方的附属机构。 </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我方同意提供按照贵方可能要求的与其投标有关的一切数据或资料。</w:t>
      </w:r>
    </w:p>
    <w:p>
      <w:pPr>
        <w:widowControl w:val="0"/>
        <w:numPr>
          <w:ilvl w:val="0"/>
          <w:numId w:val="13"/>
        </w:numPr>
        <w:adjustRightInd/>
        <w:snapToGrid/>
        <w:spacing w:after="0" w:line="360" w:lineRule="auto"/>
        <w:jc w:val="both"/>
        <w:rPr>
          <w:rFonts w:ascii="宋体" w:hAnsi="宋体" w:eastAsia="宋体"/>
          <w:color w:val="auto"/>
          <w:sz w:val="21"/>
          <w:szCs w:val="21"/>
          <w:highlight w:val="none"/>
        </w:rPr>
      </w:pPr>
      <w:r>
        <w:rPr>
          <w:rFonts w:hint="eastAsia" w:ascii="宋体" w:hAnsi="宋体" w:eastAsia="宋体"/>
          <w:color w:val="auto"/>
          <w:sz w:val="21"/>
          <w:szCs w:val="21"/>
          <w:highlight w:val="none"/>
        </w:rPr>
        <w:t>与本投标有关的一切正式信函请寄：</w:t>
      </w:r>
    </w:p>
    <w:p>
      <w:pPr>
        <w:spacing w:after="0" w:line="360" w:lineRule="auto"/>
        <w:rPr>
          <w:rFonts w:ascii="宋体" w:hAnsi="宋体" w:eastAsia="宋体"/>
          <w:color w:val="auto"/>
          <w:sz w:val="21"/>
          <w:szCs w:val="21"/>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地址：　　　　　　　　　　　　　　　　　　　传真：</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电话/移动电话：　　　　　　　　　　　　　　　电子函件：</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投标人代表签字：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投标人名称（全称）：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投标人盖章： </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投标人开户银行（全称）：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投标人银行帐号：</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pStyle w:val="7"/>
        <w:widowControl w:val="0"/>
        <w:overflowPunct w:val="0"/>
        <w:spacing w:before="0" w:after="0" w:line="240" w:lineRule="auto"/>
        <w:rPr>
          <w:rFonts w:ascii="宋体" w:hAnsi="宋体" w:eastAsia="宋体"/>
          <w:color w:val="auto"/>
          <w:sz w:val="21"/>
          <w:szCs w:val="21"/>
          <w:highlight w:val="none"/>
        </w:rPr>
      </w:pPr>
      <w:bookmarkStart w:id="119" w:name="_Toc6866"/>
      <w:r>
        <w:rPr>
          <w:rFonts w:hint="eastAsia" w:ascii="宋体" w:hAnsi="宋体" w:eastAsia="宋体"/>
          <w:color w:val="auto"/>
          <w:sz w:val="21"/>
          <w:szCs w:val="21"/>
          <w:highlight w:val="none"/>
        </w:rPr>
        <w:t>附件3.开标一览表格式</w:t>
      </w:r>
      <w:bookmarkEnd w:id="119"/>
    </w:p>
    <w:p>
      <w:pPr>
        <w:jc w:val="center"/>
        <w:rPr>
          <w:rFonts w:ascii="黑体" w:eastAsia="黑体"/>
          <w:color w:val="auto"/>
          <w:sz w:val="32"/>
          <w:szCs w:val="32"/>
          <w:highlight w:val="none"/>
        </w:rPr>
      </w:pPr>
      <w:r>
        <w:rPr>
          <w:rFonts w:hint="eastAsia" w:ascii="黑体" w:eastAsia="黑体"/>
          <w:color w:val="auto"/>
          <w:sz w:val="32"/>
          <w:szCs w:val="32"/>
          <w:highlight w:val="none"/>
        </w:rPr>
        <w:t>开标一览表</w:t>
      </w:r>
    </w:p>
    <w:p>
      <w:pPr>
        <w:spacing w:line="360" w:lineRule="auto"/>
        <w:rPr>
          <w:color w:val="auto"/>
          <w:highlight w:val="none"/>
        </w:rPr>
      </w:pP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投标人名称：</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采购项目编号：</w:t>
      </w:r>
    </w:p>
    <w:tbl>
      <w:tblPr>
        <w:tblStyle w:val="24"/>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投标总价</w:t>
            </w:r>
          </w:p>
        </w:tc>
        <w:tc>
          <w:tcPr>
            <w:tcW w:w="3262"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小写：</w:t>
            </w:r>
          </w:p>
        </w:tc>
        <w:tc>
          <w:tcPr>
            <w:tcW w:w="3262" w:type="dxa"/>
            <w:vMerge w:val="restart"/>
          </w:tcPr>
          <w:p>
            <w:pPr>
              <w:tabs>
                <w:tab w:val="left" w:pos="654"/>
                <w:tab w:val="left" w:pos="1734"/>
                <w:tab w:val="left" w:pos="2814"/>
                <w:tab w:val="left" w:pos="3894"/>
                <w:tab w:val="left" w:pos="5334"/>
                <w:tab w:val="left" w:pos="6414"/>
                <w:tab w:val="left" w:pos="7254"/>
                <w:tab w:val="left" w:pos="8574"/>
                <w:tab w:val="left" w:pos="9654"/>
              </w:tabs>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color w:val="auto"/>
                <w:highlight w:val="none"/>
              </w:rPr>
            </w:pPr>
          </w:p>
        </w:tc>
        <w:tc>
          <w:tcPr>
            <w:tcW w:w="3085" w:type="dxa"/>
            <w:vAlign w:val="center"/>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r>
              <w:rPr>
                <w:rFonts w:hint="eastAsia" w:ascii="宋体" w:hAnsi="宋体" w:eastAsia="宋体"/>
                <w:color w:val="auto"/>
                <w:sz w:val="21"/>
                <w:szCs w:val="21"/>
                <w:highlight w:val="none"/>
              </w:rPr>
              <w:t>大写：</w:t>
            </w:r>
          </w:p>
        </w:tc>
        <w:tc>
          <w:tcPr>
            <w:tcW w:w="3262" w:type="dxa"/>
            <w:vMerge w:val="continue"/>
          </w:tcPr>
          <w:p>
            <w:pPr>
              <w:tabs>
                <w:tab w:val="left" w:pos="654"/>
                <w:tab w:val="left" w:pos="1734"/>
                <w:tab w:val="left" w:pos="2814"/>
                <w:tab w:val="left" w:pos="3894"/>
                <w:tab w:val="left" w:pos="5334"/>
                <w:tab w:val="left" w:pos="6414"/>
                <w:tab w:val="left" w:pos="7254"/>
                <w:tab w:val="left" w:pos="8574"/>
                <w:tab w:val="left" w:pos="9654"/>
              </w:tabs>
              <w:spacing w:after="0"/>
              <w:jc w:val="both"/>
              <w:rPr>
                <w:rFonts w:ascii="宋体" w:hAnsi="宋体" w:eastAsia="宋体"/>
                <w:color w:val="auto"/>
                <w:sz w:val="21"/>
                <w:szCs w:val="21"/>
                <w:highlight w:val="none"/>
              </w:rPr>
            </w:pPr>
          </w:p>
        </w:tc>
      </w:tr>
    </w:tbl>
    <w:p>
      <w:pPr>
        <w:spacing w:after="0" w:line="360" w:lineRule="auto"/>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line="360" w:lineRule="auto"/>
        <w:ind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p>
      <w:pPr>
        <w:spacing w:after="0" w:line="360" w:lineRule="auto"/>
        <w:ind w:firstLine="359" w:firstLineChars="171"/>
        <w:rPr>
          <w:rFonts w:ascii="宋体" w:hAnsi="宋体" w:eastAsia="宋体"/>
          <w:color w:val="auto"/>
          <w:sz w:val="21"/>
          <w:szCs w:val="21"/>
          <w:highlight w:val="none"/>
        </w:rPr>
      </w:pPr>
    </w:p>
    <w:p>
      <w:pPr>
        <w:spacing w:after="0" w:line="360" w:lineRule="auto"/>
        <w:ind w:left="391" w:hanging="390" w:hangingChars="186"/>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注：1、投标总价栏须</w:t>
      </w:r>
      <w:r>
        <w:rPr>
          <w:rFonts w:ascii="宋体" w:hAnsi="宋体" w:eastAsia="宋体"/>
          <w:color w:val="auto"/>
          <w:sz w:val="21"/>
          <w:szCs w:val="21"/>
          <w:highlight w:val="none"/>
        </w:rPr>
        <w:t>用</w:t>
      </w:r>
      <w:r>
        <w:rPr>
          <w:rFonts w:hint="eastAsia" w:ascii="宋体" w:hAnsi="宋体" w:eastAsia="宋体"/>
          <w:color w:val="auto"/>
          <w:sz w:val="21"/>
          <w:szCs w:val="21"/>
          <w:highlight w:val="none"/>
        </w:rPr>
        <w:t>大写金额和小写金额两种方式</w:t>
      </w:r>
      <w:r>
        <w:rPr>
          <w:rFonts w:ascii="宋体" w:hAnsi="宋体" w:eastAsia="宋体"/>
          <w:color w:val="auto"/>
          <w:sz w:val="21"/>
          <w:szCs w:val="21"/>
          <w:highlight w:val="none"/>
        </w:rPr>
        <w:t>表示的投标总价</w:t>
      </w:r>
      <w:r>
        <w:rPr>
          <w:rFonts w:hint="eastAsia" w:ascii="宋体" w:hAnsi="宋体" w:eastAsia="宋体"/>
          <w:color w:val="auto"/>
          <w:sz w:val="21"/>
          <w:szCs w:val="21"/>
          <w:highlight w:val="none"/>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highlight w:val="none"/>
        </w:rPr>
      </w:pPr>
      <w:r>
        <w:rPr>
          <w:rFonts w:hint="eastAsia" w:ascii="宋体" w:hAnsi="宋体" w:eastAsia="宋体"/>
          <w:color w:val="auto"/>
          <w:sz w:val="21"/>
          <w:szCs w:val="21"/>
          <w:highlight w:val="none"/>
        </w:rPr>
        <w:t>3、未按招标文件要求报价、填写开标一览表是导致投标人废标的常见问题，请投标人仔细填写，认真核对。</w:t>
      </w: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0" w:name="_Toc3254"/>
      <w:r>
        <w:rPr>
          <w:rFonts w:hint="eastAsia" w:ascii="宋体" w:hAnsi="宋体" w:eastAsia="宋体"/>
          <w:color w:val="auto"/>
          <w:sz w:val="21"/>
          <w:szCs w:val="21"/>
          <w:highlight w:val="none"/>
        </w:rPr>
        <w:t xml:space="preserve">附件4. </w:t>
      </w:r>
      <w:r>
        <w:rPr>
          <w:rFonts w:hint="eastAsia" w:ascii="宋体" w:hAnsi="宋体" w:eastAsia="宋体" w:cs="Times New Roman"/>
          <w:color w:val="auto"/>
          <w:sz w:val="21"/>
          <w:szCs w:val="21"/>
          <w:highlight w:val="none"/>
        </w:rPr>
        <w:t>投标分项报价表格式</w:t>
      </w:r>
      <w:bookmarkEnd w:id="120"/>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货物（服务）分项报价表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37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数量</w:t>
            </w: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单价</w:t>
            </w: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服务要求</w:t>
            </w: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1</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2</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3</w:t>
            </w:r>
          </w:p>
        </w:tc>
        <w:tc>
          <w:tcPr>
            <w:tcW w:w="1377" w:type="dxa"/>
            <w:vAlign w:val="center"/>
          </w:tcPr>
          <w:p>
            <w:pPr>
              <w:spacing w:before="100" w:beforeAutospacing="1" w:after="100" w:afterAutospacing="1"/>
              <w:rPr>
                <w:rFonts w:ascii="宋体" w:hAnsi="宋体" w:eastAsia="宋体"/>
                <w:color w:val="auto"/>
                <w:sz w:val="21"/>
                <w:szCs w:val="21"/>
                <w:highlight w:val="none"/>
              </w:rPr>
            </w:pPr>
          </w:p>
        </w:tc>
        <w:tc>
          <w:tcPr>
            <w:tcW w:w="1917" w:type="dxa"/>
            <w:vAlign w:val="center"/>
          </w:tcPr>
          <w:p>
            <w:pPr>
              <w:spacing w:before="100" w:beforeAutospacing="1" w:after="100" w:afterAutospacing="1"/>
              <w:jc w:val="center"/>
              <w:rPr>
                <w:rFonts w:ascii="宋体" w:hAnsi="宋体" w:eastAsia="宋体"/>
                <w:color w:val="auto"/>
                <w:sz w:val="21"/>
                <w:szCs w:val="21"/>
                <w:highlight w:val="none"/>
              </w:rPr>
            </w:pPr>
          </w:p>
        </w:tc>
        <w:tc>
          <w:tcPr>
            <w:tcW w:w="1050" w:type="dxa"/>
            <w:vAlign w:val="center"/>
          </w:tcPr>
          <w:p>
            <w:pPr>
              <w:spacing w:before="100" w:beforeAutospacing="1" w:after="100" w:afterAutospacing="1"/>
              <w:jc w:val="center"/>
              <w:rPr>
                <w:rFonts w:ascii="宋体" w:hAnsi="宋体" w:eastAsia="宋体"/>
                <w:color w:val="auto"/>
                <w:sz w:val="21"/>
                <w:szCs w:val="21"/>
                <w:highlight w:val="none"/>
              </w:rPr>
            </w:pPr>
          </w:p>
        </w:tc>
        <w:tc>
          <w:tcPr>
            <w:tcW w:w="1100" w:type="dxa"/>
            <w:vAlign w:val="center"/>
          </w:tcPr>
          <w:p>
            <w:pPr>
              <w:spacing w:before="100" w:beforeAutospacing="1" w:after="100" w:afterAutospacing="1"/>
              <w:jc w:val="center"/>
              <w:rPr>
                <w:rFonts w:ascii="宋体" w:hAnsi="宋体" w:eastAsia="宋体"/>
                <w:color w:val="auto"/>
                <w:sz w:val="21"/>
                <w:szCs w:val="21"/>
                <w:highlight w:val="none"/>
              </w:rPr>
            </w:pPr>
          </w:p>
        </w:tc>
        <w:tc>
          <w:tcPr>
            <w:tcW w:w="1183" w:type="dxa"/>
            <w:vAlign w:val="center"/>
          </w:tcPr>
          <w:p>
            <w:pPr>
              <w:spacing w:before="100" w:beforeAutospacing="1" w:after="100" w:afterAutospacing="1"/>
              <w:jc w:val="center"/>
              <w:rPr>
                <w:rFonts w:ascii="宋体" w:hAnsi="宋体" w:eastAsia="宋体"/>
                <w:color w:val="auto"/>
                <w:sz w:val="21"/>
                <w:szCs w:val="21"/>
                <w:highlight w:val="none"/>
              </w:rPr>
            </w:pPr>
          </w:p>
        </w:tc>
        <w:tc>
          <w:tcPr>
            <w:tcW w:w="1078" w:type="dxa"/>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日期：</w:t>
            </w:r>
          </w:p>
        </w:tc>
      </w:tr>
    </w:tbl>
    <w:p>
      <w:pPr>
        <w:rPr>
          <w:rFonts w:ascii="宋体" w:hAnsi="宋体" w:eastAsia="宋体" w:cs="宋体"/>
          <w:b/>
          <w:color w:val="auto"/>
          <w:sz w:val="21"/>
          <w:szCs w:val="21"/>
          <w:highlight w:val="none"/>
        </w:rPr>
      </w:pPr>
    </w:p>
    <w:p>
      <w:pP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小型和微型企业（货物、承担的工程或者服务）列价表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58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575" w:type="dxa"/>
            <w:vAlign w:val="center"/>
          </w:tcPr>
          <w:p>
            <w:pPr>
              <w:spacing w:after="0"/>
              <w:ind w:hanging="148"/>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品牌及原产地</w:t>
            </w:r>
          </w:p>
        </w:tc>
        <w:tc>
          <w:tcPr>
            <w:tcW w:w="118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7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778"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972"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587" w:type="dxa"/>
            <w:vAlign w:val="center"/>
          </w:tcPr>
          <w:p>
            <w:pPr>
              <w:spacing w:after="0"/>
              <w:jc w:val="center"/>
              <w:textAlignment w:val="bottom"/>
              <w:rPr>
                <w:rFonts w:ascii="宋体" w:hAnsi="宋体" w:eastAsia="宋体" w:cs="宋体"/>
                <w:color w:val="auto"/>
                <w:sz w:val="21"/>
                <w:szCs w:val="21"/>
                <w:highlight w:val="none"/>
              </w:rPr>
            </w:pPr>
          </w:p>
        </w:tc>
        <w:tc>
          <w:tcPr>
            <w:tcW w:w="1575" w:type="dxa"/>
            <w:vAlign w:val="center"/>
          </w:tcPr>
          <w:p>
            <w:pPr>
              <w:spacing w:after="0"/>
              <w:jc w:val="center"/>
              <w:textAlignment w:val="bottom"/>
              <w:rPr>
                <w:rFonts w:ascii="宋体" w:hAnsi="宋体" w:eastAsia="宋体" w:cs="宋体"/>
                <w:color w:val="auto"/>
                <w:sz w:val="21"/>
                <w:szCs w:val="21"/>
                <w:highlight w:val="none"/>
              </w:rPr>
            </w:pPr>
          </w:p>
        </w:tc>
        <w:tc>
          <w:tcPr>
            <w:tcW w:w="1180"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777" w:type="dxa"/>
            <w:vAlign w:val="center"/>
          </w:tcPr>
          <w:p>
            <w:pPr>
              <w:spacing w:after="0"/>
              <w:jc w:val="center"/>
              <w:textAlignment w:val="bottom"/>
              <w:rPr>
                <w:rFonts w:ascii="宋体" w:hAnsi="宋体" w:eastAsia="宋体" w:cs="宋体"/>
                <w:color w:val="auto"/>
                <w:sz w:val="21"/>
                <w:szCs w:val="21"/>
                <w:highlight w:val="none"/>
              </w:rPr>
            </w:pPr>
          </w:p>
        </w:tc>
        <w:tc>
          <w:tcPr>
            <w:tcW w:w="778" w:type="dxa"/>
            <w:vAlign w:val="center"/>
          </w:tcPr>
          <w:p>
            <w:pPr>
              <w:spacing w:after="0"/>
              <w:jc w:val="center"/>
              <w:textAlignment w:val="bottom"/>
              <w:rPr>
                <w:rFonts w:ascii="宋体" w:hAnsi="宋体" w:eastAsia="宋体" w:cs="宋体"/>
                <w:color w:val="auto"/>
                <w:sz w:val="21"/>
                <w:szCs w:val="21"/>
                <w:highlight w:val="none"/>
              </w:rPr>
            </w:pPr>
          </w:p>
        </w:tc>
        <w:tc>
          <w:tcPr>
            <w:tcW w:w="972"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060" w:type="dxa"/>
            <w:gridSpan w:val="6"/>
            <w:vAlign w:val="center"/>
          </w:tcPr>
          <w:p>
            <w:pPr>
              <w:spacing w:after="0"/>
              <w:rPr>
                <w:rFonts w:ascii="宋体" w:hAnsi="宋体" w:eastAsia="宋体" w:cs="宋体"/>
                <w:color w:val="auto"/>
                <w:sz w:val="21"/>
                <w:szCs w:val="21"/>
                <w:highlight w:val="none"/>
              </w:rPr>
            </w:pPr>
            <w:r>
              <w:rPr>
                <w:rStyle w:val="43"/>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注：1、投标人在“货物（服务）分项报价表”中的报价内容中，如有属于</w:t>
            </w:r>
            <w:r>
              <w:rPr>
                <w:rFonts w:hint="eastAsia" w:ascii="宋体" w:hAnsi="宋体" w:eastAsia="宋体" w:cs="宋体"/>
                <w:b/>
                <w:color w:val="auto"/>
                <w:sz w:val="21"/>
                <w:szCs w:val="21"/>
                <w:highlight w:val="none"/>
              </w:rPr>
              <w:t>小型和微型企业产品（货物、承担的工程或者服务）的，必须在此表单独列明</w:t>
            </w:r>
            <w:r>
              <w:rPr>
                <w:rStyle w:val="43"/>
                <w:rFonts w:hint="eastAsia" w:ascii="宋体" w:hAnsi="宋体" w:eastAsia="宋体" w:cs="宋体"/>
                <w:b/>
                <w:color w:val="auto"/>
                <w:sz w:val="21"/>
                <w:szCs w:val="21"/>
                <w:highlight w:val="none"/>
              </w:rPr>
              <w:t>；</w:t>
            </w:r>
          </w:p>
          <w:p>
            <w:pPr>
              <w:tabs>
                <w:tab w:val="left" w:pos="284"/>
              </w:tabs>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3"/>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pStyle w:val="33"/>
        <w:spacing w:after="0" w:line="360" w:lineRule="auto"/>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节能产品或环境标志产品列价表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381"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货物名称</w:t>
            </w:r>
          </w:p>
        </w:tc>
        <w:tc>
          <w:tcPr>
            <w:tcW w:w="1316"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规格型号</w:t>
            </w:r>
          </w:p>
        </w:tc>
        <w:tc>
          <w:tcPr>
            <w:tcW w:w="1067"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11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单价</w:t>
            </w:r>
          </w:p>
        </w:tc>
        <w:tc>
          <w:tcPr>
            <w:tcW w:w="8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总价</w:t>
            </w:r>
          </w:p>
        </w:tc>
        <w:tc>
          <w:tcPr>
            <w:tcW w:w="833"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c>
          <w:tcPr>
            <w:tcW w:w="1050"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81" w:type="dxa"/>
            <w:vAlign w:val="center"/>
          </w:tcPr>
          <w:p>
            <w:pPr>
              <w:spacing w:after="0"/>
              <w:jc w:val="center"/>
              <w:textAlignment w:val="bottom"/>
              <w:rPr>
                <w:rFonts w:ascii="宋体" w:hAnsi="宋体" w:eastAsia="宋体" w:cs="宋体"/>
                <w:color w:val="auto"/>
                <w:sz w:val="21"/>
                <w:szCs w:val="21"/>
                <w:highlight w:val="none"/>
              </w:rPr>
            </w:pPr>
          </w:p>
        </w:tc>
        <w:tc>
          <w:tcPr>
            <w:tcW w:w="1316" w:type="dxa"/>
            <w:vAlign w:val="center"/>
          </w:tcPr>
          <w:p>
            <w:pPr>
              <w:spacing w:after="0"/>
              <w:jc w:val="center"/>
              <w:textAlignment w:val="bottom"/>
              <w:rPr>
                <w:rFonts w:ascii="宋体" w:hAnsi="宋体" w:eastAsia="宋体" w:cs="宋体"/>
                <w:color w:val="auto"/>
                <w:sz w:val="21"/>
                <w:szCs w:val="21"/>
                <w:highlight w:val="none"/>
              </w:rPr>
            </w:pPr>
          </w:p>
        </w:tc>
        <w:tc>
          <w:tcPr>
            <w:tcW w:w="1067" w:type="dxa"/>
            <w:vAlign w:val="center"/>
          </w:tcPr>
          <w:p>
            <w:pPr>
              <w:spacing w:after="0"/>
              <w:jc w:val="center"/>
              <w:textAlignment w:val="bottom"/>
              <w:rPr>
                <w:rFonts w:ascii="宋体" w:hAnsi="宋体" w:eastAsia="宋体" w:cs="宋体"/>
                <w:color w:val="auto"/>
                <w:sz w:val="21"/>
                <w:szCs w:val="21"/>
                <w:highlight w:val="none"/>
              </w:rPr>
            </w:pPr>
          </w:p>
        </w:tc>
        <w:tc>
          <w:tcPr>
            <w:tcW w:w="1150" w:type="dxa"/>
            <w:vAlign w:val="center"/>
          </w:tcPr>
          <w:p>
            <w:pPr>
              <w:spacing w:after="0"/>
              <w:jc w:val="center"/>
              <w:textAlignment w:val="bottom"/>
              <w:rPr>
                <w:rFonts w:ascii="宋体" w:hAnsi="宋体" w:eastAsia="宋体" w:cs="宋体"/>
                <w:color w:val="auto"/>
                <w:sz w:val="21"/>
                <w:szCs w:val="21"/>
                <w:highlight w:val="none"/>
              </w:rPr>
            </w:pPr>
          </w:p>
        </w:tc>
        <w:tc>
          <w:tcPr>
            <w:tcW w:w="850" w:type="dxa"/>
            <w:vAlign w:val="center"/>
          </w:tcPr>
          <w:p>
            <w:pPr>
              <w:spacing w:after="0"/>
              <w:jc w:val="center"/>
              <w:textAlignment w:val="bottom"/>
              <w:rPr>
                <w:rFonts w:ascii="宋体" w:hAnsi="宋体" w:eastAsia="宋体" w:cs="宋体"/>
                <w:color w:val="auto"/>
                <w:sz w:val="21"/>
                <w:szCs w:val="21"/>
                <w:highlight w:val="none"/>
              </w:rPr>
            </w:pPr>
          </w:p>
        </w:tc>
        <w:tc>
          <w:tcPr>
            <w:tcW w:w="833" w:type="dxa"/>
            <w:vAlign w:val="center"/>
          </w:tcPr>
          <w:p>
            <w:pPr>
              <w:spacing w:after="0"/>
              <w:jc w:val="center"/>
              <w:textAlignment w:val="bottom"/>
              <w:rPr>
                <w:rFonts w:ascii="宋体" w:hAnsi="宋体" w:eastAsia="宋体" w:cs="宋体"/>
                <w:color w:val="auto"/>
                <w:sz w:val="21"/>
                <w:szCs w:val="21"/>
                <w:highlight w:val="none"/>
              </w:rPr>
            </w:pPr>
          </w:p>
        </w:tc>
        <w:tc>
          <w:tcPr>
            <w:tcW w:w="1050" w:type="dxa"/>
            <w:vAlign w:val="center"/>
          </w:tcPr>
          <w:p>
            <w:pPr>
              <w:spacing w:after="0"/>
              <w:jc w:val="center"/>
              <w:textAlignment w:val="bottom"/>
              <w:rPr>
                <w:rFonts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6266" w:type="dxa"/>
            <w:gridSpan w:val="6"/>
            <w:vAlign w:val="center"/>
          </w:tcPr>
          <w:p>
            <w:pPr>
              <w:spacing w:after="0"/>
              <w:rPr>
                <w:rFonts w:ascii="宋体" w:hAnsi="宋体" w:eastAsia="宋体" w:cs="宋体"/>
                <w:color w:val="auto"/>
                <w:sz w:val="21"/>
                <w:szCs w:val="21"/>
                <w:highlight w:val="none"/>
              </w:rPr>
            </w:pPr>
            <w:r>
              <w:rPr>
                <w:rStyle w:val="43"/>
                <w:rFonts w:hint="eastAsia" w:ascii="宋体" w:hAnsi="宋体" w:eastAsia="宋体" w:cs="宋体"/>
                <w:color w:val="auto"/>
                <w:sz w:val="21"/>
                <w:szCs w:val="21"/>
                <w:highlight w:val="none"/>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43"/>
                <w:rFonts w:ascii="宋体" w:hAnsi="宋体" w:eastAsia="宋体" w:cs="宋体"/>
                <w:b/>
                <w:color w:val="auto"/>
                <w:sz w:val="21"/>
                <w:szCs w:val="21"/>
                <w:highlight w:val="none"/>
              </w:rPr>
            </w:pPr>
            <w:r>
              <w:rPr>
                <w:rStyle w:val="43"/>
                <w:rFonts w:hint="eastAsia" w:ascii="宋体" w:hAnsi="宋体" w:eastAsia="宋体" w:cs="宋体"/>
                <w:b/>
                <w:color w:val="auto"/>
                <w:sz w:val="21"/>
                <w:szCs w:val="21"/>
                <w:highlight w:val="none"/>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tabs>
                <w:tab w:val="left" w:pos="284"/>
              </w:tabs>
              <w:spacing w:after="0"/>
              <w:rPr>
                <w:rStyle w:val="43"/>
                <w:rFonts w:ascii="宋体" w:hAnsi="宋体" w:eastAsia="宋体" w:cs="宋体"/>
                <w:b/>
                <w:color w:val="auto"/>
                <w:sz w:val="21"/>
                <w:szCs w:val="21"/>
                <w:highlight w:val="none"/>
              </w:rPr>
            </w:pPr>
            <w:r>
              <w:rPr>
                <w:rFonts w:hint="eastAsia" w:ascii="宋体" w:hAnsi="宋体" w:eastAsia="宋体"/>
                <w:color w:val="auto"/>
                <w:sz w:val="21"/>
                <w:szCs w:val="21"/>
                <w:highlight w:val="none"/>
              </w:rPr>
              <w:t>日期：</w:t>
            </w:r>
          </w:p>
        </w:tc>
      </w:tr>
    </w:tbl>
    <w:p>
      <w:pPr>
        <w:jc w:val="both"/>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1" w:name="_Toc16412"/>
      <w:r>
        <w:rPr>
          <w:rFonts w:hint="eastAsia" w:ascii="宋体" w:hAnsi="宋体" w:eastAsia="宋体"/>
          <w:color w:val="auto"/>
          <w:sz w:val="21"/>
          <w:szCs w:val="21"/>
          <w:highlight w:val="none"/>
        </w:rPr>
        <w:t>附件5. 法定代表人证明书格式</w:t>
      </w:r>
      <w:bookmarkEnd w:id="12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法定代表人证明书</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6"/>
        <w:spacing w:line="420" w:lineRule="atLeast"/>
        <w:ind w:firstLine="433"/>
        <w:rPr>
          <w:rFonts w:ascii="宋体" w:eastAsia="宋体"/>
          <w:color w:val="auto"/>
          <w:sz w:val="21"/>
          <w:szCs w:val="21"/>
          <w:highlight w:val="none"/>
        </w:rPr>
      </w:pP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投标人名称:</w:t>
      </w: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单 位 性质：</w:t>
      </w:r>
    </w:p>
    <w:p>
      <w:pPr>
        <w:pStyle w:val="36"/>
        <w:spacing w:line="420" w:lineRule="atLeast"/>
        <w:ind w:firstLine="433"/>
        <w:rPr>
          <w:rFonts w:ascii="宋体" w:eastAsia="宋体"/>
          <w:color w:val="auto"/>
          <w:sz w:val="21"/>
          <w:szCs w:val="21"/>
          <w:highlight w:val="none"/>
          <w:u w:val="single"/>
        </w:rPr>
      </w:pPr>
      <w:r>
        <w:rPr>
          <w:rFonts w:hint="eastAsia" w:ascii="宋体" w:eastAsia="宋体"/>
          <w:color w:val="auto"/>
          <w:sz w:val="21"/>
          <w:szCs w:val="21"/>
          <w:highlight w:val="none"/>
        </w:rPr>
        <w:t>地      址：</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成 立 时间：年月日</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经 营 期限：</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姓名：性别：年龄：职务：</w:t>
      </w:r>
    </w:p>
    <w:p>
      <w:pPr>
        <w:pStyle w:val="36"/>
        <w:spacing w:line="420" w:lineRule="atLeast"/>
        <w:ind w:firstLine="433"/>
        <w:rPr>
          <w:rFonts w:ascii="宋体" w:eastAsia="宋体"/>
          <w:color w:val="auto"/>
          <w:sz w:val="21"/>
          <w:szCs w:val="21"/>
          <w:highlight w:val="none"/>
        </w:rPr>
      </w:pPr>
      <w:r>
        <w:rPr>
          <w:rFonts w:hint="eastAsia" w:ascii="宋体" w:eastAsia="宋体"/>
          <w:color w:val="auto"/>
          <w:sz w:val="21"/>
          <w:szCs w:val="21"/>
          <w:highlight w:val="none"/>
        </w:rPr>
        <w:t>系（投标人名称）的法定代表人。</w:t>
      </w:r>
    </w:p>
    <w:p>
      <w:pPr>
        <w:spacing w:line="420" w:lineRule="atLeas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特此证明。</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法定代表人（签名或盖私章）：</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法定代表人联系方式：</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身份证号码：</w:t>
      </w:r>
    </w:p>
    <w:p>
      <w:pPr>
        <w:pStyle w:val="36"/>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ind w:firstLine="420" w:firstLineChars="200"/>
        <w:rPr>
          <w:rFonts w:ascii="宋体" w:hAnsi="宋体" w:eastAsia="宋体"/>
          <w:color w:val="auto"/>
          <w:sz w:val="21"/>
          <w:szCs w:val="21"/>
          <w:highlight w:val="none"/>
        </w:rPr>
      </w:pPr>
    </w:p>
    <w:p>
      <w:pPr>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注：法定代表人身份证明书需附法人代表身份证复印件。</w:t>
      </w:r>
    </w:p>
    <w:tbl>
      <w:tblPr>
        <w:tblStyle w:val="24"/>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18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rPr>
          <w:color w:val="auto"/>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bookmarkStart w:id="122" w:name="_Toc31205"/>
      <w:r>
        <w:rPr>
          <w:rFonts w:hint="eastAsia" w:ascii="宋体" w:hAnsi="宋体" w:eastAsia="宋体"/>
          <w:color w:val="auto"/>
          <w:sz w:val="21"/>
          <w:szCs w:val="21"/>
          <w:highlight w:val="none"/>
        </w:rPr>
        <w:t>附件6.法定代表人授权书格式</w:t>
      </w:r>
      <w:bookmarkEnd w:id="12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法定代表人授权书</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致：广东政通招标有限公司</w:t>
      </w:r>
    </w:p>
    <w:p>
      <w:pPr>
        <w:pStyle w:val="36"/>
        <w:spacing w:line="420" w:lineRule="atLeast"/>
        <w:ind w:firstLine="433"/>
        <w:rPr>
          <w:rFonts w:ascii="宋体" w:eastAsia="宋体"/>
          <w:color w:val="auto"/>
          <w:sz w:val="21"/>
          <w:szCs w:val="21"/>
          <w:highlight w:val="none"/>
        </w:rPr>
      </w:pPr>
    </w:p>
    <w:p>
      <w:pPr>
        <w:spacing w:after="0"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本授权书声明：注册于</w:t>
      </w:r>
      <w:r>
        <w:rPr>
          <w:rFonts w:hint="eastAsia" w:ascii="宋体" w:hAnsi="宋体" w:eastAsia="宋体" w:cs="Times New Roman"/>
          <w:color w:val="auto"/>
          <w:sz w:val="21"/>
          <w:szCs w:val="21"/>
          <w:highlight w:val="none"/>
          <w:u w:val="single"/>
        </w:rPr>
        <w:t>（国家或地区的名称）</w:t>
      </w:r>
      <w:r>
        <w:rPr>
          <w:rFonts w:hint="eastAsia" w:ascii="宋体" w:hAnsi="宋体" w:eastAsia="宋体" w:cs="Times New Roman"/>
          <w:color w:val="auto"/>
          <w:sz w:val="21"/>
          <w:szCs w:val="21"/>
          <w:highlight w:val="none"/>
        </w:rPr>
        <w:t>的</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（法定代表人姓名、职务）</w:t>
      </w:r>
      <w:r>
        <w:rPr>
          <w:rFonts w:hint="eastAsia" w:ascii="宋体" w:hAnsi="宋体" w:eastAsia="宋体" w:cs="Times New Roman"/>
          <w:color w:val="auto"/>
          <w:sz w:val="21"/>
          <w:szCs w:val="21"/>
          <w:highlight w:val="none"/>
        </w:rPr>
        <w:t>代表本单位授权</w:t>
      </w:r>
      <w:r>
        <w:rPr>
          <w:rFonts w:hint="eastAsia" w:ascii="宋体" w:hAnsi="宋体" w:eastAsia="宋体" w:cs="Times New Roman"/>
          <w:color w:val="auto"/>
          <w:sz w:val="21"/>
          <w:szCs w:val="21"/>
          <w:highlight w:val="none"/>
          <w:u w:val="single"/>
        </w:rPr>
        <w:t>（单位名称）</w:t>
      </w:r>
      <w:r>
        <w:rPr>
          <w:rFonts w:hint="eastAsia" w:ascii="宋体" w:hAnsi="宋体" w:eastAsia="宋体" w:cs="Times New Roman"/>
          <w:color w:val="auto"/>
          <w:sz w:val="21"/>
          <w:szCs w:val="21"/>
          <w:highlight w:val="none"/>
        </w:rPr>
        <w:t>的在下面签字的</w:t>
      </w:r>
      <w:r>
        <w:rPr>
          <w:rFonts w:hint="eastAsia" w:ascii="宋体" w:hAnsi="宋体" w:eastAsia="宋体" w:cs="Times New Roman"/>
          <w:color w:val="auto"/>
          <w:sz w:val="21"/>
          <w:szCs w:val="21"/>
          <w:highlight w:val="none"/>
          <w:u w:val="single"/>
        </w:rPr>
        <w:t>（被授权人的姓名、职务）</w:t>
      </w:r>
      <w:r>
        <w:rPr>
          <w:rFonts w:hint="eastAsia" w:ascii="宋体" w:hAnsi="宋体" w:eastAsia="宋体" w:cs="Times New Roman"/>
          <w:color w:val="auto"/>
          <w:sz w:val="21"/>
          <w:szCs w:val="21"/>
          <w:highlight w:val="none"/>
        </w:rPr>
        <w:t>为本单位的合法代理人，就</w:t>
      </w:r>
      <w:r>
        <w:rPr>
          <w:rFonts w:hint="eastAsia" w:ascii="宋体" w:hAnsi="宋体" w:eastAsia="宋体" w:cs="Times New Roman"/>
          <w:color w:val="auto"/>
          <w:sz w:val="21"/>
          <w:szCs w:val="21"/>
          <w:highlight w:val="none"/>
          <w:u w:val="single"/>
        </w:rPr>
        <w:t>（项目名称）</w:t>
      </w:r>
      <w:r>
        <w:rPr>
          <w:rFonts w:hint="eastAsia" w:ascii="宋体" w:hAnsi="宋体" w:eastAsia="宋体" w:cs="Times New Roman"/>
          <w:color w:val="auto"/>
          <w:sz w:val="21"/>
          <w:szCs w:val="21"/>
          <w:highlight w:val="none"/>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本授权书于</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u w:val="single"/>
        </w:rPr>
        <w:t>　　</w:t>
      </w:r>
      <w:r>
        <w:rPr>
          <w:rFonts w:hint="eastAsia" w:ascii="宋体" w:hAnsi="宋体" w:eastAsia="宋体" w:cs="Times New Roman"/>
          <w:color w:val="auto"/>
          <w:sz w:val="21"/>
          <w:szCs w:val="21"/>
          <w:highlight w:val="none"/>
        </w:rPr>
        <w:t>日签字生效，特此声明。</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法定代表人签字（签名或盖私章）：</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被授权人签字：</w:t>
      </w:r>
    </w:p>
    <w:p>
      <w:pPr>
        <w:pStyle w:val="36"/>
        <w:spacing w:line="500" w:lineRule="atLeast"/>
        <w:ind w:firstLine="3517" w:firstLineChars="1675"/>
        <w:rPr>
          <w:rFonts w:ascii="宋体" w:eastAsia="宋体"/>
          <w:color w:val="auto"/>
          <w:sz w:val="21"/>
          <w:szCs w:val="21"/>
          <w:highlight w:val="none"/>
          <w:u w:val="single"/>
        </w:rPr>
      </w:pPr>
      <w:r>
        <w:rPr>
          <w:rFonts w:hint="eastAsia" w:ascii="宋体" w:eastAsia="宋体"/>
          <w:color w:val="auto"/>
          <w:sz w:val="21"/>
          <w:szCs w:val="21"/>
          <w:highlight w:val="none"/>
        </w:rPr>
        <w:t>职务：</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移动电话： </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详细通讯地址：</w:t>
      </w:r>
    </w:p>
    <w:p>
      <w:pPr>
        <w:pStyle w:val="36"/>
        <w:spacing w:line="500" w:lineRule="atLeast"/>
        <w:ind w:firstLine="3517" w:firstLineChars="1675"/>
        <w:rPr>
          <w:rFonts w:ascii="宋体" w:eastAsia="宋体"/>
          <w:color w:val="auto"/>
          <w:sz w:val="21"/>
          <w:szCs w:val="21"/>
          <w:highlight w:val="none"/>
        </w:rPr>
      </w:pPr>
      <w:r>
        <w:rPr>
          <w:rFonts w:hint="eastAsia" w:ascii="宋体" w:eastAsia="宋体"/>
          <w:color w:val="auto"/>
          <w:sz w:val="21"/>
          <w:szCs w:val="21"/>
          <w:highlight w:val="none"/>
        </w:rPr>
        <w:t xml:space="preserve">邮箱：                          </w:t>
      </w:r>
    </w:p>
    <w:p>
      <w:pPr>
        <w:pStyle w:val="36"/>
        <w:spacing w:line="500" w:lineRule="atLeast"/>
        <w:ind w:firstLine="3507" w:firstLineChars="1670"/>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6"/>
        <w:spacing w:line="460" w:lineRule="exact"/>
        <w:ind w:firstLine="433"/>
        <w:rPr>
          <w:rFonts w:ascii="宋体" w:eastAsia="宋体"/>
          <w:color w:val="auto"/>
          <w:sz w:val="21"/>
          <w:szCs w:val="21"/>
          <w:highlight w:val="none"/>
        </w:rPr>
      </w:pPr>
    </w:p>
    <w:p>
      <w:pPr>
        <w:ind w:firstLine="420" w:firstLineChars="200"/>
        <w:rPr>
          <w:rFonts w:eastAsia="宋体"/>
          <w:color w:val="auto"/>
          <w:highlight w:val="none"/>
        </w:rPr>
      </w:pPr>
      <w:r>
        <w:rPr>
          <w:rFonts w:hint="eastAsia" w:ascii="宋体" w:hAnsi="宋体" w:eastAsia="宋体"/>
          <w:color w:val="auto"/>
          <w:sz w:val="21"/>
          <w:szCs w:val="21"/>
          <w:highlight w:val="none"/>
        </w:rPr>
        <w:t>须附：被授权人身份证复印件。</w:t>
      </w:r>
    </w:p>
    <w:tbl>
      <w:tblPr>
        <w:tblStyle w:val="24"/>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正面</w:t>
            </w:r>
          </w:p>
        </w:tc>
        <w:tc>
          <w:tcPr>
            <w:tcW w:w="4232" w:type="dxa"/>
            <w:vAlign w:val="center"/>
          </w:tcPr>
          <w:p>
            <w:pPr>
              <w:pStyle w:val="36"/>
              <w:spacing w:line="460" w:lineRule="exact"/>
              <w:ind w:firstLine="0" w:firstLineChars="0"/>
              <w:jc w:val="center"/>
              <w:rPr>
                <w:rFonts w:ascii="宋体" w:eastAsia="宋体"/>
                <w:color w:val="auto"/>
                <w:sz w:val="22"/>
                <w:highlight w:val="none"/>
              </w:rPr>
            </w:pPr>
            <w:r>
              <w:rPr>
                <w:rFonts w:hint="eastAsia" w:ascii="宋体" w:eastAsia="宋体"/>
                <w:color w:val="auto"/>
                <w:sz w:val="22"/>
                <w:highlight w:val="none"/>
              </w:rPr>
              <w:t>背面</w:t>
            </w:r>
          </w:p>
        </w:tc>
      </w:tr>
    </w:tbl>
    <w:p>
      <w:pPr>
        <w:adjustRightInd/>
        <w:snapToGrid/>
        <w:spacing w:line="276" w:lineRule="auto"/>
        <w:rPr>
          <w:color w:val="auto"/>
          <w:highlight w:val="none"/>
        </w:rPr>
      </w:pPr>
      <w:bookmarkStart w:id="123" w:name="_Toc22486"/>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4" w:name="_Toc17164"/>
      <w:r>
        <w:rPr>
          <w:rFonts w:hint="eastAsia" w:ascii="宋体" w:hAnsi="宋体" w:eastAsia="宋体"/>
          <w:color w:val="auto"/>
          <w:sz w:val="21"/>
          <w:szCs w:val="21"/>
          <w:highlight w:val="none"/>
        </w:rPr>
        <w:t>附件7.资格申明</w:t>
      </w:r>
      <w:bookmarkEnd w:id="124"/>
    </w:p>
    <w:p>
      <w:pPr>
        <w:jc w:val="center"/>
        <w:rPr>
          <w:rFonts w:ascii="黑体" w:eastAsia="黑体"/>
          <w:color w:val="auto"/>
          <w:sz w:val="28"/>
          <w:szCs w:val="28"/>
          <w:highlight w:val="none"/>
        </w:rPr>
      </w:pPr>
      <w:r>
        <w:rPr>
          <w:rFonts w:hint="eastAsia" w:ascii="黑体" w:eastAsia="黑体"/>
          <w:color w:val="auto"/>
          <w:sz w:val="28"/>
          <w:szCs w:val="28"/>
          <w:highlight w:val="none"/>
        </w:rPr>
        <w:t>资格申明</w:t>
      </w:r>
    </w:p>
    <w:p>
      <w:pPr>
        <w:pStyle w:val="36"/>
        <w:spacing w:line="420" w:lineRule="atLeast"/>
        <w:ind w:firstLine="0" w:firstLineChars="0"/>
        <w:rPr>
          <w:rFonts w:ascii="宋体" w:eastAsia="宋体"/>
          <w:color w:val="auto"/>
          <w:sz w:val="21"/>
          <w:szCs w:val="21"/>
          <w:highlight w:val="none"/>
        </w:rPr>
      </w:pPr>
      <w:r>
        <w:rPr>
          <w:rFonts w:hint="eastAsia" w:ascii="宋体" w:eastAsia="宋体"/>
          <w:color w:val="auto"/>
          <w:sz w:val="21"/>
          <w:szCs w:val="21"/>
          <w:highlight w:val="none"/>
        </w:rPr>
        <w:t>广东政通招标有限公司：</w:t>
      </w:r>
    </w:p>
    <w:p>
      <w:pPr>
        <w:spacing w:after="0" w:line="360" w:lineRule="auto"/>
        <w:ind w:firstLine="420" w:firstLineChars="200"/>
        <w:rPr>
          <w:rFonts w:ascii="宋体" w:hAnsi="宋体" w:eastAsia="宋体"/>
          <w:color w:val="auto"/>
          <w:sz w:val="21"/>
          <w:szCs w:val="21"/>
          <w:highlight w:val="none"/>
        </w:rPr>
      </w:pP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我方</w:t>
      </w:r>
      <w:r>
        <w:rPr>
          <w:rFonts w:ascii="宋体" w:hAnsi="宋体" w:eastAsia="宋体"/>
          <w:color w:val="auto"/>
          <w:sz w:val="21"/>
          <w:szCs w:val="21"/>
          <w:highlight w:val="none"/>
        </w:rPr>
        <w:t>愿响应</w:t>
      </w:r>
      <w:r>
        <w:rPr>
          <w:rFonts w:hint="eastAsia" w:ascii="宋体" w:hAnsi="宋体" w:eastAsia="宋体"/>
          <w:color w:val="auto"/>
          <w:sz w:val="21"/>
          <w:szCs w:val="21"/>
          <w:highlight w:val="none"/>
        </w:rPr>
        <w:t>贵</w:t>
      </w:r>
      <w:r>
        <w:rPr>
          <w:rFonts w:ascii="宋体" w:hAnsi="宋体" w:eastAsia="宋体"/>
          <w:color w:val="auto"/>
          <w:sz w:val="21"/>
          <w:szCs w:val="21"/>
          <w:highlight w:val="none"/>
        </w:rPr>
        <w:t>方</w:t>
      </w:r>
      <w:r>
        <w:rPr>
          <w:rFonts w:hint="eastAsia" w:ascii="宋体" w:hAnsi="宋体" w:eastAsia="宋体"/>
          <w:color w:val="auto"/>
          <w:sz w:val="21"/>
          <w:szCs w:val="21"/>
          <w:highlight w:val="none"/>
        </w:rPr>
        <w:t>关于（项目名称）</w:t>
      </w:r>
      <w:r>
        <w:rPr>
          <w:rFonts w:ascii="宋体" w:hAnsi="宋体" w:eastAsia="宋体"/>
          <w:color w:val="auto"/>
          <w:sz w:val="21"/>
          <w:szCs w:val="21"/>
          <w:highlight w:val="none"/>
        </w:rPr>
        <w:t>（</w:t>
      </w:r>
      <w:r>
        <w:rPr>
          <w:rFonts w:hint="eastAsia" w:ascii="宋体" w:hAnsi="宋体" w:eastAsia="宋体"/>
          <w:color w:val="auto"/>
          <w:sz w:val="21"/>
          <w:szCs w:val="21"/>
          <w:highlight w:val="none"/>
        </w:rPr>
        <w:t>采购项目编号</w:t>
      </w:r>
      <w:r>
        <w:rPr>
          <w:rFonts w:ascii="宋体" w:hAnsi="宋体" w:eastAsia="宋体"/>
          <w:color w:val="auto"/>
          <w:sz w:val="21"/>
          <w:szCs w:val="21"/>
          <w:highlight w:val="none"/>
        </w:rPr>
        <w:t>）</w:t>
      </w:r>
      <w:r>
        <w:rPr>
          <w:rFonts w:hint="eastAsia" w:ascii="宋体" w:hAnsi="宋体" w:eastAsia="宋体"/>
          <w:color w:val="auto"/>
          <w:sz w:val="21"/>
          <w:szCs w:val="21"/>
          <w:highlight w:val="none"/>
        </w:rPr>
        <w:t>的</w:t>
      </w:r>
      <w:r>
        <w:rPr>
          <w:rFonts w:ascii="宋体" w:hAnsi="宋体" w:eastAsia="宋体"/>
          <w:color w:val="auto"/>
          <w:sz w:val="21"/>
          <w:szCs w:val="21"/>
          <w:highlight w:val="none"/>
        </w:rPr>
        <w:t>投标邀请，参与投标，提供用户需求书中规定的</w:t>
      </w:r>
      <w:r>
        <w:rPr>
          <w:rFonts w:hint="eastAsia" w:ascii="宋体" w:hAnsi="宋体" w:eastAsia="宋体"/>
          <w:color w:val="auto"/>
          <w:sz w:val="21"/>
          <w:szCs w:val="21"/>
          <w:highlight w:val="none"/>
        </w:rPr>
        <w:t>货物及相关服务</w:t>
      </w:r>
      <w:r>
        <w:rPr>
          <w:rFonts w:ascii="宋体" w:hAnsi="宋体" w:eastAsia="宋体"/>
          <w:color w:val="auto"/>
          <w:sz w:val="21"/>
          <w:szCs w:val="21"/>
          <w:highlight w:val="none"/>
        </w:rPr>
        <w:t>，并按招标文件要求提交所附资格文件且声明和保证如下：</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二、</w:t>
      </w:r>
      <w:r>
        <w:rPr>
          <w:rFonts w:ascii="宋体" w:hAnsi="宋体" w:eastAsia="宋体"/>
          <w:color w:val="auto"/>
          <w:sz w:val="21"/>
          <w:szCs w:val="21"/>
          <w:highlight w:val="none"/>
        </w:rPr>
        <w:t>我方依法注册，在法律上、财务上和运作上完全独立于（采购人名称）（采购人）及</w:t>
      </w:r>
      <w:r>
        <w:rPr>
          <w:rFonts w:hint="eastAsia" w:ascii="宋体" w:hAnsi="宋体" w:eastAsia="宋体"/>
          <w:color w:val="auto"/>
          <w:sz w:val="21"/>
          <w:szCs w:val="21"/>
          <w:highlight w:val="none"/>
        </w:rPr>
        <w:t>广东政通招标有限公司</w:t>
      </w:r>
      <w:r>
        <w:rPr>
          <w:rFonts w:ascii="宋体" w:hAnsi="宋体" w:eastAsia="宋体"/>
          <w:color w:val="auto"/>
          <w:sz w:val="21"/>
          <w:szCs w:val="21"/>
          <w:highlight w:val="none"/>
        </w:rPr>
        <w:t>（采购代理机构）</w:t>
      </w:r>
      <w:r>
        <w:rPr>
          <w:rFonts w:hint="eastAsia" w:ascii="宋体" w:hAnsi="宋体" w:eastAsia="宋体"/>
          <w:color w:val="auto"/>
          <w:sz w:val="21"/>
          <w:szCs w:val="21"/>
          <w:highlight w:val="none"/>
        </w:rPr>
        <w:t>。</w:t>
      </w: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3517" w:firstLineChars="1675"/>
        <w:rPr>
          <w:rFonts w:ascii="宋体" w:eastAsia="宋体"/>
          <w:color w:val="auto"/>
          <w:sz w:val="21"/>
          <w:szCs w:val="21"/>
          <w:highlight w:val="none"/>
        </w:rPr>
      </w:pP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投标人名称（加盖公章）：</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法定代表人签字（签名或盖私章）：</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t>日     期：年月日</w:t>
      </w:r>
    </w:p>
    <w:p>
      <w:pPr>
        <w:pStyle w:val="36"/>
        <w:spacing w:line="500" w:lineRule="atLeast"/>
        <w:ind w:firstLine="433"/>
        <w:rPr>
          <w:rFonts w:ascii="宋体" w:eastAsia="宋体"/>
          <w:color w:val="auto"/>
          <w:sz w:val="21"/>
          <w:szCs w:val="21"/>
          <w:highlight w:val="none"/>
        </w:rPr>
      </w:pPr>
      <w:r>
        <w:rPr>
          <w:rFonts w:hint="eastAsia" w:asci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25" w:name="_Toc27839"/>
      <w:r>
        <w:rPr>
          <w:rFonts w:hint="eastAsia" w:ascii="宋体" w:hAnsi="宋体" w:eastAsia="宋体"/>
          <w:color w:val="auto"/>
          <w:sz w:val="21"/>
          <w:szCs w:val="21"/>
          <w:highlight w:val="none"/>
        </w:rPr>
        <w:t>附件8.营业执照</w:t>
      </w:r>
      <w:bookmarkEnd w:id="125"/>
    </w:p>
    <w:p>
      <w:pPr>
        <w:jc w:val="center"/>
        <w:rPr>
          <w:rFonts w:ascii="黑体" w:eastAsia="黑体"/>
          <w:color w:val="auto"/>
          <w:sz w:val="28"/>
          <w:szCs w:val="28"/>
          <w:highlight w:val="none"/>
        </w:rPr>
      </w:pPr>
      <w:bookmarkStart w:id="126" w:name="_Toc17470"/>
      <w:bookmarkStart w:id="127" w:name="_Toc4926"/>
      <w:bookmarkStart w:id="128" w:name="_Toc1511"/>
      <w:bookmarkStart w:id="129" w:name="_Toc5919"/>
      <w:bookmarkStart w:id="130" w:name="_Toc24210"/>
      <w:r>
        <w:rPr>
          <w:rFonts w:hint="eastAsia" w:ascii="黑体" w:eastAsia="黑体"/>
          <w:color w:val="auto"/>
          <w:sz w:val="28"/>
          <w:szCs w:val="28"/>
          <w:highlight w:val="none"/>
        </w:rPr>
        <w:t>营业执照</w:t>
      </w:r>
      <w:bookmarkEnd w:id="126"/>
      <w:bookmarkEnd w:id="127"/>
      <w:bookmarkEnd w:id="128"/>
      <w:bookmarkEnd w:id="129"/>
      <w:bookmarkEnd w:id="130"/>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31" w:name="_Toc26141"/>
      <w:r>
        <w:rPr>
          <w:rFonts w:hint="eastAsia" w:ascii="宋体" w:hAnsi="宋体" w:eastAsia="宋体"/>
          <w:color w:val="auto"/>
          <w:sz w:val="21"/>
          <w:szCs w:val="21"/>
          <w:highlight w:val="none"/>
        </w:rPr>
        <w:t>附件9.相关资质证明文件</w:t>
      </w:r>
      <w:bookmarkEnd w:id="131"/>
    </w:p>
    <w:p>
      <w:pPr>
        <w:rPr>
          <w:color w:val="auto"/>
          <w:highlight w:val="none"/>
        </w:rPr>
      </w:pPr>
    </w:p>
    <w:p>
      <w:pPr>
        <w:jc w:val="center"/>
        <w:rPr>
          <w:rFonts w:ascii="黑体" w:eastAsia="黑体"/>
          <w:color w:val="auto"/>
          <w:sz w:val="28"/>
          <w:szCs w:val="28"/>
          <w:highlight w:val="none"/>
        </w:rPr>
      </w:pPr>
      <w:bookmarkStart w:id="132" w:name="_Toc16698"/>
      <w:bookmarkStart w:id="133" w:name="_Toc30307"/>
      <w:bookmarkStart w:id="134" w:name="_Toc13458"/>
      <w:bookmarkStart w:id="135" w:name="_Toc9592"/>
      <w:bookmarkStart w:id="136" w:name="_Toc16233"/>
      <w:r>
        <w:rPr>
          <w:rFonts w:hint="eastAsia" w:ascii="黑体" w:eastAsia="黑体"/>
          <w:color w:val="auto"/>
          <w:sz w:val="28"/>
          <w:szCs w:val="28"/>
          <w:highlight w:val="none"/>
        </w:rPr>
        <w:t>相关资质证明文件</w:t>
      </w:r>
      <w:bookmarkEnd w:id="123"/>
      <w:bookmarkEnd w:id="132"/>
      <w:bookmarkEnd w:id="133"/>
      <w:bookmarkEnd w:id="134"/>
      <w:bookmarkEnd w:id="135"/>
      <w:bookmarkEnd w:id="136"/>
    </w:p>
    <w:p>
      <w:pPr>
        <w:jc w:val="center"/>
        <w:rPr>
          <w:rFonts w:ascii="黑体" w:eastAsia="黑体"/>
          <w:color w:val="auto"/>
          <w:sz w:val="28"/>
          <w:szCs w:val="28"/>
          <w:highlight w:val="none"/>
        </w:rPr>
      </w:pPr>
      <w:r>
        <w:rPr>
          <w:rFonts w:hint="eastAsia" w:ascii="黑体" w:eastAsia="黑体"/>
          <w:color w:val="auto"/>
          <w:sz w:val="28"/>
          <w:szCs w:val="28"/>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37" w:name="_Toc17618"/>
      <w:r>
        <w:rPr>
          <w:rFonts w:hint="eastAsia" w:ascii="宋体" w:hAnsi="宋体" w:eastAsia="宋体"/>
          <w:color w:val="auto"/>
          <w:sz w:val="21"/>
          <w:szCs w:val="21"/>
          <w:highlight w:val="none"/>
        </w:rPr>
        <w:t>附件10. 商务条款偏离表格式</w:t>
      </w:r>
      <w:bookmarkEnd w:id="137"/>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商务条款偏离表</w:t>
      </w:r>
    </w:p>
    <w:tbl>
      <w:tblPr>
        <w:tblStyle w:val="24"/>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62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服务项目名称</w:t>
            </w:r>
          </w:p>
        </w:tc>
        <w:tc>
          <w:tcPr>
            <w:tcW w:w="13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587"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13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73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highlight w:val="none"/>
              </w:rPr>
            </w:pPr>
          </w:p>
        </w:tc>
        <w:tc>
          <w:tcPr>
            <w:tcW w:w="1620" w:type="dxa"/>
            <w:vAlign w:val="center"/>
          </w:tcPr>
          <w:p>
            <w:pPr>
              <w:jc w:val="center"/>
              <w:rPr>
                <w:rFonts w:ascii="宋体" w:hAnsi="宋体" w:eastAsia="宋体"/>
                <w:color w:val="auto"/>
                <w:sz w:val="21"/>
                <w:szCs w:val="21"/>
                <w:highlight w:val="none"/>
              </w:rPr>
            </w:pPr>
          </w:p>
        </w:tc>
        <w:tc>
          <w:tcPr>
            <w:tcW w:w="1360" w:type="dxa"/>
            <w:vAlign w:val="center"/>
          </w:tcPr>
          <w:p>
            <w:pPr>
              <w:jc w:val="center"/>
              <w:rPr>
                <w:rFonts w:ascii="宋体" w:hAnsi="宋体" w:eastAsia="宋体"/>
                <w:color w:val="auto"/>
                <w:sz w:val="21"/>
                <w:szCs w:val="21"/>
                <w:highlight w:val="none"/>
              </w:rPr>
            </w:pPr>
          </w:p>
        </w:tc>
        <w:tc>
          <w:tcPr>
            <w:tcW w:w="1587" w:type="dxa"/>
            <w:vAlign w:val="center"/>
          </w:tcPr>
          <w:p>
            <w:pPr>
              <w:jc w:val="center"/>
              <w:rPr>
                <w:rFonts w:ascii="宋体" w:hAnsi="宋体" w:eastAsia="宋体"/>
                <w:color w:val="auto"/>
                <w:sz w:val="21"/>
                <w:szCs w:val="21"/>
                <w:highlight w:val="none"/>
              </w:rPr>
            </w:pPr>
          </w:p>
        </w:tc>
        <w:tc>
          <w:tcPr>
            <w:tcW w:w="1133" w:type="dxa"/>
            <w:vAlign w:val="center"/>
          </w:tcPr>
          <w:p>
            <w:pPr>
              <w:jc w:val="center"/>
              <w:rPr>
                <w:rFonts w:ascii="宋体" w:hAnsi="宋体" w:eastAsia="宋体"/>
                <w:color w:val="auto"/>
                <w:sz w:val="21"/>
                <w:szCs w:val="21"/>
                <w:highlight w:val="none"/>
              </w:rPr>
            </w:pPr>
          </w:p>
        </w:tc>
        <w:tc>
          <w:tcPr>
            <w:tcW w:w="1730"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p>
    <w:p>
      <w:pPr>
        <w:ind w:left="718" w:hanging="718" w:hangingChars="342"/>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1、投标人应对照招标文件商务要求，说明已对招标文件的商务内容做出了实质性的响应。</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2、商务条款包括但不限于合格投标人资格、付款方式、履约保证金、完工期、售后服务、检验及验收等要求。</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3、若文件有具体要求的，应按照文件要求进行逐一响应，并提供相应的证明材料。</w:t>
      </w: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r>
        <w:rPr>
          <w:color w:val="auto"/>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38" w:name="_Toc32183"/>
      <w:r>
        <w:rPr>
          <w:rFonts w:hint="eastAsia" w:ascii="宋体" w:hAnsi="宋体" w:eastAsia="宋体"/>
          <w:color w:val="auto"/>
          <w:sz w:val="21"/>
          <w:szCs w:val="21"/>
          <w:highlight w:val="none"/>
        </w:rPr>
        <w:t>附件11. 技术规格偏离表格式</w:t>
      </w:r>
      <w:bookmarkEnd w:id="138"/>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技术规格偏离表</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90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技术规格</w:t>
            </w:r>
          </w:p>
        </w:tc>
        <w:tc>
          <w:tcPr>
            <w:tcW w:w="137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招标要求</w:t>
            </w:r>
          </w:p>
        </w:tc>
        <w:tc>
          <w:tcPr>
            <w:tcW w:w="162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投标实际响应</w:t>
            </w:r>
          </w:p>
        </w:tc>
        <w:tc>
          <w:tcPr>
            <w:tcW w:w="1239"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是否偏离</w:t>
            </w:r>
          </w:p>
        </w:tc>
        <w:tc>
          <w:tcPr>
            <w:tcW w:w="1544"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highlight w:val="none"/>
              </w:rPr>
            </w:pPr>
          </w:p>
        </w:tc>
        <w:tc>
          <w:tcPr>
            <w:tcW w:w="1902" w:type="dxa"/>
            <w:vAlign w:val="center"/>
          </w:tcPr>
          <w:p>
            <w:pPr>
              <w:jc w:val="center"/>
              <w:rPr>
                <w:rFonts w:ascii="宋体" w:hAnsi="宋体" w:eastAsia="宋体"/>
                <w:color w:val="auto"/>
                <w:sz w:val="21"/>
                <w:szCs w:val="21"/>
                <w:highlight w:val="none"/>
              </w:rPr>
            </w:pPr>
          </w:p>
        </w:tc>
        <w:tc>
          <w:tcPr>
            <w:tcW w:w="1370" w:type="dxa"/>
            <w:vAlign w:val="center"/>
          </w:tcPr>
          <w:p>
            <w:pPr>
              <w:jc w:val="center"/>
              <w:rPr>
                <w:rFonts w:ascii="宋体" w:hAnsi="宋体" w:eastAsia="宋体"/>
                <w:color w:val="auto"/>
                <w:sz w:val="21"/>
                <w:szCs w:val="21"/>
                <w:highlight w:val="none"/>
              </w:rPr>
            </w:pPr>
          </w:p>
        </w:tc>
        <w:tc>
          <w:tcPr>
            <w:tcW w:w="1629" w:type="dxa"/>
            <w:vAlign w:val="center"/>
          </w:tcPr>
          <w:p>
            <w:pPr>
              <w:jc w:val="center"/>
              <w:rPr>
                <w:rFonts w:ascii="宋体" w:hAnsi="宋体" w:eastAsia="宋体"/>
                <w:color w:val="auto"/>
                <w:sz w:val="21"/>
                <w:szCs w:val="21"/>
                <w:highlight w:val="none"/>
              </w:rPr>
            </w:pPr>
          </w:p>
        </w:tc>
        <w:tc>
          <w:tcPr>
            <w:tcW w:w="1239" w:type="dxa"/>
            <w:vAlign w:val="center"/>
          </w:tcPr>
          <w:p>
            <w:pPr>
              <w:jc w:val="center"/>
              <w:rPr>
                <w:rFonts w:ascii="宋体" w:hAnsi="宋体" w:eastAsia="宋体"/>
                <w:color w:val="auto"/>
                <w:sz w:val="21"/>
                <w:szCs w:val="21"/>
                <w:highlight w:val="none"/>
              </w:rPr>
            </w:pPr>
          </w:p>
        </w:tc>
        <w:tc>
          <w:tcPr>
            <w:tcW w:w="1544" w:type="dxa"/>
            <w:vAlign w:val="center"/>
          </w:tcPr>
          <w:p>
            <w:pPr>
              <w:jc w:val="center"/>
              <w:rPr>
                <w:rFonts w:ascii="宋体" w:hAnsi="宋体" w:eastAsia="宋体"/>
                <w:color w:val="auto"/>
                <w:sz w:val="21"/>
                <w:szCs w:val="21"/>
                <w:highlight w:val="none"/>
              </w:rPr>
            </w:pPr>
          </w:p>
        </w:tc>
      </w:tr>
    </w:tbl>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ind w:firstLine="178" w:firstLineChars="85"/>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1、偏离项中填写“正”、“负”或“无”，说明项中填写原因。</w:t>
      </w:r>
    </w:p>
    <w:p>
      <w:p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adjustRightInd/>
        <w:snapToGrid/>
        <w:spacing w:line="276" w:lineRule="auto"/>
        <w:rPr>
          <w:color w:val="auto"/>
          <w:highlight w:val="none"/>
        </w:rPr>
      </w:pPr>
    </w:p>
    <w:p>
      <w:pPr>
        <w:rPr>
          <w:rFonts w:ascii="宋体" w:hAnsi="宋体" w:eastAsia="宋体"/>
          <w:color w:val="auto"/>
          <w:sz w:val="21"/>
          <w:szCs w:val="21"/>
          <w:highlight w:val="none"/>
        </w:rPr>
      </w:pPr>
      <w:bookmarkStart w:id="139" w:name="_Toc17691"/>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s="Times New Roman"/>
          <w:b w:val="0"/>
          <w:bCs w:val="0"/>
          <w:color w:val="auto"/>
          <w:sz w:val="32"/>
          <w:szCs w:val="32"/>
          <w:highlight w:val="none"/>
        </w:rPr>
      </w:pPr>
      <w:bookmarkStart w:id="140" w:name="_Toc29613"/>
      <w:r>
        <w:rPr>
          <w:rFonts w:hint="eastAsia" w:ascii="宋体" w:hAnsi="宋体" w:eastAsia="宋体"/>
          <w:color w:val="auto"/>
          <w:sz w:val="21"/>
          <w:szCs w:val="21"/>
          <w:highlight w:val="none"/>
        </w:rPr>
        <w:t>附件12.重要技术参数（▲）响应表</w:t>
      </w:r>
      <w:bookmarkEnd w:id="139"/>
      <w:bookmarkEnd w:id="140"/>
    </w:p>
    <w:p>
      <w:pPr>
        <w:jc w:val="center"/>
        <w:rPr>
          <w:rFonts w:ascii="黑体" w:eastAsia="黑体"/>
          <w:color w:val="auto"/>
          <w:sz w:val="28"/>
          <w:szCs w:val="28"/>
          <w:highlight w:val="none"/>
        </w:rPr>
      </w:pPr>
      <w:bookmarkStart w:id="141" w:name="_Toc26078"/>
      <w:bookmarkStart w:id="142" w:name="_Toc1274"/>
      <w:bookmarkStart w:id="143" w:name="_Toc4464"/>
      <w:bookmarkStart w:id="144" w:name="_Toc4827"/>
      <w:bookmarkStart w:id="145" w:name="_Toc6080"/>
      <w:bookmarkStart w:id="146" w:name="_Toc18668"/>
    </w:p>
    <w:p>
      <w:pPr>
        <w:jc w:val="center"/>
        <w:rPr>
          <w:rFonts w:ascii="黑体" w:eastAsia="黑体"/>
          <w:color w:val="auto"/>
          <w:sz w:val="28"/>
          <w:szCs w:val="28"/>
          <w:highlight w:val="none"/>
        </w:rPr>
      </w:pPr>
      <w:r>
        <w:rPr>
          <w:rFonts w:hint="eastAsia" w:ascii="黑体" w:eastAsia="黑体"/>
          <w:color w:val="auto"/>
          <w:sz w:val="28"/>
          <w:szCs w:val="28"/>
          <w:highlight w:val="none"/>
        </w:rPr>
        <w:t>重要技术参数（▲）响应表</w:t>
      </w:r>
      <w:bookmarkEnd w:id="141"/>
      <w:bookmarkEnd w:id="142"/>
      <w:bookmarkEnd w:id="143"/>
      <w:bookmarkEnd w:id="144"/>
      <w:bookmarkEnd w:id="145"/>
      <w:bookmarkEnd w:id="146"/>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47" w:name="_Toc16872"/>
            <w:bookmarkStart w:id="148" w:name="_Toc10045"/>
            <w:bookmarkStart w:id="149" w:name="_Toc2700"/>
            <w:bookmarkStart w:id="150" w:name="_Toc22448"/>
            <w:bookmarkStart w:id="151" w:name="_Toc14815"/>
            <w:bookmarkStart w:id="152" w:name="_Toc21739"/>
            <w:bookmarkStart w:id="153" w:name="_Toc12049"/>
            <w:bookmarkStart w:id="154" w:name="_Toc4304"/>
            <w:bookmarkStart w:id="155" w:name="_Toc27090"/>
            <w:bookmarkStart w:id="156" w:name="_Toc15903"/>
            <w:r>
              <w:rPr>
                <w:rFonts w:hint="eastAsia" w:ascii="宋体" w:hAnsi="宋体" w:eastAsia="宋体" w:cs="Times New Roman"/>
                <w:color w:val="auto"/>
                <w:sz w:val="21"/>
                <w:szCs w:val="21"/>
                <w:highlight w:val="none"/>
              </w:rPr>
              <w:t>技术参数（▲）</w:t>
            </w:r>
            <w:bookmarkEnd w:id="147"/>
            <w:bookmarkEnd w:id="148"/>
            <w:bookmarkEnd w:id="149"/>
            <w:bookmarkEnd w:id="150"/>
            <w:bookmarkEnd w:id="151"/>
            <w:bookmarkEnd w:id="152"/>
            <w:bookmarkEnd w:id="153"/>
            <w:bookmarkEnd w:id="154"/>
            <w:bookmarkEnd w:id="155"/>
            <w:bookmarkEnd w:id="156"/>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57" w:name="_Toc24662"/>
            <w:bookmarkStart w:id="158" w:name="_Toc8312"/>
            <w:bookmarkStart w:id="159" w:name="_Toc22879"/>
            <w:bookmarkStart w:id="160" w:name="_Toc27442"/>
            <w:bookmarkStart w:id="161" w:name="_Toc32531"/>
            <w:bookmarkStart w:id="162" w:name="_Toc7333"/>
            <w:bookmarkStart w:id="163" w:name="_Toc19251"/>
            <w:bookmarkStart w:id="164" w:name="_Toc22917"/>
            <w:bookmarkStart w:id="165" w:name="_Toc21809"/>
            <w:bookmarkStart w:id="166" w:name="_Toc8490"/>
            <w:r>
              <w:rPr>
                <w:rFonts w:hint="eastAsia" w:ascii="宋体" w:hAnsi="宋体" w:eastAsia="宋体" w:cs="Times New Roman"/>
                <w:color w:val="auto"/>
                <w:sz w:val="21"/>
                <w:szCs w:val="21"/>
                <w:highlight w:val="none"/>
              </w:rPr>
              <w:t>是否响应</w:t>
            </w:r>
            <w:bookmarkEnd w:id="157"/>
            <w:bookmarkEnd w:id="158"/>
            <w:bookmarkEnd w:id="159"/>
            <w:bookmarkEnd w:id="160"/>
            <w:bookmarkEnd w:id="161"/>
            <w:bookmarkEnd w:id="162"/>
            <w:bookmarkEnd w:id="163"/>
            <w:bookmarkEnd w:id="164"/>
            <w:bookmarkEnd w:id="165"/>
            <w:bookmarkEnd w:id="166"/>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bookmarkStart w:id="167" w:name="_Toc5992"/>
            <w:bookmarkStart w:id="168" w:name="_Toc5563"/>
            <w:bookmarkStart w:id="169" w:name="_Toc3701"/>
            <w:bookmarkStart w:id="170" w:name="_Toc20139"/>
            <w:bookmarkStart w:id="171" w:name="_Toc20820"/>
            <w:bookmarkStart w:id="172" w:name="_Toc1330"/>
            <w:bookmarkStart w:id="173" w:name="_Toc17642"/>
            <w:bookmarkStart w:id="174" w:name="_Toc1912"/>
            <w:bookmarkStart w:id="175" w:name="_Toc17296"/>
            <w:bookmarkStart w:id="176" w:name="_Toc27185"/>
            <w:r>
              <w:rPr>
                <w:rFonts w:hint="eastAsia" w:ascii="宋体" w:hAnsi="宋体" w:eastAsia="宋体" w:cs="Times New Roman"/>
                <w:color w:val="auto"/>
                <w:sz w:val="21"/>
                <w:szCs w:val="21"/>
                <w:highlight w:val="none"/>
              </w:rPr>
              <w:t>页码范围</w:t>
            </w:r>
            <w:bookmarkEnd w:id="167"/>
            <w:bookmarkEnd w:id="168"/>
            <w:bookmarkEnd w:id="169"/>
            <w:bookmarkEnd w:id="170"/>
            <w:bookmarkEnd w:id="171"/>
            <w:bookmarkEnd w:id="172"/>
            <w:bookmarkEnd w:id="173"/>
            <w:bookmarkEnd w:id="174"/>
            <w:bookmarkEnd w:id="175"/>
            <w:bookmarkEnd w:id="17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2"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c>
          <w:tcPr>
            <w:tcW w:w="2840" w:type="dxa"/>
            <w:vAlign w:val="center"/>
          </w:tcPr>
          <w:p>
            <w:pPr>
              <w:pStyle w:val="7"/>
              <w:widowControl w:val="0"/>
              <w:overflowPunct w:val="0"/>
              <w:spacing w:before="0" w:after="0" w:line="240" w:lineRule="auto"/>
              <w:jc w:val="center"/>
              <w:rPr>
                <w:rFonts w:ascii="宋体" w:hAnsi="宋体" w:eastAsia="宋体" w:cs="Times New Roman"/>
                <w:color w:val="auto"/>
                <w:sz w:val="21"/>
                <w:szCs w:val="21"/>
                <w:highlight w:val="none"/>
              </w:rPr>
            </w:pPr>
          </w:p>
        </w:tc>
      </w:tr>
    </w:tbl>
    <w:p>
      <w:pPr>
        <w:pStyle w:val="33"/>
        <w:spacing w:after="0" w:line="360" w:lineRule="auto"/>
        <w:rPr>
          <w:rFonts w:ascii="宋体" w:hAnsi="宋体" w:eastAsia="宋体"/>
          <w:color w:val="auto"/>
          <w:sz w:val="21"/>
          <w:szCs w:val="21"/>
          <w:highlight w:val="none"/>
        </w:rPr>
      </w:pPr>
    </w:p>
    <w:p>
      <w:pPr>
        <w:pStyle w:val="33"/>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3"/>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3"/>
        <w:numPr>
          <w:ilvl w:val="0"/>
          <w:numId w:val="14"/>
        </w:numPr>
        <w:spacing w:after="0" w:line="360" w:lineRule="auto"/>
        <w:ind w:firstLine="422"/>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投标人可按项目的实际需要提供本表格。招标文件内未涉及▲参数的，此表可以不用提供。</w:t>
      </w:r>
    </w:p>
    <w:p>
      <w:pPr>
        <w:pStyle w:val="33"/>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响应表所列出的材料应为真实准确的，若文件需要，应提供相关证明材料复印件加盖公章。请勿提供虚假、过期材料，否则将依据相关规定严肃处理</w:t>
      </w:r>
    </w:p>
    <w:p>
      <w:pPr>
        <w:pStyle w:val="33"/>
        <w:numPr>
          <w:ilvl w:val="0"/>
          <w:numId w:val="14"/>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若招标文件有需求，投标文件未提供重要技术参数（</w:t>
      </w:r>
      <w:r>
        <w:rPr>
          <w:rFonts w:hint="eastAsia" w:ascii="宋体" w:hAnsi="宋体" w:eastAsia="宋体" w:cs="Times New Roman"/>
          <w:color w:val="auto"/>
          <w:sz w:val="21"/>
          <w:szCs w:val="21"/>
          <w:highlight w:val="none"/>
        </w:rPr>
        <w:t>▲</w:t>
      </w:r>
      <w:r>
        <w:rPr>
          <w:rFonts w:hint="eastAsia" w:ascii="宋体" w:hAnsi="宋体" w:eastAsia="宋体"/>
          <w:color w:val="auto"/>
          <w:sz w:val="21"/>
          <w:szCs w:val="21"/>
          <w:highlight w:val="none"/>
        </w:rPr>
        <w:t>）响应表对投标人投标产生负面影响的，投标人自行承担后果。</w:t>
      </w:r>
    </w:p>
    <w:p>
      <w:pPr>
        <w:pStyle w:val="33"/>
        <w:numPr>
          <w:ilvl w:val="0"/>
          <w:numId w:val="14"/>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30"/>
          <w:szCs w:val="30"/>
          <w:highlight w:val="none"/>
        </w:rPr>
      </w:pPr>
      <w:bookmarkStart w:id="177" w:name="_Toc27674"/>
      <w:r>
        <w:rPr>
          <w:rFonts w:hint="eastAsia" w:ascii="宋体" w:hAnsi="宋体" w:eastAsia="宋体"/>
          <w:color w:val="auto"/>
          <w:sz w:val="21"/>
          <w:szCs w:val="21"/>
          <w:highlight w:val="none"/>
        </w:rPr>
        <w:t>附件13.业绩表</w:t>
      </w:r>
      <w:bookmarkEnd w:id="177"/>
    </w:p>
    <w:p>
      <w:pPr>
        <w:jc w:val="center"/>
        <w:rPr>
          <w:rFonts w:ascii="黑体" w:eastAsia="黑体"/>
          <w:color w:val="auto"/>
          <w:sz w:val="28"/>
          <w:szCs w:val="28"/>
          <w:highlight w:val="none"/>
        </w:rPr>
      </w:pPr>
      <w:r>
        <w:rPr>
          <w:rFonts w:hint="eastAsia" w:ascii="黑体" w:eastAsia="黑体"/>
          <w:color w:val="auto"/>
          <w:sz w:val="28"/>
          <w:szCs w:val="28"/>
          <w:highlight w:val="none"/>
        </w:rPr>
        <w:t>业绩表</w:t>
      </w:r>
    </w:p>
    <w:tbl>
      <w:tblPr>
        <w:tblStyle w:val="25"/>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项目名称</w:t>
            </w:r>
          </w:p>
        </w:tc>
        <w:tc>
          <w:tcPr>
            <w:tcW w:w="1706"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项目金额</w:t>
            </w:r>
          </w:p>
        </w:tc>
        <w:tc>
          <w:tcPr>
            <w:tcW w:w="1705"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项目合同签订时间</w:t>
            </w:r>
          </w:p>
        </w:tc>
        <w:tc>
          <w:tcPr>
            <w:tcW w:w="1697" w:type="dxa"/>
            <w:vAlign w:val="center"/>
          </w:tcPr>
          <w:p>
            <w:pPr>
              <w:adjustRightInd/>
              <w:snapToGrid/>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706" w:type="dxa"/>
            <w:vAlign w:val="center"/>
          </w:tcPr>
          <w:p>
            <w:pPr>
              <w:adjustRightInd/>
              <w:snapToGrid/>
              <w:spacing w:after="0"/>
              <w:jc w:val="center"/>
              <w:rPr>
                <w:rFonts w:ascii="宋体" w:hAnsi="宋体" w:eastAsia="宋体"/>
                <w:color w:val="auto"/>
                <w:sz w:val="21"/>
                <w:szCs w:val="21"/>
                <w:highlight w:val="none"/>
              </w:rPr>
            </w:pPr>
          </w:p>
        </w:tc>
        <w:tc>
          <w:tcPr>
            <w:tcW w:w="1705" w:type="dxa"/>
            <w:vAlign w:val="center"/>
          </w:tcPr>
          <w:p>
            <w:pPr>
              <w:adjustRightInd/>
              <w:snapToGrid/>
              <w:spacing w:after="0"/>
              <w:jc w:val="center"/>
              <w:rPr>
                <w:rFonts w:ascii="宋体" w:hAnsi="宋体" w:eastAsia="宋体"/>
                <w:color w:val="auto"/>
                <w:sz w:val="21"/>
                <w:szCs w:val="21"/>
                <w:highlight w:val="none"/>
              </w:rPr>
            </w:pPr>
          </w:p>
        </w:tc>
        <w:tc>
          <w:tcPr>
            <w:tcW w:w="1697" w:type="dxa"/>
            <w:vAlign w:val="center"/>
          </w:tcPr>
          <w:p>
            <w:pPr>
              <w:adjustRightInd/>
              <w:snapToGrid/>
              <w:spacing w:after="0"/>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706" w:type="dxa"/>
          </w:tcPr>
          <w:p>
            <w:pPr>
              <w:adjustRightInd/>
              <w:snapToGrid/>
              <w:spacing w:after="0"/>
              <w:rPr>
                <w:rFonts w:ascii="宋体" w:hAnsi="宋体" w:eastAsia="宋体"/>
                <w:color w:val="auto"/>
                <w:sz w:val="21"/>
                <w:szCs w:val="21"/>
                <w:highlight w:val="none"/>
              </w:rPr>
            </w:pPr>
          </w:p>
        </w:tc>
        <w:tc>
          <w:tcPr>
            <w:tcW w:w="1705" w:type="dxa"/>
          </w:tcPr>
          <w:p>
            <w:pPr>
              <w:adjustRightInd/>
              <w:snapToGrid/>
              <w:spacing w:after="0"/>
              <w:rPr>
                <w:rFonts w:ascii="宋体" w:hAnsi="宋体" w:eastAsia="宋体"/>
                <w:color w:val="auto"/>
                <w:sz w:val="21"/>
                <w:szCs w:val="21"/>
                <w:highlight w:val="none"/>
              </w:rPr>
            </w:pPr>
          </w:p>
        </w:tc>
        <w:tc>
          <w:tcPr>
            <w:tcW w:w="1697" w:type="dxa"/>
          </w:tcPr>
          <w:p>
            <w:pPr>
              <w:adjustRightInd/>
              <w:snapToGrid/>
              <w:spacing w:after="0"/>
              <w:rPr>
                <w:rFonts w:ascii="宋体" w:hAnsi="宋体" w:eastAsia="宋体"/>
                <w:color w:val="auto"/>
                <w:sz w:val="21"/>
                <w:szCs w:val="21"/>
                <w:highlight w:val="none"/>
              </w:rPr>
            </w:pPr>
          </w:p>
        </w:tc>
      </w:tr>
    </w:tbl>
    <w:p>
      <w:pPr>
        <w:pStyle w:val="33"/>
        <w:spacing w:after="0"/>
        <w:rPr>
          <w:rFonts w:ascii="宋体" w:hAnsi="宋体" w:eastAsia="宋体"/>
          <w:color w:val="auto"/>
          <w:sz w:val="21"/>
          <w:szCs w:val="21"/>
          <w:highlight w:val="none"/>
        </w:rPr>
      </w:pPr>
    </w:p>
    <w:p>
      <w:pPr>
        <w:pStyle w:val="33"/>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3"/>
        <w:numPr>
          <w:ilvl w:val="0"/>
          <w:numId w:val="1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3"/>
        <w:numPr>
          <w:ilvl w:val="0"/>
          <w:numId w:val="15"/>
        </w:numPr>
        <w:spacing w:after="0" w:line="36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业绩表所列出的材料应为真实准确的，并应提供相关证明材料复印件加盖公章。请勿提供虚假、过期材料，否则将依据相关规定严肃处理。</w:t>
      </w:r>
    </w:p>
    <w:p>
      <w:pPr>
        <w:pStyle w:val="33"/>
        <w:numPr>
          <w:ilvl w:val="0"/>
          <w:numId w:val="15"/>
        </w:num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78" w:name="_Toc7860"/>
      <w:r>
        <w:rPr>
          <w:rFonts w:hint="eastAsia" w:ascii="宋体" w:hAnsi="宋体" w:eastAsia="宋体"/>
          <w:color w:val="auto"/>
          <w:sz w:val="21"/>
          <w:szCs w:val="21"/>
          <w:highlight w:val="none"/>
        </w:rPr>
        <w:t>附件14. 项目实施方案格式</w:t>
      </w:r>
      <w:bookmarkEnd w:id="178"/>
    </w:p>
    <w:p>
      <w:pPr>
        <w:jc w:val="center"/>
        <w:rPr>
          <w:rFonts w:ascii="黑体" w:eastAsia="黑体"/>
          <w:color w:val="auto"/>
          <w:sz w:val="32"/>
          <w:szCs w:val="32"/>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项目实施方案</w:t>
      </w:r>
    </w:p>
    <w:p>
      <w:pPr>
        <w:jc w:val="center"/>
        <w:rPr>
          <w:rFonts w:ascii="黑体" w:eastAsia="黑体"/>
          <w:color w:val="auto"/>
          <w:sz w:val="32"/>
          <w:szCs w:val="32"/>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1、为完成本项目投标人临时投入的设备</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4、售后服务方案</w:t>
      </w: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t>5、..........</w:t>
      </w:r>
    </w:p>
    <w:p>
      <w:pPr>
        <w:spacing w:after="0" w:line="360" w:lineRule="auto"/>
        <w:ind w:left="738" w:leftChars="200" w:hanging="298" w:hangingChars="142"/>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自行编写。</w:t>
      </w: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p>
    <w:p>
      <w:pPr>
        <w:spacing w:after="0" w:line="360" w:lineRule="auto"/>
        <w:ind w:left="738" w:leftChars="200" w:hanging="298" w:hangingChars="142"/>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79" w:name="_Toc8596"/>
      <w:r>
        <w:rPr>
          <w:rFonts w:hint="eastAsia" w:ascii="宋体" w:hAnsi="宋体" w:eastAsia="宋体"/>
          <w:color w:val="auto"/>
          <w:sz w:val="21"/>
          <w:szCs w:val="21"/>
          <w:highlight w:val="none"/>
        </w:rPr>
        <w:t>附件15. 实施本项目的有关人员资料表格式</w:t>
      </w:r>
      <w:bookmarkEnd w:id="179"/>
    </w:p>
    <w:p>
      <w:pPr>
        <w:jc w:val="center"/>
        <w:rPr>
          <w:rFonts w:ascii="宋体" w:hAnsi="宋体" w:eastAsia="宋体"/>
          <w:color w:val="auto"/>
          <w:sz w:val="21"/>
          <w:szCs w:val="21"/>
          <w:highlight w:val="none"/>
        </w:rPr>
      </w:pPr>
    </w:p>
    <w:p>
      <w:pPr>
        <w:jc w:val="center"/>
        <w:rPr>
          <w:rFonts w:ascii="黑体" w:eastAsia="黑体"/>
          <w:color w:val="auto"/>
          <w:sz w:val="32"/>
          <w:szCs w:val="32"/>
          <w:highlight w:val="none"/>
        </w:rPr>
      </w:pPr>
      <w:r>
        <w:rPr>
          <w:rFonts w:hint="eastAsia" w:ascii="黑体" w:eastAsia="黑体"/>
          <w:color w:val="auto"/>
          <w:sz w:val="32"/>
          <w:szCs w:val="32"/>
          <w:highlight w:val="none"/>
        </w:rPr>
        <w:t>实施本项目的有关人员资料表</w:t>
      </w:r>
    </w:p>
    <w:tbl>
      <w:tblPr>
        <w:tblStyle w:val="24"/>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序号</w:t>
            </w:r>
          </w:p>
        </w:tc>
        <w:tc>
          <w:tcPr>
            <w:tcW w:w="82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姓名</w:t>
            </w:r>
          </w:p>
        </w:tc>
        <w:tc>
          <w:tcPr>
            <w:tcW w:w="1392"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本项目拟任岗位</w:t>
            </w:r>
          </w:p>
        </w:tc>
        <w:tc>
          <w:tcPr>
            <w:tcW w:w="763"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性别</w:t>
            </w:r>
          </w:p>
        </w:tc>
        <w:tc>
          <w:tcPr>
            <w:tcW w:w="70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年龄</w:t>
            </w:r>
          </w:p>
        </w:tc>
        <w:tc>
          <w:tcPr>
            <w:tcW w:w="851"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技术职称</w:t>
            </w:r>
          </w:p>
        </w:tc>
        <w:tc>
          <w:tcPr>
            <w:tcW w:w="850"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专 业</w:t>
            </w:r>
          </w:p>
        </w:tc>
        <w:tc>
          <w:tcPr>
            <w:tcW w:w="788" w:type="dxa"/>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资质证书</w:t>
            </w:r>
          </w:p>
        </w:tc>
        <w:tc>
          <w:tcPr>
            <w:tcW w:w="1090" w:type="dxa"/>
            <w:tcBorders>
              <w:right w:val="single" w:color="auto" w:sz="6" w:space="0"/>
            </w:tcBorders>
            <w:vAlign w:val="center"/>
          </w:tcPr>
          <w:p>
            <w:pPr>
              <w:spacing w:after="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highlight w:val="none"/>
              </w:rPr>
            </w:pPr>
          </w:p>
        </w:tc>
        <w:tc>
          <w:tcPr>
            <w:tcW w:w="822" w:type="dxa"/>
            <w:vAlign w:val="center"/>
          </w:tcPr>
          <w:p>
            <w:pPr>
              <w:spacing w:line="288" w:lineRule="auto"/>
              <w:jc w:val="center"/>
              <w:rPr>
                <w:rFonts w:ascii="宋体" w:hAnsi="宋体" w:eastAsia="宋体"/>
                <w:color w:val="auto"/>
                <w:sz w:val="21"/>
                <w:szCs w:val="21"/>
                <w:highlight w:val="none"/>
              </w:rPr>
            </w:pPr>
          </w:p>
        </w:tc>
        <w:tc>
          <w:tcPr>
            <w:tcW w:w="1392" w:type="dxa"/>
            <w:vAlign w:val="center"/>
          </w:tcPr>
          <w:p>
            <w:pPr>
              <w:spacing w:line="288" w:lineRule="auto"/>
              <w:jc w:val="center"/>
              <w:rPr>
                <w:rFonts w:ascii="宋体" w:hAnsi="宋体" w:eastAsia="宋体"/>
                <w:color w:val="auto"/>
                <w:sz w:val="21"/>
                <w:szCs w:val="21"/>
                <w:highlight w:val="none"/>
              </w:rPr>
            </w:pPr>
          </w:p>
        </w:tc>
        <w:tc>
          <w:tcPr>
            <w:tcW w:w="763" w:type="dxa"/>
            <w:vAlign w:val="center"/>
          </w:tcPr>
          <w:p>
            <w:pPr>
              <w:spacing w:line="288" w:lineRule="auto"/>
              <w:jc w:val="center"/>
              <w:rPr>
                <w:rFonts w:ascii="宋体" w:hAnsi="宋体" w:eastAsia="宋体"/>
                <w:color w:val="auto"/>
                <w:sz w:val="21"/>
                <w:szCs w:val="21"/>
                <w:highlight w:val="none"/>
              </w:rPr>
            </w:pPr>
          </w:p>
        </w:tc>
        <w:tc>
          <w:tcPr>
            <w:tcW w:w="708" w:type="dxa"/>
            <w:vAlign w:val="center"/>
          </w:tcPr>
          <w:p>
            <w:pPr>
              <w:spacing w:line="288" w:lineRule="auto"/>
              <w:jc w:val="center"/>
              <w:rPr>
                <w:rFonts w:ascii="宋体" w:hAnsi="宋体" w:eastAsia="宋体"/>
                <w:color w:val="auto"/>
                <w:sz w:val="21"/>
                <w:szCs w:val="21"/>
                <w:highlight w:val="none"/>
              </w:rPr>
            </w:pPr>
          </w:p>
        </w:tc>
        <w:tc>
          <w:tcPr>
            <w:tcW w:w="851" w:type="dxa"/>
            <w:vAlign w:val="center"/>
          </w:tcPr>
          <w:p>
            <w:pPr>
              <w:spacing w:line="288" w:lineRule="auto"/>
              <w:jc w:val="center"/>
              <w:rPr>
                <w:rFonts w:ascii="宋体" w:hAnsi="宋体" w:eastAsia="宋体"/>
                <w:color w:val="auto"/>
                <w:sz w:val="21"/>
                <w:szCs w:val="21"/>
                <w:highlight w:val="none"/>
              </w:rPr>
            </w:pPr>
          </w:p>
        </w:tc>
        <w:tc>
          <w:tcPr>
            <w:tcW w:w="850" w:type="dxa"/>
            <w:vAlign w:val="center"/>
          </w:tcPr>
          <w:p>
            <w:pPr>
              <w:spacing w:line="288" w:lineRule="auto"/>
              <w:jc w:val="center"/>
              <w:rPr>
                <w:rFonts w:ascii="宋体" w:hAnsi="宋体" w:eastAsia="宋体"/>
                <w:color w:val="auto"/>
                <w:sz w:val="21"/>
                <w:szCs w:val="21"/>
                <w:highlight w:val="none"/>
              </w:rPr>
            </w:pPr>
          </w:p>
        </w:tc>
        <w:tc>
          <w:tcPr>
            <w:tcW w:w="788" w:type="dxa"/>
            <w:vAlign w:val="center"/>
          </w:tcPr>
          <w:p>
            <w:pPr>
              <w:spacing w:line="288" w:lineRule="auto"/>
              <w:jc w:val="center"/>
              <w:rPr>
                <w:rFonts w:ascii="宋体" w:hAnsi="宋体" w:eastAsia="宋体"/>
                <w:color w:val="auto"/>
                <w:sz w:val="21"/>
                <w:szCs w:val="21"/>
                <w:highlight w:val="none"/>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highlight w:val="none"/>
              </w:rPr>
            </w:pPr>
          </w:p>
        </w:tc>
      </w:tr>
    </w:tbl>
    <w:p>
      <w:pPr>
        <w:ind w:firstLine="178" w:firstLineChars="85"/>
        <w:rPr>
          <w:rFonts w:ascii="宋体" w:hAnsi="宋体" w:eastAsia="宋体"/>
          <w:color w:val="auto"/>
          <w:sz w:val="21"/>
          <w:szCs w:val="21"/>
          <w:highlight w:val="none"/>
        </w:rPr>
      </w:pP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附有关证明文件（复印件加盖公章）</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投标人代表签字：</w:t>
      </w:r>
    </w:p>
    <w:p>
      <w:pPr>
        <w:ind w:firstLine="178" w:firstLineChars="85"/>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pStyle w:val="33"/>
        <w:numPr>
          <w:ilvl w:val="0"/>
          <w:numId w:val="16"/>
        </w:numPr>
        <w:ind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投标人可按项目的实际需要或招标文件的要求提供本表格。</w:t>
      </w:r>
    </w:p>
    <w:p>
      <w:pPr>
        <w:pStyle w:val="33"/>
        <w:numPr>
          <w:ilvl w:val="0"/>
          <w:numId w:val="16"/>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该表格为参考格式，投标人可按实际情况自行制订。</w:t>
      </w:r>
    </w:p>
    <w:p>
      <w:pPr>
        <w:pStyle w:val="33"/>
        <w:numPr>
          <w:ilvl w:val="0"/>
          <w:numId w:val="16"/>
        </w:numPr>
        <w:ind w:firstLineChars="0"/>
        <w:rPr>
          <w:rFonts w:ascii="宋体" w:hAnsi="宋体" w:eastAsia="宋体" w:cs="Times New Roman"/>
          <w:color w:val="auto"/>
          <w:sz w:val="21"/>
          <w:szCs w:val="21"/>
          <w:highlight w:val="none"/>
        </w:rPr>
      </w:pPr>
      <w:r>
        <w:rPr>
          <w:rFonts w:hint="eastAsia" w:ascii="宋体" w:hAnsi="宋体" w:eastAsia="宋体"/>
          <w:color w:val="auto"/>
          <w:sz w:val="21"/>
          <w:szCs w:val="21"/>
          <w:highlight w:val="none"/>
        </w:rPr>
        <w:t>如本项目不涉及此表内容，则无需提供此表。</w:t>
      </w: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180" w:name="_Toc21598"/>
      <w:r>
        <w:rPr>
          <w:rFonts w:hint="eastAsia" w:ascii="宋体" w:hAnsi="宋体" w:eastAsia="宋体"/>
          <w:color w:val="auto"/>
          <w:sz w:val="21"/>
          <w:szCs w:val="21"/>
          <w:highlight w:val="none"/>
        </w:rPr>
        <w:t>附件16.投标货物说明一览表格式</w:t>
      </w:r>
      <w:bookmarkEnd w:id="180"/>
    </w:p>
    <w:p>
      <w:pPr>
        <w:jc w:val="center"/>
        <w:rPr>
          <w:rFonts w:ascii="黑体" w:eastAsia="黑体"/>
          <w:color w:val="auto"/>
          <w:sz w:val="28"/>
          <w:szCs w:val="28"/>
          <w:highlight w:val="none"/>
        </w:rPr>
      </w:pPr>
    </w:p>
    <w:p>
      <w:pPr>
        <w:jc w:val="center"/>
        <w:rPr>
          <w:rFonts w:ascii="黑体" w:eastAsia="黑体" w:cs="Times New Roman"/>
          <w:color w:val="auto"/>
          <w:sz w:val="28"/>
          <w:szCs w:val="28"/>
          <w:highlight w:val="none"/>
        </w:rPr>
      </w:pPr>
      <w:r>
        <w:rPr>
          <w:rFonts w:hint="eastAsia" w:ascii="黑体" w:eastAsia="黑体" w:cs="Times New Roman"/>
          <w:color w:val="auto"/>
          <w:sz w:val="28"/>
          <w:szCs w:val="28"/>
          <w:highlight w:val="none"/>
        </w:rPr>
        <w:t>投标货物说明一览表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序号</w:t>
            </w:r>
          </w:p>
        </w:tc>
        <w:tc>
          <w:tcPr>
            <w:tcW w:w="177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货物名称</w:t>
            </w:r>
          </w:p>
        </w:tc>
        <w:tc>
          <w:tcPr>
            <w:tcW w:w="1618"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规格型号</w:t>
            </w:r>
          </w:p>
        </w:tc>
        <w:tc>
          <w:tcPr>
            <w:tcW w:w="1217"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数量</w:t>
            </w:r>
          </w:p>
        </w:tc>
        <w:tc>
          <w:tcPr>
            <w:tcW w:w="1656"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单价</w:t>
            </w:r>
          </w:p>
        </w:tc>
        <w:tc>
          <w:tcPr>
            <w:tcW w:w="1305" w:type="dxa"/>
            <w:vAlign w:val="center"/>
          </w:tcPr>
          <w:p>
            <w:pPr>
              <w:spacing w:after="0"/>
              <w:jc w:val="cente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highlight w:val="none"/>
              </w:rPr>
            </w:pPr>
          </w:p>
        </w:tc>
        <w:tc>
          <w:tcPr>
            <w:tcW w:w="1775" w:type="dxa"/>
            <w:vAlign w:val="center"/>
          </w:tcPr>
          <w:p>
            <w:pPr>
              <w:spacing w:after="0"/>
              <w:jc w:val="center"/>
              <w:rPr>
                <w:rFonts w:ascii="宋体" w:hAnsi="宋体" w:eastAsia="宋体" w:cs="Times New Roman"/>
                <w:color w:val="auto"/>
                <w:sz w:val="21"/>
                <w:szCs w:val="21"/>
                <w:highlight w:val="none"/>
              </w:rPr>
            </w:pPr>
          </w:p>
        </w:tc>
        <w:tc>
          <w:tcPr>
            <w:tcW w:w="1618" w:type="dxa"/>
            <w:vAlign w:val="center"/>
          </w:tcPr>
          <w:p>
            <w:pPr>
              <w:spacing w:after="0"/>
              <w:jc w:val="center"/>
              <w:rPr>
                <w:rFonts w:ascii="宋体" w:hAnsi="宋体" w:eastAsia="宋体" w:cs="Times New Roman"/>
                <w:color w:val="auto"/>
                <w:sz w:val="21"/>
                <w:szCs w:val="21"/>
                <w:highlight w:val="none"/>
              </w:rPr>
            </w:pPr>
          </w:p>
        </w:tc>
        <w:tc>
          <w:tcPr>
            <w:tcW w:w="1217" w:type="dxa"/>
            <w:vAlign w:val="center"/>
          </w:tcPr>
          <w:p>
            <w:pPr>
              <w:spacing w:after="0"/>
              <w:jc w:val="center"/>
              <w:rPr>
                <w:rFonts w:ascii="宋体" w:hAnsi="宋体" w:eastAsia="宋体" w:cs="Times New Roman"/>
                <w:color w:val="auto"/>
                <w:sz w:val="21"/>
                <w:szCs w:val="21"/>
                <w:highlight w:val="none"/>
              </w:rPr>
            </w:pPr>
          </w:p>
        </w:tc>
        <w:tc>
          <w:tcPr>
            <w:tcW w:w="1656" w:type="dxa"/>
            <w:vAlign w:val="center"/>
          </w:tcPr>
          <w:p>
            <w:pPr>
              <w:spacing w:after="0"/>
              <w:jc w:val="center"/>
              <w:rPr>
                <w:rFonts w:ascii="宋体" w:hAnsi="宋体" w:eastAsia="宋体" w:cs="Times New Roman"/>
                <w:color w:val="auto"/>
                <w:sz w:val="21"/>
                <w:szCs w:val="21"/>
                <w:highlight w:val="none"/>
              </w:rPr>
            </w:pPr>
          </w:p>
        </w:tc>
        <w:tc>
          <w:tcPr>
            <w:tcW w:w="1305" w:type="dxa"/>
            <w:vAlign w:val="center"/>
          </w:tcPr>
          <w:p>
            <w:pPr>
              <w:spacing w:after="0"/>
              <w:jc w:val="center"/>
              <w:rPr>
                <w:rFonts w:ascii="宋体" w:hAnsi="宋体" w:eastAsia="宋体" w:cs="Times New Roman"/>
                <w:color w:val="auto"/>
                <w:sz w:val="21"/>
                <w:szCs w:val="21"/>
                <w:highlight w:val="none"/>
              </w:rPr>
            </w:pPr>
          </w:p>
        </w:tc>
      </w:tr>
    </w:tbl>
    <w:p>
      <w:pPr>
        <w:spacing w:after="0"/>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投标人代表签字：</w:t>
      </w: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投标人盖章：</w:t>
      </w:r>
    </w:p>
    <w:p>
      <w:pPr>
        <w:rPr>
          <w:rFonts w:ascii="宋体" w:hAnsi="宋体" w:eastAsia="宋体" w:cs="Times New Roman"/>
          <w:color w:val="auto"/>
          <w:sz w:val="21"/>
          <w:szCs w:val="21"/>
          <w:highlight w:val="none"/>
        </w:rPr>
      </w:pPr>
    </w:p>
    <w:p>
      <w:pPr>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注：</w:t>
      </w:r>
    </w:p>
    <w:p>
      <w:pPr>
        <w:pStyle w:val="3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1、投标人可按项目的实际需要提供本表格。</w:t>
      </w:r>
    </w:p>
    <w:p>
      <w:pPr>
        <w:pStyle w:val="3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2、该表格为参考格式，投标人可按实际情况自行制订。</w:t>
      </w:r>
    </w:p>
    <w:p>
      <w:pPr>
        <w:pStyle w:val="33"/>
        <w:ind w:firstLine="0" w:firstLineChars="0"/>
        <w:rPr>
          <w:rFonts w:ascii="宋体" w:hAnsi="宋体" w:eastAsia="宋体"/>
          <w:color w:val="auto"/>
          <w:sz w:val="21"/>
          <w:szCs w:val="21"/>
          <w:highlight w:val="none"/>
        </w:rPr>
      </w:pPr>
      <w:r>
        <w:rPr>
          <w:rFonts w:hint="eastAsia" w:ascii="宋体" w:hAnsi="宋体" w:eastAsia="宋体"/>
          <w:color w:val="auto"/>
          <w:sz w:val="21"/>
          <w:szCs w:val="21"/>
          <w:highlight w:val="none"/>
        </w:rPr>
        <w:t>3、如本项目不涉及此表内容，则无需提供此表。</w:t>
      </w: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81" w:name="_Toc10094"/>
      <w:bookmarkStart w:id="182" w:name="_Toc21223"/>
      <w:bookmarkStart w:id="183" w:name="_Toc417907703"/>
      <w:r>
        <w:rPr>
          <w:rFonts w:hint="eastAsia" w:ascii="宋体" w:hAnsi="宋体" w:eastAsia="宋体"/>
          <w:color w:val="auto"/>
          <w:sz w:val="21"/>
          <w:szCs w:val="21"/>
          <w:highlight w:val="none"/>
        </w:rPr>
        <w:t>附件17.在经营活动中没有重大违法记录的书面声明格式</w:t>
      </w:r>
      <w:bookmarkEnd w:id="181"/>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highlight w:val="none"/>
        </w:rPr>
      </w:pP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广东政通招标有限公司：</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我公司郑重承诺：在参加“</w:t>
      </w:r>
      <w:r>
        <w:rPr>
          <w:rFonts w:hint="eastAsia" w:ascii="宋体" w:hAnsi="宋体" w:eastAsia="宋体" w:cs="宋体"/>
          <w:color w:val="auto"/>
          <w:sz w:val="21"/>
          <w:szCs w:val="21"/>
          <w:highlight w:val="none"/>
          <w:u w:val="single"/>
        </w:rPr>
        <w:t xml:space="preserve">       （采购项目名称）</w:t>
      </w:r>
      <w:r>
        <w:rPr>
          <w:rFonts w:hint="eastAsia" w:ascii="宋体" w:hAnsi="宋体" w:eastAsia="宋体" w:cs="宋体"/>
          <w:color w:val="auto"/>
          <w:sz w:val="21"/>
          <w:szCs w:val="21"/>
          <w:highlight w:val="none"/>
        </w:rPr>
        <w:t>” （项目编号:）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color w:val="auto"/>
          <w:highlight w:val="none"/>
        </w:rPr>
      </w:pPr>
      <w:r>
        <w:rPr>
          <w:rFonts w:hint="eastAsia" w:ascii="宋体" w:hAnsi="宋体" w:eastAsia="宋体"/>
          <w:color w:val="auto"/>
          <w:sz w:val="21"/>
          <w:szCs w:val="21"/>
          <w:highlight w:val="none"/>
        </w:rPr>
        <w:t>附件18. 中小企业声明函（投标人为中小企业时适用）</w:t>
      </w:r>
      <w:bookmarkEnd w:id="182"/>
      <w:bookmarkEnd w:id="183"/>
    </w:p>
    <w:p>
      <w:pPr>
        <w:jc w:val="center"/>
        <w:rPr>
          <w:rFonts w:ascii="微软雅黑" w:hAnsi="微软雅黑" w:cs="微软雅黑"/>
          <w:b/>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中小企业声明函（货物）</w:t>
      </w:r>
    </w:p>
    <w:p>
      <w:pPr>
        <w:spacing w:line="360" w:lineRule="auto"/>
        <w:ind w:firstLine="630" w:firstLineChars="3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采购活动，提供的货物全部由符合政策要求的中小企业制造。相关企业</w:t>
      </w:r>
      <w:r>
        <w:rPr>
          <w:rFonts w:hint="eastAsia" w:asciiTheme="minorEastAsia" w:hAnsiTheme="minorEastAsia" w:eastAsiaTheme="minorEastAsia" w:cstheme="minorEastAsia"/>
          <w:color w:val="auto"/>
          <w:sz w:val="21"/>
          <w:szCs w:val="21"/>
          <w:highlight w:val="none"/>
          <w:u w:val="single"/>
        </w:rPr>
        <w:t>（含联合体中的中小企业、签订分包意向协议的中小企业）</w:t>
      </w:r>
      <w:r>
        <w:rPr>
          <w:rFonts w:hint="eastAsia" w:asciiTheme="minorEastAsia" w:hAnsiTheme="minorEastAsia" w:eastAsiaTheme="minorEastAsia" w:cstheme="minorEastAsia"/>
          <w:color w:val="auto"/>
          <w:sz w:val="21"/>
          <w:szCs w:val="21"/>
          <w:highlight w:val="none"/>
        </w:rPr>
        <w:t>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30"/>
          <w:rFonts w:hint="eastAsia" w:asciiTheme="minorEastAsia" w:hAnsiTheme="minorEastAsia" w:eastAsiaTheme="minorEastAsia" w:cstheme="minorEastAsia"/>
          <w:color w:val="auto"/>
          <w:sz w:val="21"/>
          <w:szCs w:val="21"/>
          <w:highlight w:val="none"/>
          <w:lang w:val="en-US"/>
        </w:rPr>
        <w:footnoteReference w:id="0"/>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；制造商为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wordWrap w:val="0"/>
        <w:spacing w:line="360" w:lineRule="auto"/>
        <w:ind w:left="0" w:firstLine="480"/>
        <w:jc w:val="right"/>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jc w:val="center"/>
        <w:rPr>
          <w:rFonts w:ascii="黑体" w:eastAsia="黑体"/>
          <w:color w:val="auto"/>
          <w:sz w:val="28"/>
          <w:szCs w:val="28"/>
          <w:highlight w:val="none"/>
        </w:rPr>
      </w:pPr>
      <w:r>
        <w:rPr>
          <w:rFonts w:hint="eastAsia" w:ascii="黑体" w:eastAsia="黑体"/>
          <w:color w:val="auto"/>
          <w:sz w:val="28"/>
          <w:szCs w:val="28"/>
          <w:highlight w:val="none"/>
        </w:rPr>
        <w:t>中小企业声明函（工程、服务）</w:t>
      </w:r>
    </w:p>
    <w:p>
      <w:pPr>
        <w:spacing w:line="360" w:lineRule="auto"/>
        <w:ind w:firstLine="220" w:firstLineChars="100"/>
        <w:rPr>
          <w:rFonts w:asciiTheme="minorEastAsia" w:hAnsiTheme="minorEastAsia" w:eastAsiaTheme="minorEastAsia" w:cstheme="minorEastAsia"/>
          <w:color w:val="auto"/>
          <w:sz w:val="21"/>
          <w:szCs w:val="21"/>
          <w:highlight w:val="none"/>
        </w:rPr>
      </w:pPr>
      <w:r>
        <w:rPr>
          <w:rFonts w:hint="eastAsia" w:eastAsiaTheme="minorEastAsia"/>
          <w:color w:val="auto"/>
          <w:highlight w:val="none"/>
        </w:rPr>
        <w:t xml:space="preserve">     </w:t>
      </w:r>
      <w:r>
        <w:rPr>
          <w:rFonts w:hint="eastAsia" w:asciiTheme="minorEastAsia" w:hAnsiTheme="minorEastAsia" w:eastAsiaTheme="minorEastAsia" w:cstheme="minorEastAsia"/>
          <w:color w:val="auto"/>
          <w:sz w:val="21"/>
          <w:szCs w:val="21"/>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color w:val="auto"/>
          <w:sz w:val="21"/>
          <w:szCs w:val="21"/>
          <w:highlight w:val="none"/>
          <w:u w:val="single"/>
        </w:rPr>
        <w:t>（单位名称）</w:t>
      </w:r>
      <w:r>
        <w:rPr>
          <w:rFonts w:hint="eastAsia" w:asciiTheme="minorEastAsia" w:hAnsiTheme="minorEastAsia" w:eastAsiaTheme="minorEastAsia" w:cstheme="minorEastAsia"/>
          <w:color w:val="auto"/>
          <w:sz w:val="21"/>
          <w:szCs w:val="21"/>
          <w:highlight w:val="none"/>
        </w:rPr>
        <w:t>的</w:t>
      </w:r>
      <w:r>
        <w:rPr>
          <w:rFonts w:hint="eastAsia" w:asciiTheme="minorEastAsia" w:hAnsiTheme="minorEastAsia" w:eastAsiaTheme="minorEastAsia" w:cstheme="minorEastAsia"/>
          <w:color w:val="auto"/>
          <w:sz w:val="21"/>
          <w:szCs w:val="21"/>
          <w:highlight w:val="none"/>
          <w:u w:val="single"/>
        </w:rPr>
        <w:t>（项目名称）</w:t>
      </w:r>
      <w:r>
        <w:rPr>
          <w:rFonts w:hint="eastAsia" w:asciiTheme="minorEastAsia" w:hAnsiTheme="minorEastAsia" w:eastAsiaTheme="minorEastAsia" w:cstheme="minorEastAsia"/>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1.</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w:t>
      </w:r>
      <w:r>
        <w:rPr>
          <w:rStyle w:val="30"/>
          <w:rFonts w:hint="eastAsia" w:asciiTheme="minorEastAsia" w:hAnsiTheme="minorEastAsia" w:eastAsiaTheme="minorEastAsia" w:cstheme="minorEastAsia"/>
          <w:color w:val="auto"/>
          <w:sz w:val="21"/>
          <w:szCs w:val="21"/>
          <w:highlight w:val="none"/>
          <w:lang w:val="en-US"/>
        </w:rPr>
        <w:footnoteReference w:id="1"/>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2.</w:t>
      </w:r>
      <w:r>
        <w:rPr>
          <w:rFonts w:hint="eastAsia" w:asciiTheme="minorEastAsia" w:hAnsiTheme="minorEastAsia" w:eastAsiaTheme="minorEastAsia" w:cstheme="minorEastAsia"/>
          <w:color w:val="auto"/>
          <w:sz w:val="21"/>
          <w:szCs w:val="21"/>
          <w:highlight w:val="none"/>
          <w:u w:val="single"/>
          <w:lang w:val="en-US"/>
        </w:rPr>
        <w:t>（标的名称）</w:t>
      </w:r>
      <w:r>
        <w:rPr>
          <w:rFonts w:hint="eastAsia" w:asciiTheme="minorEastAsia" w:hAnsiTheme="minorEastAsia" w:eastAsiaTheme="minorEastAsia" w:cstheme="minorEastAsia"/>
          <w:color w:val="auto"/>
          <w:sz w:val="21"/>
          <w:szCs w:val="21"/>
          <w:highlight w:val="none"/>
          <w:lang w:val="en-US"/>
        </w:rPr>
        <w:t>，属于</w:t>
      </w:r>
      <w:r>
        <w:rPr>
          <w:rFonts w:hint="eastAsia" w:asciiTheme="minorEastAsia" w:hAnsiTheme="minorEastAsia" w:eastAsiaTheme="minorEastAsia" w:cstheme="minorEastAsia"/>
          <w:color w:val="auto"/>
          <w:sz w:val="21"/>
          <w:szCs w:val="21"/>
          <w:highlight w:val="none"/>
          <w:u w:val="single"/>
          <w:lang w:val="en-US"/>
        </w:rPr>
        <w:t>（采购文件中明确的所属行业）行业</w:t>
      </w:r>
      <w:r>
        <w:rPr>
          <w:rFonts w:hint="eastAsia" w:asciiTheme="minorEastAsia" w:hAnsiTheme="minorEastAsia" w:eastAsiaTheme="minorEastAsia" w:cstheme="minorEastAsia"/>
          <w:color w:val="auto"/>
          <w:sz w:val="21"/>
          <w:szCs w:val="21"/>
          <w:highlight w:val="none"/>
          <w:lang w:val="en-US"/>
        </w:rPr>
        <w:t>；承建（承接）企业为</w:t>
      </w:r>
      <w:r>
        <w:rPr>
          <w:rFonts w:hint="eastAsia" w:asciiTheme="minorEastAsia" w:hAnsiTheme="minorEastAsia" w:eastAsiaTheme="minorEastAsia" w:cstheme="minorEastAsia"/>
          <w:color w:val="auto"/>
          <w:sz w:val="21"/>
          <w:szCs w:val="21"/>
          <w:highlight w:val="none"/>
          <w:u w:val="single"/>
          <w:lang w:val="en-US"/>
        </w:rPr>
        <w:t>（企业名称）</w:t>
      </w:r>
      <w:r>
        <w:rPr>
          <w:rFonts w:hint="eastAsia" w:asciiTheme="minorEastAsia" w:hAnsiTheme="minorEastAsia" w:eastAsiaTheme="minorEastAsia" w:cstheme="minorEastAsia"/>
          <w:color w:val="auto"/>
          <w:sz w:val="21"/>
          <w:szCs w:val="21"/>
          <w:highlight w:val="none"/>
          <w:lang w:val="en-US"/>
        </w:rPr>
        <w:t>，从业人员_______人，营业收入为_______万元，资产总额为______万元，属于</w:t>
      </w:r>
      <w:r>
        <w:rPr>
          <w:rFonts w:hint="eastAsia" w:asciiTheme="minorEastAsia" w:hAnsiTheme="minorEastAsia" w:eastAsiaTheme="minorEastAsia" w:cstheme="minorEastAsia"/>
          <w:color w:val="auto"/>
          <w:sz w:val="21"/>
          <w:szCs w:val="21"/>
          <w:highlight w:val="none"/>
          <w:u w:val="single"/>
          <w:lang w:val="en-US"/>
        </w:rPr>
        <w:t>（中型企业、小型企业、微型企业）</w:t>
      </w: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以上企业，不属于大企业的分支机构，不存在控股股东为大企业的情形，也不存在与大企业的负责人为同一人的情形。</w:t>
      </w:r>
    </w:p>
    <w:p>
      <w:pPr>
        <w:pStyle w:val="2"/>
        <w:spacing w:line="360" w:lineRule="auto"/>
        <w:ind w:left="0" w:firstLine="210" w:firstLineChars="10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本企业对上诉声明内容的真实性负责。如有虚假，将依法承担相应责任。</w:t>
      </w:r>
    </w:p>
    <w:p>
      <w:pPr>
        <w:pStyle w:val="2"/>
        <w:spacing w:line="360" w:lineRule="auto"/>
        <w:ind w:left="0" w:firstLine="480"/>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 xml:space="preserve">    </w:t>
      </w:r>
    </w:p>
    <w:p>
      <w:pPr>
        <w:pStyle w:val="2"/>
        <w:spacing w:line="360" w:lineRule="auto"/>
        <w:ind w:firstLine="4830" w:firstLineChars="2300"/>
        <w:jc w:val="both"/>
        <w:rPr>
          <w:rFonts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sz w:val="21"/>
          <w:szCs w:val="21"/>
          <w:highlight w:val="none"/>
          <w:lang w:val="en-US"/>
        </w:rPr>
        <w:t>企业名称（盖章）：</w:t>
      </w:r>
    </w:p>
    <w:p>
      <w:pPr>
        <w:pStyle w:val="2"/>
        <w:spacing w:line="360" w:lineRule="auto"/>
        <w:ind w:left="0" w:firstLine="480"/>
        <w:jc w:val="center"/>
        <w:rPr>
          <w:color w:val="auto"/>
          <w:highlight w:val="none"/>
          <w:lang w:val="en-US"/>
        </w:rPr>
      </w:pPr>
      <w:r>
        <w:rPr>
          <w:rFonts w:hint="eastAsia" w:asciiTheme="minorEastAsia" w:hAnsiTheme="minorEastAsia" w:eastAsiaTheme="minorEastAsia" w:cstheme="minorEastAsia"/>
          <w:color w:val="auto"/>
          <w:sz w:val="21"/>
          <w:szCs w:val="21"/>
          <w:highlight w:val="none"/>
          <w:lang w:val="en-US"/>
        </w:rPr>
        <w:t xml:space="preserve">                 日期：</w:t>
      </w: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投标人应根据《政府采购促进中小企业发展管理办法》的通知（财库〔2020〕46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楷体_GB2312" w:eastAsia="楷体_GB2312"/>
          <w:b/>
          <w:bCs/>
          <w:color w:val="auto"/>
          <w:sz w:val="24"/>
          <w:highlight w:val="none"/>
        </w:rPr>
      </w:pPr>
      <w:r>
        <w:rPr>
          <w:rFonts w:hint="eastAsia" w:ascii="宋体" w:hAnsi="宋体" w:eastAsia="宋体"/>
          <w:b/>
          <w:bCs/>
          <w:color w:val="auto"/>
          <w:sz w:val="21"/>
          <w:szCs w:val="21"/>
          <w:highlight w:val="none"/>
        </w:rPr>
        <w:t>2、若投标人属于《政府采购促进中小企业发展管理办法》的通知（财库〔2020〕46号）的规定中享受中小企业扶持政策的情况，应在《中小企业声明函》中完整如实列出项目标的具体情况。若发现因提供虚假材料或者提供材料不齐全导致的一切后果由投标人自行承担责任。（如不属于上述情况，则无需提供此表）</w:t>
      </w:r>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3、依据规定享受扶持政策获得政府采购合同的，小微企业不得将合同分包给大中型企业，中型企业不得将合同分包给大型企业。</w:t>
      </w:r>
    </w:p>
    <w:p>
      <w:pPr>
        <w:rPr>
          <w:rFonts w:ascii="楷体_GB2312" w:eastAsia="楷体_GB2312"/>
          <w:color w:val="auto"/>
          <w:sz w:val="24"/>
          <w:highlight w:val="none"/>
        </w:rPr>
      </w:pPr>
    </w:p>
    <w:p>
      <w:pPr>
        <w:adjustRightInd/>
        <w:snapToGrid/>
        <w:spacing w:line="276" w:lineRule="auto"/>
        <w:rPr>
          <w:rFonts w:ascii="楷体_GB2312" w:eastAsia="楷体_GB2312" w:hAnsiTheme="majorHAnsi" w:cstheme="majorBidi"/>
          <w:b/>
          <w:bCs/>
          <w:color w:val="auto"/>
          <w:sz w:val="24"/>
          <w:szCs w:val="28"/>
          <w:highlight w:val="none"/>
        </w:rPr>
      </w:pPr>
      <w:r>
        <w:rPr>
          <w:rFonts w:ascii="楷体_GB2312" w:eastAsia="楷体_GB2312"/>
          <w:color w:val="auto"/>
          <w:sz w:val="24"/>
          <w:highlight w:val="none"/>
        </w:rPr>
        <w:br w:type="page"/>
      </w:r>
    </w:p>
    <w:p>
      <w:pPr>
        <w:pStyle w:val="7"/>
        <w:widowControl w:val="0"/>
        <w:overflowPunct w:val="0"/>
        <w:spacing w:before="0" w:after="0" w:line="240" w:lineRule="auto"/>
        <w:rPr>
          <w:rFonts w:ascii="楷体_GB2312" w:eastAsia="楷体_GB2312"/>
          <w:color w:val="auto"/>
          <w:sz w:val="24"/>
          <w:highlight w:val="none"/>
        </w:rPr>
      </w:pPr>
      <w:bookmarkStart w:id="184" w:name="_Toc28081"/>
      <w:r>
        <w:rPr>
          <w:rFonts w:hint="eastAsia" w:ascii="宋体" w:hAnsi="宋体" w:eastAsia="宋体"/>
          <w:color w:val="auto"/>
          <w:sz w:val="21"/>
          <w:szCs w:val="21"/>
          <w:highlight w:val="none"/>
        </w:rPr>
        <w:t>附件19.《残疾人福利性单位声明函》（残疾人福利性单位适用）</w:t>
      </w:r>
      <w:bookmarkEnd w:id="184"/>
    </w:p>
    <w:p>
      <w:pPr>
        <w:jc w:val="cente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残疾人福利性单位声明函</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单位名称（盖章）：</w:t>
      </w:r>
      <w:bookmarkStart w:id="185" w:name="_Toc508960153"/>
      <w:bookmarkStart w:id="186" w:name="_Toc30277"/>
      <w:bookmarkStart w:id="187" w:name="_Toc509479530"/>
      <w:bookmarkStart w:id="188" w:name="_Toc20910"/>
      <w:bookmarkStart w:id="189" w:name="_Toc510171693"/>
      <w:bookmarkStart w:id="190" w:name="_Toc17761"/>
      <w:bookmarkStart w:id="191" w:name="_Toc509844825"/>
      <w:bookmarkStart w:id="192" w:name="_Toc22970"/>
      <w:bookmarkStart w:id="193" w:name="_Toc508898066"/>
      <w:bookmarkStart w:id="194" w:name="_Toc30247"/>
      <w:bookmarkStart w:id="195" w:name="_Toc509927455"/>
      <w:bookmarkStart w:id="196" w:name="_Toc508958703"/>
    </w:p>
    <w:p>
      <w:pPr>
        <w:spacing w:after="0" w:line="480" w:lineRule="auto"/>
        <w:jc w:val="right"/>
        <w:rPr>
          <w:rFonts w:ascii="宋体" w:hAnsi="宋体" w:eastAsia="宋体"/>
          <w:color w:val="auto"/>
          <w:sz w:val="21"/>
          <w:szCs w:val="21"/>
          <w:highlight w:val="none"/>
        </w:rPr>
      </w:pPr>
    </w:p>
    <w:p>
      <w:pPr>
        <w:spacing w:after="0" w:line="480" w:lineRule="auto"/>
        <w:jc w:val="right"/>
        <w:rPr>
          <w:rFonts w:ascii="宋体" w:hAnsi="宋体" w:eastAsia="宋体"/>
          <w:color w:val="auto"/>
          <w:sz w:val="21"/>
          <w:szCs w:val="21"/>
          <w:highlight w:val="none"/>
        </w:rPr>
      </w:pPr>
      <w:r>
        <w:rPr>
          <w:rFonts w:hint="eastAsia" w:ascii="宋体" w:hAnsi="宋体" w:eastAsia="宋体"/>
          <w:color w:val="auto"/>
          <w:sz w:val="21"/>
          <w:szCs w:val="21"/>
          <w:highlight w:val="none"/>
        </w:rPr>
        <w:t>日  期：</w:t>
      </w:r>
      <w:bookmarkEnd w:id="185"/>
      <w:bookmarkEnd w:id="186"/>
      <w:bookmarkEnd w:id="187"/>
      <w:bookmarkEnd w:id="188"/>
      <w:bookmarkEnd w:id="189"/>
      <w:bookmarkEnd w:id="190"/>
      <w:bookmarkEnd w:id="191"/>
      <w:bookmarkEnd w:id="192"/>
      <w:bookmarkEnd w:id="193"/>
      <w:bookmarkEnd w:id="194"/>
      <w:bookmarkEnd w:id="195"/>
      <w:bookmarkEnd w:id="196"/>
    </w:p>
    <w:p>
      <w:pPr>
        <w:pStyle w:val="2"/>
        <w:rPr>
          <w:color w:val="auto"/>
          <w:highlight w:val="none"/>
        </w:rPr>
      </w:pPr>
    </w:p>
    <w:p>
      <w:pPr>
        <w:spacing w:after="0" w:line="480" w:lineRule="auto"/>
        <w:ind w:firstLine="420" w:firstLineChars="200"/>
        <w:rPr>
          <w:rFonts w:ascii="宋体" w:hAnsi="宋体" w:eastAsia="宋体"/>
          <w:color w:val="auto"/>
          <w:sz w:val="21"/>
          <w:szCs w:val="21"/>
          <w:highlight w:val="none"/>
        </w:rPr>
      </w:pPr>
      <w:bookmarkStart w:id="197" w:name="_Toc508898067"/>
      <w:bookmarkStart w:id="198" w:name="_Toc508960154"/>
      <w:bookmarkStart w:id="199" w:name="_Toc509927456"/>
      <w:bookmarkStart w:id="200" w:name="_Toc26216"/>
      <w:bookmarkStart w:id="201" w:name="_Toc509844826"/>
      <w:bookmarkStart w:id="202" w:name="_Toc508958704"/>
      <w:bookmarkStart w:id="203" w:name="_Toc28527"/>
      <w:bookmarkStart w:id="204" w:name="_Toc31520"/>
      <w:bookmarkStart w:id="205" w:name="_Toc509479531"/>
      <w:bookmarkStart w:id="206" w:name="_Toc21053"/>
      <w:bookmarkStart w:id="207" w:name="_Toc510171694"/>
      <w:bookmarkStart w:id="208" w:name="_Toc5447"/>
      <w:r>
        <w:rPr>
          <w:rFonts w:hint="eastAsia" w:ascii="宋体" w:hAnsi="宋体" w:eastAsia="宋体"/>
          <w:color w:val="auto"/>
          <w:sz w:val="21"/>
          <w:szCs w:val="21"/>
          <w:highlight w:val="none"/>
        </w:rPr>
        <w:t>注：（1）符合《财政部 民政部 中国残疾人联合会关于促进残疾人就业政府采购政策的通知》（财库〔2017〕 141号）规定条件的残疾人福利性单位应当提供《残疾人福利性单位声明函》。</w:t>
      </w:r>
      <w:bookmarkEnd w:id="197"/>
      <w:bookmarkEnd w:id="198"/>
      <w:bookmarkEnd w:id="199"/>
      <w:bookmarkEnd w:id="200"/>
      <w:bookmarkEnd w:id="201"/>
      <w:bookmarkEnd w:id="202"/>
      <w:bookmarkEnd w:id="203"/>
      <w:bookmarkEnd w:id="204"/>
      <w:bookmarkEnd w:id="205"/>
      <w:bookmarkEnd w:id="206"/>
      <w:bookmarkEnd w:id="207"/>
      <w:bookmarkEnd w:id="208"/>
    </w:p>
    <w:p>
      <w:pPr>
        <w:spacing w:after="0" w:line="480" w:lineRule="auto"/>
        <w:ind w:firstLine="420" w:firstLineChars="200"/>
        <w:rPr>
          <w:rFonts w:ascii="宋体" w:hAnsi="宋体" w:eastAsia="宋体"/>
          <w:color w:val="auto"/>
          <w:sz w:val="21"/>
          <w:szCs w:val="21"/>
          <w:highlight w:val="none"/>
        </w:rPr>
      </w:pPr>
      <w:bookmarkStart w:id="209" w:name="_Toc508958705"/>
      <w:bookmarkStart w:id="210" w:name="_Toc510171695"/>
      <w:bookmarkStart w:id="211" w:name="_Toc508898068"/>
      <w:bookmarkStart w:id="212" w:name="_Toc14653"/>
      <w:bookmarkStart w:id="213" w:name="_Toc508960155"/>
      <w:bookmarkStart w:id="214" w:name="_Toc509844827"/>
      <w:bookmarkStart w:id="215" w:name="_Toc24848"/>
      <w:bookmarkStart w:id="216" w:name="_Toc28626"/>
      <w:bookmarkStart w:id="217" w:name="_Toc509479532"/>
      <w:bookmarkStart w:id="218" w:name="_Toc9148"/>
      <w:bookmarkStart w:id="219" w:name="_Toc28126"/>
      <w:bookmarkStart w:id="220" w:name="_Toc509927457"/>
      <w:r>
        <w:rPr>
          <w:rFonts w:hint="eastAsia" w:ascii="宋体" w:hAnsi="宋体" w:eastAsia="宋体"/>
          <w:color w:val="auto"/>
          <w:sz w:val="21"/>
          <w:szCs w:val="21"/>
          <w:highlight w:val="none"/>
        </w:rPr>
        <w:t>（2）中标人为残疾人福利性单位的，采购代理机构将随中标结果同时公告其《残疾人福利性单位声明函》，接受社会监督。</w:t>
      </w:r>
      <w:bookmarkEnd w:id="209"/>
      <w:bookmarkEnd w:id="210"/>
      <w:bookmarkEnd w:id="211"/>
      <w:bookmarkEnd w:id="212"/>
      <w:bookmarkEnd w:id="213"/>
      <w:bookmarkEnd w:id="214"/>
      <w:bookmarkEnd w:id="215"/>
      <w:bookmarkEnd w:id="216"/>
      <w:bookmarkEnd w:id="217"/>
      <w:bookmarkEnd w:id="218"/>
      <w:bookmarkEnd w:id="219"/>
      <w:bookmarkEnd w:id="220"/>
    </w:p>
    <w:p>
      <w:pPr>
        <w:spacing w:after="0" w:line="480" w:lineRule="auto"/>
        <w:ind w:firstLine="420" w:firstLineChars="200"/>
        <w:rPr>
          <w:rFonts w:ascii="宋体" w:hAnsi="宋体" w:eastAsia="宋体"/>
          <w:color w:val="auto"/>
          <w:sz w:val="21"/>
          <w:szCs w:val="21"/>
          <w:highlight w:val="none"/>
        </w:rPr>
      </w:pPr>
      <w:bookmarkStart w:id="221" w:name="_Toc28686"/>
      <w:bookmarkStart w:id="222" w:name="_Toc508898069"/>
      <w:bookmarkStart w:id="223" w:name="_Toc509844828"/>
      <w:bookmarkStart w:id="224" w:name="_Toc510171696"/>
      <w:bookmarkStart w:id="225" w:name="_Toc509479533"/>
      <w:bookmarkStart w:id="226" w:name="_Toc508958706"/>
      <w:bookmarkStart w:id="227" w:name="_Toc509927458"/>
      <w:bookmarkStart w:id="228" w:name="_Toc28044"/>
      <w:bookmarkStart w:id="229" w:name="_Toc22981"/>
      <w:bookmarkStart w:id="230" w:name="_Toc9837"/>
      <w:bookmarkStart w:id="231" w:name="_Toc7858"/>
      <w:bookmarkStart w:id="232" w:name="_Toc508960156"/>
      <w:r>
        <w:rPr>
          <w:rFonts w:hint="eastAsia" w:ascii="宋体" w:hAnsi="宋体" w:eastAsia="宋体"/>
          <w:color w:val="auto"/>
          <w:sz w:val="21"/>
          <w:szCs w:val="21"/>
          <w:highlight w:val="none"/>
        </w:rPr>
        <w:t>（3）投标人提供的《残疾人福利性单位声明函》与事实不符的，依照《政府采购法》第七十七条第一款的规定追究法律责任。</w:t>
      </w:r>
      <w:bookmarkEnd w:id="221"/>
      <w:bookmarkEnd w:id="222"/>
      <w:bookmarkEnd w:id="223"/>
      <w:bookmarkEnd w:id="224"/>
      <w:bookmarkEnd w:id="225"/>
      <w:bookmarkEnd w:id="226"/>
      <w:bookmarkEnd w:id="227"/>
      <w:bookmarkEnd w:id="228"/>
      <w:bookmarkEnd w:id="229"/>
      <w:bookmarkEnd w:id="230"/>
      <w:bookmarkEnd w:id="231"/>
      <w:bookmarkEnd w:id="232"/>
    </w:p>
    <w:p>
      <w:pPr>
        <w:spacing w:after="0" w:line="480" w:lineRule="auto"/>
        <w:ind w:firstLine="420" w:firstLineChars="200"/>
        <w:rPr>
          <w:rFonts w:ascii="宋体" w:hAnsi="宋体" w:eastAsia="宋体"/>
          <w:color w:val="auto"/>
          <w:sz w:val="21"/>
          <w:szCs w:val="21"/>
          <w:highlight w:val="none"/>
        </w:rPr>
      </w:pPr>
      <w:bookmarkStart w:id="233" w:name="_Toc18843"/>
      <w:bookmarkStart w:id="234" w:name="_Toc509479534"/>
      <w:bookmarkStart w:id="235" w:name="_Toc509927459"/>
      <w:bookmarkStart w:id="236" w:name="_Toc509844829"/>
      <w:bookmarkStart w:id="237" w:name="_Toc508898070"/>
      <w:bookmarkStart w:id="238" w:name="_Toc510171697"/>
      <w:bookmarkStart w:id="239" w:name="_Toc508960157"/>
      <w:bookmarkStart w:id="240" w:name="_Toc5289"/>
      <w:bookmarkStart w:id="241" w:name="_Toc508958707"/>
      <w:r>
        <w:rPr>
          <w:rFonts w:hint="eastAsia" w:ascii="宋体" w:hAnsi="宋体" w:eastAsia="宋体"/>
          <w:color w:val="auto"/>
          <w:sz w:val="21"/>
          <w:szCs w:val="21"/>
          <w:highlight w:val="none"/>
        </w:rPr>
        <w:t>（4）残疾人福利性单位视同小型、微型企业，享受评审中价格扣除。残疾人福利性单位属于小型、微型企业的，不重复享受政策。</w:t>
      </w:r>
      <w:bookmarkEnd w:id="233"/>
      <w:bookmarkEnd w:id="234"/>
      <w:bookmarkEnd w:id="235"/>
      <w:bookmarkEnd w:id="236"/>
      <w:bookmarkEnd w:id="237"/>
      <w:bookmarkEnd w:id="238"/>
      <w:bookmarkEnd w:id="239"/>
      <w:bookmarkEnd w:id="240"/>
      <w:bookmarkEnd w:id="241"/>
    </w:p>
    <w:p>
      <w:pPr>
        <w:spacing w:after="0" w:line="480" w:lineRule="auto"/>
        <w:ind w:firstLine="422" w:firstLineChars="200"/>
        <w:rPr>
          <w:rFonts w:ascii="宋体" w:hAnsi="宋体" w:eastAsia="宋体"/>
          <w:b/>
          <w:bCs/>
          <w:color w:val="auto"/>
          <w:sz w:val="21"/>
          <w:szCs w:val="21"/>
          <w:highlight w:val="none"/>
        </w:rPr>
      </w:pPr>
      <w:r>
        <w:rPr>
          <w:rFonts w:hint="eastAsia" w:ascii="宋体" w:hAnsi="宋体" w:eastAsia="宋体"/>
          <w:b/>
          <w:bCs/>
          <w:color w:val="auto"/>
          <w:sz w:val="21"/>
          <w:szCs w:val="21"/>
          <w:highlight w:val="none"/>
        </w:rPr>
        <w:t>（5）若投标人不属于规定的残疾人福利性单位，或提供的产品不是残疾人福利单位制造的，则无需提供此表。</w:t>
      </w:r>
    </w:p>
    <w:p>
      <w:pPr>
        <w:adjustRightInd/>
        <w:snapToGrid/>
        <w:spacing w:line="276" w:lineRule="auto"/>
        <w:rPr>
          <w:rFonts w:ascii="宋体" w:hAnsi="宋体" w:eastAsia="宋体"/>
          <w:bCs/>
          <w:color w:val="auto"/>
          <w:sz w:val="21"/>
          <w:szCs w:val="21"/>
          <w:highlight w:val="none"/>
        </w:rPr>
      </w:pPr>
      <w:r>
        <w:rPr>
          <w:rFonts w:hint="eastAsia" w:ascii="宋体" w:hAnsi="宋体" w:eastAsia="宋体"/>
          <w:bCs/>
          <w:color w:val="auto"/>
          <w:sz w:val="21"/>
          <w:szCs w:val="21"/>
          <w:highlight w:val="none"/>
        </w:rPr>
        <w:br w:type="page"/>
      </w:r>
    </w:p>
    <w:p>
      <w:pPr>
        <w:pStyle w:val="7"/>
        <w:widowControl w:val="0"/>
        <w:overflowPunct w:val="0"/>
        <w:spacing w:before="0" w:after="0" w:line="240" w:lineRule="auto"/>
        <w:rPr>
          <w:color w:val="auto"/>
          <w:highlight w:val="none"/>
        </w:rPr>
      </w:pPr>
      <w:bookmarkStart w:id="242" w:name="_Toc25634"/>
      <w:r>
        <w:rPr>
          <w:rFonts w:hint="eastAsia" w:ascii="宋体" w:hAnsi="宋体" w:eastAsia="宋体"/>
          <w:color w:val="auto"/>
          <w:sz w:val="21"/>
          <w:szCs w:val="21"/>
          <w:highlight w:val="none"/>
        </w:rPr>
        <w:t>附件20. 投标保证金汇入情况说明格式</w:t>
      </w:r>
      <w:bookmarkEnd w:id="242"/>
    </w:p>
    <w:p>
      <w:pPr>
        <w:rPr>
          <w:color w:val="auto"/>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投标保证金汇入情况说明</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致：广东政通招标有限公司：</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本单位已按项目包（采购项目编号：）的招标文件要求，于年月日前以</w:t>
      </w:r>
      <w:r>
        <w:rPr>
          <w:rFonts w:hint="eastAsia" w:ascii="宋体" w:hAnsi="宋体" w:eastAsia="宋体"/>
          <w:color w:val="auto"/>
          <w:sz w:val="21"/>
          <w:szCs w:val="21"/>
          <w:highlight w:val="none"/>
          <w:u w:val="single"/>
        </w:rPr>
        <w:t xml:space="preserve">           （付款形式）</w:t>
      </w:r>
      <w:r>
        <w:rPr>
          <w:rFonts w:hint="eastAsia" w:ascii="宋体" w:hAnsi="宋体" w:eastAsia="宋体"/>
          <w:color w:val="auto"/>
          <w:sz w:val="21"/>
          <w:szCs w:val="21"/>
          <w:highlight w:val="none"/>
        </w:rPr>
        <w:t>方式汇入指定帐户（帐户名称：，帐号： ,开户银行：）。</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本单位投标保证金的汇款情况：（详见附件－投标保证金进帐单）</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汇出时间：年月日；</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汇款金额：（大写）人民币元（小写：￥元），</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汇款帐户名称：</w:t>
      </w:r>
      <w:r>
        <w:rPr>
          <w:rFonts w:hint="eastAsia" w:ascii="宋体" w:hAnsi="宋体" w:eastAsia="宋体"/>
          <w:color w:val="auto"/>
          <w:sz w:val="21"/>
          <w:szCs w:val="21"/>
          <w:highlight w:val="none"/>
          <w:u w:val="single"/>
        </w:rPr>
        <w:t xml:space="preserve">  （必须是投标时使用的帐户名）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帐        号：</w:t>
      </w:r>
      <w:r>
        <w:rPr>
          <w:rFonts w:hint="eastAsia" w:ascii="宋体" w:hAnsi="宋体" w:eastAsia="宋体"/>
          <w:color w:val="auto"/>
          <w:sz w:val="21"/>
          <w:szCs w:val="21"/>
          <w:highlight w:val="none"/>
          <w:u w:val="single"/>
        </w:rPr>
        <w:t xml:space="preserve">  （必须是投标时使用的帐号）     </w:t>
      </w:r>
    </w:p>
    <w:p>
      <w:pPr>
        <w:spacing w:after="0" w:line="480" w:lineRule="auto"/>
        <w:ind w:firstLine="420" w:firstLineChars="200"/>
        <w:rPr>
          <w:rFonts w:ascii="宋体" w:hAnsi="宋体" w:eastAsia="宋体"/>
          <w:color w:val="auto"/>
          <w:sz w:val="21"/>
          <w:szCs w:val="21"/>
          <w:highlight w:val="none"/>
          <w:u w:val="single"/>
        </w:rPr>
      </w:pPr>
      <w:r>
        <w:rPr>
          <w:rFonts w:hint="eastAsia" w:ascii="宋体" w:hAnsi="宋体" w:eastAsia="宋体"/>
          <w:color w:val="auto"/>
          <w:sz w:val="21"/>
          <w:szCs w:val="21"/>
          <w:highlight w:val="none"/>
        </w:rPr>
        <w:t>开 户  银 行：</w:t>
      </w:r>
      <w:r>
        <w:rPr>
          <w:rFonts w:hint="eastAsia" w:ascii="宋体" w:hAnsi="宋体" w:eastAsia="宋体"/>
          <w:color w:val="auto"/>
          <w:sz w:val="21"/>
          <w:szCs w:val="21"/>
          <w:highlight w:val="none"/>
          <w:u w:val="single"/>
        </w:rPr>
        <w:t xml:space="preserve">  （      银行   分行  支行    ）</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投标保证金退回时，请按上述资料退回。</w:t>
      </w:r>
    </w:p>
    <w:p>
      <w:pPr>
        <w:spacing w:after="0" w:line="480" w:lineRule="auto"/>
        <w:ind w:right="884" w:rightChars="402"/>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（单位公章）</w:t>
      </w:r>
    </w:p>
    <w:p>
      <w:pPr>
        <w:spacing w:after="0" w:line="480" w:lineRule="auto"/>
        <w:ind w:right="658" w:rightChars="299"/>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单位名称：</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单位地址：</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单位电话： </w:t>
      </w:r>
    </w:p>
    <w:p>
      <w:pPr>
        <w:spacing w:after="0" w:line="480" w:lineRule="auto"/>
        <w:rPr>
          <w:rFonts w:ascii="宋体" w:hAnsi="宋体" w:eastAsia="宋体"/>
          <w:color w:val="auto"/>
          <w:sz w:val="21"/>
          <w:szCs w:val="21"/>
          <w:highlight w:val="none"/>
        </w:rPr>
      </w:pPr>
      <w:r>
        <w:rPr>
          <w:rFonts w:hint="eastAsia" w:ascii="宋体" w:hAnsi="宋体" w:eastAsia="宋体"/>
          <w:color w:val="auto"/>
          <w:sz w:val="21"/>
          <w:szCs w:val="21"/>
          <w:highlight w:val="none"/>
        </w:rPr>
        <w:t>联系人手机：</w:t>
      </w:r>
    </w:p>
    <w:p>
      <w:pPr>
        <w:spacing w:after="0"/>
        <w:rPr>
          <w:rFonts w:ascii="宋体" w:hAnsi="宋体" w:eastAsia="宋体"/>
          <w:color w:val="auto"/>
          <w:sz w:val="21"/>
          <w:szCs w:val="21"/>
          <w:highlight w:val="none"/>
        </w:rPr>
      </w:pP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spacing w:after="0" w:line="38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附：我方投标保证金汇款凭证</w:t>
      </w:r>
    </w:p>
    <w:tbl>
      <w:tblPr>
        <w:tblStyle w:val="24"/>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（粘贴汇款单或转账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复印件，并在骑缝上加盖投标人公章，或是直接把转账</w:t>
            </w:r>
            <w:r>
              <w:rPr>
                <w:rFonts w:ascii="宋体" w:hAnsi="宋体" w:eastAsia="宋体"/>
                <w:color w:val="auto"/>
                <w:sz w:val="21"/>
                <w:szCs w:val="21"/>
                <w:highlight w:val="none"/>
              </w:rPr>
              <w:t>凭证</w:t>
            </w:r>
            <w:r>
              <w:rPr>
                <w:rFonts w:hint="eastAsia" w:ascii="宋体" w:hAnsi="宋体" w:eastAsia="宋体"/>
                <w:color w:val="auto"/>
                <w:sz w:val="21"/>
                <w:szCs w:val="21"/>
                <w:highlight w:val="none"/>
              </w:rPr>
              <w:t>复印到此张纸上）</w:t>
            </w:r>
          </w:p>
        </w:tc>
      </w:tr>
    </w:tbl>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highlight w:val="none"/>
        </w:rPr>
      </w:pPr>
    </w:p>
    <w:p>
      <w:pPr>
        <w:rPr>
          <w:rFonts w:ascii="宋体" w:hAnsi="宋体" w:eastAsia="宋体"/>
          <w:color w:val="auto"/>
          <w:sz w:val="21"/>
          <w:szCs w:val="21"/>
          <w:highlight w:val="none"/>
        </w:rPr>
      </w:pPr>
      <w:r>
        <w:rPr>
          <w:rFonts w:hint="eastAsia" w:ascii="宋体" w:hAnsi="宋体" w:eastAsia="宋体"/>
          <w:color w:val="auto"/>
          <w:sz w:val="21"/>
          <w:szCs w:val="21"/>
          <w:highlight w:val="none"/>
        </w:rPr>
        <w:br w:type="page"/>
      </w:r>
    </w:p>
    <w:p>
      <w:pPr>
        <w:pStyle w:val="7"/>
        <w:widowControl w:val="0"/>
        <w:overflowPunct w:val="0"/>
        <w:spacing w:before="0" w:after="0" w:line="240" w:lineRule="auto"/>
        <w:rPr>
          <w:rFonts w:ascii="宋体" w:hAnsi="宋体" w:eastAsia="宋体"/>
          <w:color w:val="auto"/>
          <w:sz w:val="21"/>
          <w:szCs w:val="21"/>
          <w:highlight w:val="none"/>
        </w:rPr>
      </w:pPr>
      <w:bookmarkStart w:id="243" w:name="_Toc4363"/>
      <w:r>
        <w:rPr>
          <w:rFonts w:hint="eastAsia" w:ascii="宋体" w:hAnsi="宋体" w:eastAsia="宋体"/>
          <w:color w:val="auto"/>
          <w:sz w:val="21"/>
          <w:szCs w:val="21"/>
          <w:highlight w:val="none"/>
        </w:rPr>
        <w:t>附件21.政府采购投标担保函</w:t>
      </w:r>
      <w:bookmarkEnd w:id="243"/>
    </w:p>
    <w:p>
      <w:pPr>
        <w:jc w:val="center"/>
        <w:rPr>
          <w:rFonts w:ascii="黑体" w:eastAsia="黑体"/>
          <w:color w:val="auto"/>
          <w:sz w:val="28"/>
          <w:szCs w:val="28"/>
          <w:highlight w:val="none"/>
        </w:rPr>
      </w:pPr>
    </w:p>
    <w:p>
      <w:pPr>
        <w:jc w:val="center"/>
        <w:rPr>
          <w:rFonts w:ascii="黑体" w:eastAsia="黑体"/>
          <w:color w:val="auto"/>
          <w:sz w:val="28"/>
          <w:szCs w:val="28"/>
          <w:highlight w:val="none"/>
        </w:rPr>
      </w:pPr>
      <w:r>
        <w:rPr>
          <w:rFonts w:hint="eastAsia" w:ascii="黑体" w:eastAsia="黑体"/>
          <w:color w:val="auto"/>
          <w:sz w:val="28"/>
          <w:szCs w:val="28"/>
          <w:highlight w:val="none"/>
        </w:rPr>
        <w:t>政府采购投标担保函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 编号：</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（采购人或采购代理机构）：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鉴于（以下简称“投标人”）拟参加编号为</w:t>
      </w:r>
      <w:r>
        <w:rPr>
          <w:rFonts w:hint="eastAsia" w:ascii="宋体" w:hAnsi="宋体" w:eastAsia="宋体" w:cs="宋体"/>
          <w:color w:val="auto"/>
          <w:sz w:val="21"/>
          <w:szCs w:val="21"/>
          <w:highlight w:val="none"/>
          <w:u w:val="single"/>
        </w:rPr>
        <w:t xml:space="preserve">            的</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（一）在投标人出现下列情形之一时，我方承担保证责任：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2．招标文件规定的投标人应当缴纳保证金的其他情形。</w:t>
      </w:r>
    </w:p>
    <w:p>
      <w:pPr>
        <w:spacing w:after="0" w:line="480" w:lineRule="auto"/>
        <w:ind w:firstLine="210" w:firstLineChars="1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（二）我方承担保证责任的最高金额为人民币元（大写），即本项目的投标保证金金额。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我方的保证期间为：自本保函生效之日起个月止。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2．我方在收到索赔通知及相关证明材料后，在</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jc w:val="right"/>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（1）若投标人不以投标担保函形式提交投标保证金，则无需在投标文件中提供此格式。</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（2）若投标人以投标担保函形式提交投标保证金，则应将投标担保函原件交予采购代理机构。</w:t>
      </w:r>
    </w:p>
    <w:p>
      <w:pPr>
        <w:spacing w:after="0"/>
        <w:rPr>
          <w:rFonts w:ascii="黑体" w:eastAsia="黑体"/>
          <w:color w:val="auto"/>
          <w:sz w:val="30"/>
          <w:szCs w:val="30"/>
          <w:highlight w:val="none"/>
        </w:rPr>
      </w:pPr>
      <w:r>
        <w:rPr>
          <w:rFonts w:hint="eastAsia" w:ascii="宋体" w:hAnsi="宋体" w:eastAsia="宋体"/>
          <w:color w:val="auto"/>
          <w:sz w:val="21"/>
          <w:szCs w:val="21"/>
          <w:highlight w:val="none"/>
        </w:rPr>
        <w:br w:type="page"/>
      </w:r>
      <w:bookmarkStart w:id="244" w:name="_Toc27534"/>
      <w:r>
        <w:rPr>
          <w:rStyle w:val="34"/>
          <w:rFonts w:hint="eastAsia" w:ascii="宋体" w:hAnsi="宋体" w:eastAsia="宋体" w:cs="宋体"/>
          <w:color w:val="auto"/>
          <w:sz w:val="21"/>
          <w:szCs w:val="21"/>
          <w:highlight w:val="none"/>
        </w:rPr>
        <w:t>附件22.政府采购履约担保函</w:t>
      </w:r>
      <w:bookmarkEnd w:id="244"/>
    </w:p>
    <w:p>
      <w:pPr>
        <w:jc w:val="center"/>
        <w:rPr>
          <w:rFonts w:ascii="黑体" w:eastAsia="黑体"/>
          <w:color w:val="auto"/>
          <w:sz w:val="28"/>
          <w:szCs w:val="28"/>
          <w:highlight w:val="none"/>
        </w:rPr>
      </w:pPr>
      <w:r>
        <w:rPr>
          <w:rFonts w:hint="eastAsia" w:ascii="黑体" w:eastAsia="黑体"/>
          <w:color w:val="auto"/>
          <w:sz w:val="28"/>
          <w:szCs w:val="28"/>
          <w:highlight w:val="none"/>
        </w:rPr>
        <w:t>政府采购履约担保函</w:t>
      </w:r>
    </w:p>
    <w:p>
      <w:pPr>
        <w:wordWrap w:val="0"/>
        <w:jc w:val="right"/>
        <w:rPr>
          <w:rFonts w:ascii="仿宋_GB2312" w:eastAsia="仿宋_GB2312"/>
          <w:color w:val="auto"/>
          <w:sz w:val="32"/>
          <w:szCs w:val="32"/>
          <w:highlight w:val="none"/>
        </w:rPr>
      </w:pPr>
      <w:r>
        <w:rPr>
          <w:rFonts w:hint="eastAsia" w:ascii="黑体" w:eastAsia="黑体"/>
          <w:color w:val="auto"/>
          <w:sz w:val="28"/>
          <w:szCs w:val="28"/>
          <w:highlight w:val="none"/>
        </w:rPr>
        <w:t xml:space="preserve">编号：  </w:t>
      </w:r>
    </w:p>
    <w:p>
      <w:pPr>
        <w:spacing w:after="0" w:line="48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鉴于你方与（以下简称供应商）于年月日签定编号为   的《政府采购合同》（以下简称主合同），且依据该合同的约定，供应商应在年月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一、保证责任的情形及保证金额</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（一）在供应商出现下列情形之一时，我方承担保证责任：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p>
      <w:pPr>
        <w:spacing w:after="0" w:line="480" w:lineRule="auto"/>
        <w:ind w:right="-1291" w:rightChars="-587"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（二）我方的保证范围是主合同约定的合同价款总额</w:t>
      </w:r>
    </w:p>
    <w:p>
      <w:pPr>
        <w:spacing w:after="0" w:line="480" w:lineRule="auto"/>
        <w:ind w:right="26" w:rightChars="12"/>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%数额为元（大写），为。（即主合同履约保证金金额）</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二、保证的方式及保证期间</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我方保证的方式为：连带责任保证。</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我方保证的期间为：自本合同生效之日起至供应商按照主合同约定的供货/完工期限届满后日内。</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三、承担保证责任的程序</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如果你方与供应商因货物质量问题产生争议，你方还需同时提供部门出具的质量检测报告，或经诉讼（仲裁）程序裁决后的裁决书、调解书，本保证人即按照检测结果或裁决书、调解书决定是否承担保证责任。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2．我方收到你方的书面索赔通知及相应证明材料，在</w:t>
      </w:r>
    </w:p>
    <w:p>
      <w:pPr>
        <w:spacing w:after="0" w:line="480" w:lineRule="auto"/>
        <w:ind w:right="-726" w:rightChars="-33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四、保证责任的终止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五、免责条款</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六、争议的解决</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因本保函发生的纠纷，由你我双方协商解决，协商不成的，通过诉讼程序解决，诉讼管辖地法院为法院。</w:t>
      </w:r>
    </w:p>
    <w:p>
      <w:pPr>
        <w:spacing w:after="0" w:line="480" w:lineRule="auto"/>
        <w:ind w:firstLine="422" w:firstLineChars="200"/>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七、保函的生效</w:t>
      </w:r>
    </w:p>
    <w:p>
      <w:pPr>
        <w:spacing w:after="0" w:line="48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本保函自我方加盖公章之日起生效。</w:t>
      </w:r>
    </w:p>
    <w:p>
      <w:pPr>
        <w:spacing w:after="0" w:line="480" w:lineRule="auto"/>
        <w:rPr>
          <w:rFonts w:ascii="宋体" w:hAnsi="宋体" w:eastAsia="宋体" w:cs="宋体"/>
          <w:color w:val="auto"/>
          <w:sz w:val="21"/>
          <w:szCs w:val="21"/>
          <w:highlight w:val="none"/>
        </w:rPr>
      </w:pPr>
    </w:p>
    <w:p>
      <w:pPr>
        <w:spacing w:after="0" w:line="480" w:lineRule="auto"/>
        <w:rPr>
          <w:rFonts w:ascii="宋体" w:hAnsi="宋体" w:eastAsia="宋体" w:cs="宋体"/>
          <w:color w:val="auto"/>
          <w:sz w:val="21"/>
          <w:szCs w:val="21"/>
          <w:highlight w:val="none"/>
        </w:rPr>
      </w:pP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保证人：（公章）</w:t>
      </w:r>
    </w:p>
    <w:p>
      <w:pPr>
        <w:spacing w:after="0" w:line="480" w:lineRule="auto"/>
        <w:jc w:val="righ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年     月      日</w:t>
      </w:r>
    </w:p>
    <w:p>
      <w:pPr>
        <w:spacing w:after="0"/>
        <w:rPr>
          <w:rFonts w:ascii="宋体" w:hAnsi="宋体" w:eastAsia="宋体"/>
          <w:color w:val="auto"/>
          <w:sz w:val="21"/>
          <w:szCs w:val="21"/>
          <w:highlight w:val="none"/>
        </w:rPr>
      </w:pPr>
      <w:r>
        <w:rPr>
          <w:rFonts w:hint="eastAsia" w:ascii="宋体" w:hAnsi="宋体" w:eastAsia="宋体"/>
          <w:color w:val="auto"/>
          <w:sz w:val="21"/>
          <w:szCs w:val="21"/>
          <w:highlight w:val="none"/>
        </w:rPr>
        <w:t>注：</w:t>
      </w:r>
    </w:p>
    <w:p>
      <w:pPr>
        <w:spacing w:after="0" w:line="480" w:lineRule="auto"/>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（1）此格式为履约担保函格式，无需在投标文件中提供此格式。</w:t>
      </w:r>
    </w:p>
    <w:p>
      <w:pPr>
        <w:pStyle w:val="2"/>
        <w:rPr>
          <w:color w:val="auto"/>
          <w:highlight w:val="none"/>
        </w:rPr>
      </w:pPr>
    </w:p>
    <w:p>
      <w:pPr>
        <w:pStyle w:val="5"/>
        <w:spacing w:before="0" w:after="0" w:line="240" w:lineRule="auto"/>
        <w:jc w:val="center"/>
        <w:rPr>
          <w:rFonts w:ascii="宋体" w:hAnsi="宋体" w:eastAsia="宋体" w:cs="宋体"/>
          <w:color w:val="auto"/>
          <w:sz w:val="21"/>
          <w:szCs w:val="21"/>
          <w:highlight w:val="none"/>
        </w:rPr>
      </w:pPr>
      <w:r>
        <w:rPr>
          <w:rFonts w:ascii="宋体" w:hAnsi="宋体" w:eastAsia="宋体" w:cs="宋体"/>
          <w:color w:val="auto"/>
          <w:sz w:val="21"/>
          <w:szCs w:val="21"/>
          <w:highlight w:val="none"/>
        </w:rPr>
        <w:br w:type="page"/>
      </w:r>
    </w:p>
    <w:p>
      <w:pPr>
        <w:pStyle w:val="7"/>
        <w:spacing w:before="0" w:after="0" w:line="240" w:lineRule="auto"/>
        <w:rPr>
          <w:rFonts w:ascii="宋体" w:hAnsi="宋体" w:eastAsia="宋体" w:cs="宋体"/>
          <w:color w:val="auto"/>
          <w:sz w:val="21"/>
          <w:szCs w:val="21"/>
          <w:highlight w:val="none"/>
        </w:rPr>
      </w:pPr>
      <w:bookmarkStart w:id="245" w:name="_Toc17023"/>
      <w:r>
        <w:rPr>
          <w:rFonts w:hint="eastAsia" w:ascii="宋体" w:hAnsi="宋体" w:eastAsia="宋体" w:cs="宋体"/>
          <w:color w:val="auto"/>
          <w:sz w:val="21"/>
          <w:szCs w:val="21"/>
          <w:highlight w:val="none"/>
        </w:rPr>
        <w:t>附件23.获取招标文件登记表</w:t>
      </w:r>
      <w:bookmarkEnd w:id="245"/>
    </w:p>
    <w:p>
      <w:pPr>
        <w:pStyle w:val="5"/>
        <w:spacing w:before="0" w:after="0" w:line="240" w:lineRule="auto"/>
        <w:jc w:val="center"/>
        <w:rPr>
          <w:rFonts w:ascii="黑体" w:hAnsi="宋体"/>
          <w:color w:val="auto"/>
          <w:sz w:val="44"/>
          <w:szCs w:val="44"/>
          <w:highlight w:val="none"/>
        </w:rPr>
      </w:pPr>
      <w:bookmarkStart w:id="246" w:name="_Toc1968"/>
    </w:p>
    <w:p>
      <w:pPr>
        <w:spacing w:after="0"/>
        <w:jc w:val="center"/>
        <w:rPr>
          <w:rFonts w:ascii="黑体" w:hAnsi="黑体" w:eastAsia="黑体" w:cs="黑体"/>
          <w:color w:val="auto"/>
          <w:sz w:val="36"/>
          <w:szCs w:val="36"/>
          <w:highlight w:val="none"/>
        </w:rPr>
      </w:pPr>
      <w:r>
        <w:rPr>
          <w:rFonts w:hint="eastAsia" w:ascii="黑体" w:hAnsi="黑体" w:eastAsia="黑体" w:cs="黑体"/>
          <w:color w:val="auto"/>
          <w:sz w:val="36"/>
          <w:szCs w:val="36"/>
          <w:highlight w:val="none"/>
        </w:rPr>
        <w:t>获取招标文件登记表</w:t>
      </w:r>
      <w:bookmarkEnd w:id="246"/>
    </w:p>
    <w:tbl>
      <w:tblPr>
        <w:tblStyle w:val="25"/>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获取招标文件时间</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2021年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拟投标项目名称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项目编号</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供应商联系人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电话</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手机</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传真</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电子邮箱</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单位地址及邮编</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备注</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招标文件领取人签名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招标文件发售人签名</w:t>
            </w:r>
          </w:p>
        </w:tc>
        <w:tc>
          <w:tcPr>
            <w:tcW w:w="5898" w:type="dxa"/>
            <w:vAlign w:val="center"/>
          </w:tcPr>
          <w:p>
            <w:pPr>
              <w:spacing w:after="0"/>
              <w:jc w:val="center"/>
              <w:rPr>
                <w:rFonts w:ascii="宋体" w:hAnsi="宋体" w:eastAsia="宋体" w:cs="宋体"/>
                <w:color w:val="auto"/>
                <w:sz w:val="32"/>
                <w:szCs w:val="32"/>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招标文件售价</w:t>
            </w:r>
          </w:p>
        </w:tc>
        <w:tc>
          <w:tcPr>
            <w:tcW w:w="5898" w:type="dxa"/>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人民币150元/份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8528" w:type="dxa"/>
            <w:gridSpan w:val="2"/>
            <w:vAlign w:val="center"/>
          </w:tcPr>
          <w:p>
            <w:pPr>
              <w:spacing w:after="0"/>
              <w:jc w:val="center"/>
              <w:rPr>
                <w:rFonts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注：开完发票后请把报名表格交还至前台</w:t>
            </w:r>
          </w:p>
        </w:tc>
      </w:tr>
    </w:tbl>
    <w:p>
      <w:pPr>
        <w:rPr>
          <w:rFonts w:ascii="宋体" w:hAnsi="宋体" w:eastAsia="宋体" w:cs="宋体"/>
          <w:color w:val="auto"/>
          <w:sz w:val="21"/>
          <w:szCs w:val="21"/>
          <w:highlight w:val="none"/>
        </w:rPr>
      </w:pPr>
    </w:p>
    <w:p>
      <w:pPr>
        <w:rPr>
          <w:color w:val="auto"/>
          <w:highlight w:val="none"/>
        </w:rPr>
      </w:pPr>
      <w:r>
        <w:rPr>
          <w:color w:val="auto"/>
          <w:highlight w:val="none"/>
        </w:rPr>
        <w:br w:type="page"/>
      </w:r>
    </w:p>
    <w:p>
      <w:pPr>
        <w:pStyle w:val="7"/>
        <w:spacing w:before="0" w:after="0" w:line="240" w:lineRule="auto"/>
        <w:rPr>
          <w:rFonts w:ascii="宋体" w:hAnsi="宋体" w:eastAsia="宋体" w:cs="宋体"/>
          <w:color w:val="auto"/>
          <w:sz w:val="21"/>
          <w:szCs w:val="21"/>
          <w:highlight w:val="none"/>
        </w:rPr>
      </w:pPr>
      <w:bookmarkStart w:id="247" w:name="_Toc11182"/>
      <w:r>
        <w:rPr>
          <w:rFonts w:hint="eastAsia" w:ascii="宋体" w:hAnsi="宋体" w:eastAsia="宋体" w:cs="宋体"/>
          <w:color w:val="auto"/>
          <w:sz w:val="21"/>
          <w:szCs w:val="21"/>
          <w:highlight w:val="none"/>
        </w:rPr>
        <w:t>附件 24.质疑函范本</w:t>
      </w:r>
      <w:bookmarkEnd w:id="247"/>
    </w:p>
    <w:p>
      <w:pPr>
        <w:spacing w:after="0" w:line="360" w:lineRule="auto"/>
        <w:jc w:val="center"/>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1.质疑函</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一、质疑供应商基本信息</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质疑供应商：</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联系人：联系电话：</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授权代表：</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地址：邮编：</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二、质疑项目基本情况</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质疑项目的编号：包号：</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采购人名称：</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采购文件获取日期：</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三、质疑事项具体内容</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质疑事项1：</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事实依据：</w:t>
      </w:r>
    </w:p>
    <w:p>
      <w:pPr>
        <w:spacing w:after="0" w:line="360" w:lineRule="auto"/>
        <w:rPr>
          <w:rFonts w:ascii="宋体" w:hAnsi="宋体" w:eastAsia="宋体" w:cs="宋体"/>
          <w:color w:val="auto"/>
          <w:sz w:val="21"/>
          <w:szCs w:val="21"/>
          <w:highlight w:val="none"/>
          <w:u w:val="single"/>
        </w:rPr>
      </w:pP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法律依据：</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质疑事项2</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四、与质疑事项相关的质疑请求</w:t>
      </w:r>
    </w:p>
    <w:p>
      <w:pPr>
        <w:spacing w:after="0" w:line="360" w:lineRule="auto"/>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请求：</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日期：    </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质疑函制作说明：</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1.供应商提出质疑时，应提交质疑函和必要的证明材料。</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3.质疑供应商若对项目的某一分包进行质疑，质疑函中应列明具体分包号。</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4.质疑函的质疑事项应具体、明确，并有必要的事实依据和法律依据。</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5.质疑函的质疑请求应与质疑事项相关。</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8.质疑函递交地址为采购代理机构办公地址，详细地址详见投标邀请书。</w:t>
      </w:r>
    </w:p>
    <w:p>
      <w:pPr>
        <w:pStyle w:val="2"/>
        <w:rPr>
          <w:color w:val="auto"/>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2.询问函、质疑函授权书参考格式</w:t>
      </w:r>
    </w:p>
    <w:p>
      <w:pPr>
        <w:spacing w:after="0" w:line="360" w:lineRule="auto"/>
        <w:rPr>
          <w:rFonts w:ascii="宋体" w:hAnsi="宋体" w:eastAsia="宋体" w:cs="宋体"/>
          <w:color w:val="auto"/>
          <w:sz w:val="21"/>
          <w:szCs w:val="21"/>
          <w:highlight w:val="none"/>
        </w:rPr>
      </w:pPr>
    </w:p>
    <w:p>
      <w:pPr>
        <w:spacing w:after="0"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法定代表人或负责人授权委托书</w:t>
      </w:r>
    </w:p>
    <w:p>
      <w:pPr>
        <w:spacing w:after="0" w:line="360" w:lineRule="auto"/>
        <w:rPr>
          <w:rFonts w:ascii="宋体" w:hAnsi="宋体" w:eastAsia="宋体" w:cs="宋体"/>
          <w:color w:val="auto"/>
          <w:sz w:val="21"/>
          <w:szCs w:val="21"/>
          <w:highlight w:val="none"/>
        </w:rPr>
      </w:pPr>
    </w:p>
    <w:p>
      <w:pPr>
        <w:spacing w:after="0" w:line="360" w:lineRule="auto"/>
        <w:ind w:firstLine="420" w:firstLineChars="200"/>
        <w:rPr>
          <w:rFonts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本委托书声明：在下面签字的</w:t>
      </w:r>
      <w:r>
        <w:rPr>
          <w:rFonts w:hint="eastAsia" w:ascii="宋体" w:hAnsi="宋体" w:eastAsia="宋体" w:cs="宋体"/>
          <w:color w:val="auto"/>
          <w:sz w:val="21"/>
          <w:szCs w:val="21"/>
          <w:highlight w:val="none"/>
          <w:u w:val="single"/>
        </w:rPr>
        <w:t xml:space="preserve">           （法定代表人或负责人姓名、职务）</w:t>
      </w:r>
      <w:r>
        <w:rPr>
          <w:rFonts w:hint="eastAsia" w:ascii="宋体" w:hAnsi="宋体" w:eastAsia="宋体" w:cs="宋体"/>
          <w:color w:val="auto"/>
          <w:sz w:val="21"/>
          <w:szCs w:val="21"/>
          <w:highlight w:val="none"/>
        </w:rPr>
        <w:t xml:space="preserve">代表 </w:t>
      </w:r>
      <w:r>
        <w:rPr>
          <w:rFonts w:hint="eastAsia" w:ascii="宋体" w:hAnsi="宋体" w:eastAsia="宋体" w:cs="宋体"/>
          <w:color w:val="auto"/>
          <w:sz w:val="21"/>
          <w:szCs w:val="21"/>
          <w:highlight w:val="none"/>
          <w:u w:val="single"/>
        </w:rPr>
        <w:t xml:space="preserve">            （供应商名称）</w:t>
      </w:r>
      <w:r>
        <w:rPr>
          <w:rFonts w:hint="eastAsia" w:ascii="宋体" w:hAnsi="宋体" w:eastAsia="宋体" w:cs="宋体"/>
          <w:color w:val="auto"/>
          <w:sz w:val="21"/>
          <w:szCs w:val="21"/>
          <w:highlight w:val="none"/>
        </w:rPr>
        <w:t>委托在下面签字的</w:t>
      </w:r>
      <w:r>
        <w:rPr>
          <w:rFonts w:hint="eastAsia" w:ascii="宋体" w:hAnsi="宋体" w:eastAsia="宋体" w:cs="宋体"/>
          <w:color w:val="auto"/>
          <w:sz w:val="21"/>
          <w:szCs w:val="21"/>
          <w:highlight w:val="none"/>
          <w:u w:val="single"/>
        </w:rPr>
        <w:t xml:space="preserve">          （授权代表的姓名、职务）</w:t>
      </w:r>
      <w:r>
        <w:rPr>
          <w:rFonts w:hint="eastAsia" w:ascii="宋体" w:hAnsi="宋体" w:eastAsia="宋体" w:cs="宋体"/>
          <w:color w:val="auto"/>
          <w:sz w:val="21"/>
          <w:szCs w:val="21"/>
          <w:highlight w:val="none"/>
        </w:rPr>
        <w:t>为本公司的合法代表人，就采购项目（采购编号：</w:t>
      </w:r>
      <w:r>
        <w:rPr>
          <w:rFonts w:hint="eastAsia" w:ascii="宋体" w:hAnsi="宋体" w:eastAsia="宋体" w:cs="宋体"/>
          <w:color w:val="auto"/>
          <w:sz w:val="21"/>
          <w:szCs w:val="21"/>
          <w:highlight w:val="none"/>
          <w:u w:val="single"/>
        </w:rPr>
        <w:t xml:space="preserve">          ）             （填写授权内容）</w:t>
      </w:r>
      <w:r>
        <w:rPr>
          <w:rFonts w:hint="eastAsia" w:ascii="宋体" w:hAnsi="宋体" w:eastAsia="宋体" w:cs="宋体"/>
          <w:color w:val="auto"/>
          <w:sz w:val="21"/>
          <w:szCs w:val="21"/>
          <w:highlight w:val="none"/>
        </w:rPr>
        <w:t>，以本公司的名义处理一切与之有关的事宜</w:t>
      </w:r>
      <w:r>
        <w:rPr>
          <w:rFonts w:hint="eastAsia" w:ascii="宋体" w:hAnsi="宋体" w:eastAsia="宋体" w:cs="宋体"/>
          <w:color w:val="auto"/>
          <w:sz w:val="21"/>
          <w:szCs w:val="21"/>
          <w:highlight w:val="none"/>
          <w:u w:val="single"/>
        </w:rPr>
        <w:t>（须提供法定代表人或负责人、授权代表身份证复印件）。</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本委托书于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w:t>
      </w:r>
      <w:r>
        <w:rPr>
          <w:rFonts w:hint="eastAsia" w:ascii="宋体" w:hAnsi="宋体" w:eastAsia="宋体" w:cs="宋体"/>
          <w:color w:val="auto"/>
          <w:sz w:val="21"/>
          <w:szCs w:val="21"/>
          <w:highlight w:val="none"/>
        </w:rPr>
        <w:t>日签字生效。</w:t>
      </w: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供应商名称（加盖公章）：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法定代表人或负责人（签名或盖私章）：</w:t>
      </w:r>
    </w:p>
    <w:p>
      <w:pPr>
        <w:spacing w:after="0"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授权代表（签名或盖私章）：</w:t>
      </w:r>
    </w:p>
    <w:p>
      <w:pPr>
        <w:spacing w:after="0" w:line="360" w:lineRule="auto"/>
        <w:rPr>
          <w:rFonts w:ascii="仿宋" w:hAnsi="仿宋" w:eastAsia="仿宋"/>
          <w:color w:val="auto"/>
          <w:sz w:val="24"/>
          <w:highlight w:val="none"/>
        </w:rPr>
      </w:pPr>
      <w:r>
        <w:rPr>
          <w:rFonts w:hint="eastAsia" w:ascii="宋体" w:hAnsi="宋体" w:eastAsia="宋体" w:cs="宋体"/>
          <w:color w:val="auto"/>
          <w:sz w:val="21"/>
          <w:szCs w:val="21"/>
          <w:highlight w:val="none"/>
        </w:rPr>
        <w:t>日期：</w:t>
      </w:r>
    </w:p>
    <w:p>
      <w:pPr>
        <w:rPr>
          <w:color w:val="auto"/>
          <w:highlight w:val="none"/>
        </w:rPr>
      </w:pPr>
    </w:p>
    <w:sectPr>
      <w:footerReference r:id="rId6" w:type="first"/>
      <w:footerReference r:id="rId5"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Cw3v+V0gEAAKcDAAAOAAAAAAAAAAEAIAAAAB4BAABk&#10;cnMvZTJvRG9jLnhtbFBLBQYAAAAABgAGAFkBAABiBQ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Vi3kDRAQAApwMAAA4AAAAAAAAAAQAgAAAAHgEAAGRy&#10;cy9lMm9Eb2MueG1sUEsFBgAAAAAGAAYAWQEAAGEFAAAAAA==&#10;">
              <v:fill on="f" focussize="0,0"/>
              <v:stroke on="f"/>
              <v:imagedata o:title=""/>
              <o:lock v:ext="edit" aspectratio="f"/>
              <v:textbox inset="0mm,0mm,0mm,0mm" style="mso-fit-shape-to-text:t;">
                <w:txbxContent>
                  <w:p>
                    <w:pPr>
                      <w:pStyle w:val="17"/>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fldChar w:fldCharType="begin"/>
                    </w:r>
                    <w:r>
                      <w:rPr>
                        <w:rFonts w:hint="eastAsia"/>
                      </w:rPr>
                      <w:instrText xml:space="preserve">=</w:instrText>
                    </w:r>
                    <w:r>
                      <w:fldChar w:fldCharType="begin"/>
                    </w:r>
                    <w:r>
                      <w:instrText xml:space="preserve"> NUMPAGES  \* MERGEFORMAT </w:instrText>
                    </w:r>
                    <w:r>
                      <w:fldChar w:fldCharType="separate"/>
                    </w:r>
                    <w:r>
                      <w:instrText xml:space="preserve">92</w:instrText>
                    </w:r>
                    <w:r>
                      <w:fldChar w:fldCharType="end"/>
                    </w:r>
                    <w:r>
                      <w:rPr>
                        <w:rFonts w:hint="eastAsia"/>
                      </w:rPr>
                      <w:instrText xml:space="preserve">-1</w:instrText>
                    </w:r>
                    <w:r>
                      <w:fldChar w:fldCharType="separate"/>
                    </w:r>
                    <w:r>
                      <w:t>91</w:t>
                    </w:r>
                    <w:r>
                      <w:fldChar w:fldCharType="end"/>
                    </w:r>
                    <w:r>
                      <w:rPr>
                        <w:rFonts w:hint="eastAsia"/>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pPr>
      <w:r>
        <w:separator/>
      </w:r>
    </w:p>
  </w:footnote>
  <w:footnote w:type="continuationSeparator" w:id="5">
    <w:p>
      <w:pPr>
        <w:spacing w:before="0" w:after="0"/>
      </w:pPr>
      <w:r>
        <w:continuationSeparator/>
      </w:r>
    </w:p>
  </w:footnote>
  <w:footnote w:id="0">
    <w:p>
      <w:pPr>
        <w:pStyle w:val="21"/>
      </w:pPr>
      <w:r>
        <w:rPr>
          <w:rStyle w:val="30"/>
        </w:rPr>
        <w:footnoteRef/>
      </w:r>
      <w:r>
        <w:t xml:space="preserve"> </w:t>
      </w:r>
      <w:r>
        <w:rPr>
          <w:rFonts w:hint="eastAsia"/>
        </w:rPr>
        <w:t>从业人员、营业人员、资产总额填报上一年度数据，无上一年度数据的新成立企业可不填报。</w:t>
      </w:r>
    </w:p>
  </w:footnote>
  <w:footnote w:id="1">
    <w:p>
      <w:pPr>
        <w:pStyle w:val="21"/>
      </w:pPr>
      <w:r>
        <w:rPr>
          <w:rStyle w:val="30"/>
        </w:rPr>
        <w:footnoteRef/>
      </w:r>
      <w:r>
        <w:t xml:space="preserve">  </w:t>
      </w:r>
      <w:r>
        <w:rPr>
          <w:rFonts w:hint="eastAsia"/>
        </w:rPr>
        <w:t>从业人员、营业人员、资产总额填报上一年度数据，无上一年度数据的新成立企业可不填报。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82D4DAA"/>
    <w:multiLevelType w:val="multilevel"/>
    <w:tmpl w:val="082D4DA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9">
    <w:nsid w:val="1560A91F"/>
    <w:multiLevelType w:val="singleLevel"/>
    <w:tmpl w:val="1560A91F"/>
    <w:lvl w:ilvl="0" w:tentative="0">
      <w:start w:val="1"/>
      <w:numFmt w:val="decimal"/>
      <w:suff w:val="nothing"/>
      <w:lvlText w:val="%1、"/>
      <w:lvlJc w:val="left"/>
    </w:lvl>
  </w:abstractNum>
  <w:abstractNum w:abstractNumId="10">
    <w:nsid w:val="206CABF7"/>
    <w:multiLevelType w:val="singleLevel"/>
    <w:tmpl w:val="206CABF7"/>
    <w:lvl w:ilvl="0" w:tentative="0">
      <w:start w:val="1"/>
      <w:numFmt w:val="decimal"/>
      <w:suff w:val="nothing"/>
      <w:lvlText w:val="（%1）"/>
      <w:lvlJc w:val="left"/>
    </w:lvl>
  </w:abstractNum>
  <w:abstractNum w:abstractNumId="11">
    <w:nsid w:val="2AEA0AA3"/>
    <w:multiLevelType w:val="multilevel"/>
    <w:tmpl w:val="2AEA0AA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555"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F88662E"/>
    <w:multiLevelType w:val="singleLevel"/>
    <w:tmpl w:val="3F88662E"/>
    <w:lvl w:ilvl="0" w:tentative="0">
      <w:start w:val="1"/>
      <w:numFmt w:val="decimal"/>
      <w:suff w:val="space"/>
      <w:lvlText w:val="%1)"/>
      <w:lvlJc w:val="left"/>
    </w:lvl>
  </w:abstractNum>
  <w:abstractNum w:abstractNumId="13">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ADBB2C"/>
    <w:multiLevelType w:val="multilevel"/>
    <w:tmpl w:val="60ADBB2C"/>
    <w:lvl w:ilvl="0" w:tentative="0">
      <w:start w:val="1"/>
      <w:numFmt w:val="decimal"/>
      <w:lvlText w:val="%1."/>
      <w:lvlJc w:val="left"/>
      <w:pPr>
        <w:ind w:left="851"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1"/>
  </w:num>
  <w:num w:numId="2">
    <w:abstractNumId w:val="15"/>
  </w:num>
  <w:num w:numId="3">
    <w:abstractNumId w:val="7"/>
  </w:num>
  <w:num w:numId="4">
    <w:abstractNumId w:val="9"/>
  </w:num>
  <w:num w:numId="5">
    <w:abstractNumId w:val="13"/>
  </w:num>
  <w:num w:numId="6">
    <w:abstractNumId w:val="8"/>
  </w:num>
  <w:num w:numId="7">
    <w:abstractNumId w:val="12"/>
  </w:num>
  <w:num w:numId="8">
    <w:abstractNumId w:val="10"/>
  </w:num>
  <w:num w:numId="9">
    <w:abstractNumId w:val="4"/>
  </w:num>
  <w:num w:numId="10">
    <w:abstractNumId w:val="5"/>
  </w:num>
  <w:num w:numId="11">
    <w:abstractNumId w:val="1"/>
  </w:num>
  <w:num w:numId="12">
    <w:abstractNumId w:val="2"/>
  </w:num>
  <w:num w:numId="13">
    <w:abstractNumId w:val="6"/>
  </w:num>
  <w:num w:numId="14">
    <w:abstractNumId w:val="0"/>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footnotePr>
    <w:footnote w:id="4"/>
    <w:footnote w:id="5"/>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F6B"/>
    <w:rsid w:val="00006462"/>
    <w:rsid w:val="000300E4"/>
    <w:rsid w:val="0003307E"/>
    <w:rsid w:val="000336BA"/>
    <w:rsid w:val="000359A1"/>
    <w:rsid w:val="0007500F"/>
    <w:rsid w:val="00076809"/>
    <w:rsid w:val="0008282E"/>
    <w:rsid w:val="000A363F"/>
    <w:rsid w:val="000A42A8"/>
    <w:rsid w:val="000A5063"/>
    <w:rsid w:val="000A5DBD"/>
    <w:rsid w:val="000C39BD"/>
    <w:rsid w:val="000C4524"/>
    <w:rsid w:val="000D44A6"/>
    <w:rsid w:val="000D5273"/>
    <w:rsid w:val="000F09D9"/>
    <w:rsid w:val="000F0E98"/>
    <w:rsid w:val="0010130E"/>
    <w:rsid w:val="001049A5"/>
    <w:rsid w:val="001242F3"/>
    <w:rsid w:val="00134CAD"/>
    <w:rsid w:val="0013730B"/>
    <w:rsid w:val="00137853"/>
    <w:rsid w:val="00137E1C"/>
    <w:rsid w:val="00147012"/>
    <w:rsid w:val="00153E0B"/>
    <w:rsid w:val="00173126"/>
    <w:rsid w:val="00173905"/>
    <w:rsid w:val="00173E04"/>
    <w:rsid w:val="00175D29"/>
    <w:rsid w:val="001844F4"/>
    <w:rsid w:val="00185039"/>
    <w:rsid w:val="00195D04"/>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74359"/>
    <w:rsid w:val="00284156"/>
    <w:rsid w:val="00285643"/>
    <w:rsid w:val="002867A1"/>
    <w:rsid w:val="002901F8"/>
    <w:rsid w:val="002A540A"/>
    <w:rsid w:val="002B4087"/>
    <w:rsid w:val="002B5F6C"/>
    <w:rsid w:val="002C165E"/>
    <w:rsid w:val="002C6C78"/>
    <w:rsid w:val="002D1594"/>
    <w:rsid w:val="002D2E82"/>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B4964"/>
    <w:rsid w:val="003C3B19"/>
    <w:rsid w:val="003C412B"/>
    <w:rsid w:val="003C415C"/>
    <w:rsid w:val="003D36FB"/>
    <w:rsid w:val="003D37D8"/>
    <w:rsid w:val="003D6182"/>
    <w:rsid w:val="003E2B8C"/>
    <w:rsid w:val="003F4822"/>
    <w:rsid w:val="00401CC0"/>
    <w:rsid w:val="00402032"/>
    <w:rsid w:val="00410F11"/>
    <w:rsid w:val="004203B9"/>
    <w:rsid w:val="00421BCF"/>
    <w:rsid w:val="004322A2"/>
    <w:rsid w:val="004358AB"/>
    <w:rsid w:val="00451EB4"/>
    <w:rsid w:val="00453AD3"/>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3446C"/>
    <w:rsid w:val="00546A42"/>
    <w:rsid w:val="0055408D"/>
    <w:rsid w:val="0057492D"/>
    <w:rsid w:val="00590819"/>
    <w:rsid w:val="00592795"/>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5AED"/>
    <w:rsid w:val="006276AD"/>
    <w:rsid w:val="006378D4"/>
    <w:rsid w:val="0064416A"/>
    <w:rsid w:val="0065365D"/>
    <w:rsid w:val="0065543F"/>
    <w:rsid w:val="006578CD"/>
    <w:rsid w:val="00664F6B"/>
    <w:rsid w:val="006731D2"/>
    <w:rsid w:val="00682986"/>
    <w:rsid w:val="006913C9"/>
    <w:rsid w:val="00691701"/>
    <w:rsid w:val="00691AE0"/>
    <w:rsid w:val="0069491E"/>
    <w:rsid w:val="006A019F"/>
    <w:rsid w:val="006B7878"/>
    <w:rsid w:val="006C14BD"/>
    <w:rsid w:val="006C28E5"/>
    <w:rsid w:val="006D08E0"/>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C7A38"/>
    <w:rsid w:val="007D1B4F"/>
    <w:rsid w:val="007D2F9E"/>
    <w:rsid w:val="007D3175"/>
    <w:rsid w:val="007D48BF"/>
    <w:rsid w:val="007D5C45"/>
    <w:rsid w:val="007E2543"/>
    <w:rsid w:val="007E4A26"/>
    <w:rsid w:val="007F01B0"/>
    <w:rsid w:val="007F2CD8"/>
    <w:rsid w:val="007F4DC5"/>
    <w:rsid w:val="00806380"/>
    <w:rsid w:val="008079A2"/>
    <w:rsid w:val="0081104F"/>
    <w:rsid w:val="00822299"/>
    <w:rsid w:val="00833E43"/>
    <w:rsid w:val="0083486A"/>
    <w:rsid w:val="00841378"/>
    <w:rsid w:val="00842B87"/>
    <w:rsid w:val="00845BEB"/>
    <w:rsid w:val="008472E6"/>
    <w:rsid w:val="00853463"/>
    <w:rsid w:val="0086026F"/>
    <w:rsid w:val="008640F5"/>
    <w:rsid w:val="008707B1"/>
    <w:rsid w:val="008907DA"/>
    <w:rsid w:val="008A0587"/>
    <w:rsid w:val="008B7726"/>
    <w:rsid w:val="008D0742"/>
    <w:rsid w:val="008D429E"/>
    <w:rsid w:val="008D5A10"/>
    <w:rsid w:val="008E319F"/>
    <w:rsid w:val="008E4452"/>
    <w:rsid w:val="008E619C"/>
    <w:rsid w:val="008F6E0E"/>
    <w:rsid w:val="008F79E1"/>
    <w:rsid w:val="00906F49"/>
    <w:rsid w:val="009108BB"/>
    <w:rsid w:val="00914604"/>
    <w:rsid w:val="00917D02"/>
    <w:rsid w:val="00923533"/>
    <w:rsid w:val="00930A38"/>
    <w:rsid w:val="00934170"/>
    <w:rsid w:val="00942948"/>
    <w:rsid w:val="009474B5"/>
    <w:rsid w:val="00971DCB"/>
    <w:rsid w:val="00972D86"/>
    <w:rsid w:val="009736BF"/>
    <w:rsid w:val="0097392B"/>
    <w:rsid w:val="00976066"/>
    <w:rsid w:val="00980A66"/>
    <w:rsid w:val="009904F7"/>
    <w:rsid w:val="009910F6"/>
    <w:rsid w:val="009A7058"/>
    <w:rsid w:val="009C6AD9"/>
    <w:rsid w:val="009D55C3"/>
    <w:rsid w:val="009E398C"/>
    <w:rsid w:val="009E6F05"/>
    <w:rsid w:val="00A047B9"/>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86628"/>
    <w:rsid w:val="00B93045"/>
    <w:rsid w:val="00BA4130"/>
    <w:rsid w:val="00BB00F5"/>
    <w:rsid w:val="00BB2CAF"/>
    <w:rsid w:val="00BC1902"/>
    <w:rsid w:val="00BC3E74"/>
    <w:rsid w:val="00BD0E73"/>
    <w:rsid w:val="00BD630F"/>
    <w:rsid w:val="00BD7C1B"/>
    <w:rsid w:val="00BF17FD"/>
    <w:rsid w:val="00BF41D4"/>
    <w:rsid w:val="00BF5AFB"/>
    <w:rsid w:val="00C05272"/>
    <w:rsid w:val="00C16734"/>
    <w:rsid w:val="00C17B47"/>
    <w:rsid w:val="00C25C77"/>
    <w:rsid w:val="00C303E7"/>
    <w:rsid w:val="00C319C2"/>
    <w:rsid w:val="00C465A1"/>
    <w:rsid w:val="00C62DC1"/>
    <w:rsid w:val="00C62E44"/>
    <w:rsid w:val="00C63BD8"/>
    <w:rsid w:val="00C65954"/>
    <w:rsid w:val="00C67BFD"/>
    <w:rsid w:val="00C7126B"/>
    <w:rsid w:val="00C72C24"/>
    <w:rsid w:val="00C73468"/>
    <w:rsid w:val="00C80EC4"/>
    <w:rsid w:val="00C8568E"/>
    <w:rsid w:val="00CB7EF0"/>
    <w:rsid w:val="00CC584A"/>
    <w:rsid w:val="00CC5E4E"/>
    <w:rsid w:val="00CD0979"/>
    <w:rsid w:val="00CD0EAB"/>
    <w:rsid w:val="00CE2AF3"/>
    <w:rsid w:val="00CE621D"/>
    <w:rsid w:val="00CE66E8"/>
    <w:rsid w:val="00D05388"/>
    <w:rsid w:val="00D114CD"/>
    <w:rsid w:val="00D11571"/>
    <w:rsid w:val="00D14476"/>
    <w:rsid w:val="00D232FF"/>
    <w:rsid w:val="00D279AA"/>
    <w:rsid w:val="00D34544"/>
    <w:rsid w:val="00D44A97"/>
    <w:rsid w:val="00D45C0C"/>
    <w:rsid w:val="00D508A5"/>
    <w:rsid w:val="00D5104B"/>
    <w:rsid w:val="00D555D8"/>
    <w:rsid w:val="00D57DC0"/>
    <w:rsid w:val="00D60778"/>
    <w:rsid w:val="00D64D28"/>
    <w:rsid w:val="00D6604D"/>
    <w:rsid w:val="00D677F1"/>
    <w:rsid w:val="00D74601"/>
    <w:rsid w:val="00D83E46"/>
    <w:rsid w:val="00D847B6"/>
    <w:rsid w:val="00DA6169"/>
    <w:rsid w:val="00DB11C3"/>
    <w:rsid w:val="00DB5480"/>
    <w:rsid w:val="00DB6317"/>
    <w:rsid w:val="00DC5AD9"/>
    <w:rsid w:val="00DC691F"/>
    <w:rsid w:val="00DD02DE"/>
    <w:rsid w:val="00DD07B7"/>
    <w:rsid w:val="00DD113C"/>
    <w:rsid w:val="00DE0BEB"/>
    <w:rsid w:val="00DE4856"/>
    <w:rsid w:val="00DF485B"/>
    <w:rsid w:val="00E21B77"/>
    <w:rsid w:val="00E40CAD"/>
    <w:rsid w:val="00E44530"/>
    <w:rsid w:val="00E57546"/>
    <w:rsid w:val="00E61D2E"/>
    <w:rsid w:val="00E62B7F"/>
    <w:rsid w:val="00E726BC"/>
    <w:rsid w:val="00E72821"/>
    <w:rsid w:val="00E81DDC"/>
    <w:rsid w:val="00E81F67"/>
    <w:rsid w:val="00E83650"/>
    <w:rsid w:val="00E83A31"/>
    <w:rsid w:val="00E93E51"/>
    <w:rsid w:val="00E97CC0"/>
    <w:rsid w:val="00EA2524"/>
    <w:rsid w:val="00EB5850"/>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26CDB"/>
    <w:rsid w:val="02156240"/>
    <w:rsid w:val="021832B7"/>
    <w:rsid w:val="024E2E49"/>
    <w:rsid w:val="02A741FD"/>
    <w:rsid w:val="02C16E5D"/>
    <w:rsid w:val="02D964CF"/>
    <w:rsid w:val="0340787C"/>
    <w:rsid w:val="03707410"/>
    <w:rsid w:val="037F03E3"/>
    <w:rsid w:val="03A0770F"/>
    <w:rsid w:val="03A27BF9"/>
    <w:rsid w:val="03A448B8"/>
    <w:rsid w:val="03AD071E"/>
    <w:rsid w:val="04DF1036"/>
    <w:rsid w:val="05A97DEC"/>
    <w:rsid w:val="05C81981"/>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3C069F"/>
    <w:rsid w:val="09855177"/>
    <w:rsid w:val="09870F93"/>
    <w:rsid w:val="09F1637C"/>
    <w:rsid w:val="09F32359"/>
    <w:rsid w:val="0A25628F"/>
    <w:rsid w:val="0AA534D5"/>
    <w:rsid w:val="0AA650EB"/>
    <w:rsid w:val="0AB8066A"/>
    <w:rsid w:val="0AF47339"/>
    <w:rsid w:val="0B22594B"/>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200D07"/>
    <w:rsid w:val="114A310F"/>
    <w:rsid w:val="11DA73AF"/>
    <w:rsid w:val="121F409C"/>
    <w:rsid w:val="12C60D80"/>
    <w:rsid w:val="131F7A3A"/>
    <w:rsid w:val="132645D0"/>
    <w:rsid w:val="13455ABC"/>
    <w:rsid w:val="1351533D"/>
    <w:rsid w:val="1370322B"/>
    <w:rsid w:val="13B27845"/>
    <w:rsid w:val="141A03E1"/>
    <w:rsid w:val="143B2E0B"/>
    <w:rsid w:val="14672B11"/>
    <w:rsid w:val="14892735"/>
    <w:rsid w:val="14CC769D"/>
    <w:rsid w:val="15D359D7"/>
    <w:rsid w:val="15D81E0F"/>
    <w:rsid w:val="161E4A62"/>
    <w:rsid w:val="163C77BE"/>
    <w:rsid w:val="1679588C"/>
    <w:rsid w:val="16994962"/>
    <w:rsid w:val="16A71041"/>
    <w:rsid w:val="16AA24BF"/>
    <w:rsid w:val="16F72341"/>
    <w:rsid w:val="17680CAB"/>
    <w:rsid w:val="176E4128"/>
    <w:rsid w:val="1783371F"/>
    <w:rsid w:val="17E62B67"/>
    <w:rsid w:val="180F4499"/>
    <w:rsid w:val="18221ECE"/>
    <w:rsid w:val="19A2789F"/>
    <w:rsid w:val="1A460CF5"/>
    <w:rsid w:val="1A7F297D"/>
    <w:rsid w:val="1A86139B"/>
    <w:rsid w:val="1AB16AC1"/>
    <w:rsid w:val="1AD55A67"/>
    <w:rsid w:val="1B034A52"/>
    <w:rsid w:val="1B1F34AD"/>
    <w:rsid w:val="1B8D5DC6"/>
    <w:rsid w:val="1BFE1D3B"/>
    <w:rsid w:val="1C2775EC"/>
    <w:rsid w:val="1C750ECE"/>
    <w:rsid w:val="1D0836D7"/>
    <w:rsid w:val="1D196139"/>
    <w:rsid w:val="1D6C6D68"/>
    <w:rsid w:val="1DB85900"/>
    <w:rsid w:val="1E010AF7"/>
    <w:rsid w:val="1E0178EB"/>
    <w:rsid w:val="1E200351"/>
    <w:rsid w:val="1E301173"/>
    <w:rsid w:val="1E38333E"/>
    <w:rsid w:val="1EA40BB4"/>
    <w:rsid w:val="1F29307E"/>
    <w:rsid w:val="1F43381C"/>
    <w:rsid w:val="1F8D5367"/>
    <w:rsid w:val="1FA4148D"/>
    <w:rsid w:val="20121621"/>
    <w:rsid w:val="201A421D"/>
    <w:rsid w:val="204E554F"/>
    <w:rsid w:val="20590035"/>
    <w:rsid w:val="20FC799E"/>
    <w:rsid w:val="22154DDD"/>
    <w:rsid w:val="22213E42"/>
    <w:rsid w:val="22336873"/>
    <w:rsid w:val="238C2182"/>
    <w:rsid w:val="239015D1"/>
    <w:rsid w:val="23BB4E7D"/>
    <w:rsid w:val="23C172D6"/>
    <w:rsid w:val="23F04F64"/>
    <w:rsid w:val="23FC5372"/>
    <w:rsid w:val="24814CBE"/>
    <w:rsid w:val="24AC168B"/>
    <w:rsid w:val="258C3BEC"/>
    <w:rsid w:val="260E3862"/>
    <w:rsid w:val="262569FC"/>
    <w:rsid w:val="26344C98"/>
    <w:rsid w:val="266F4CA6"/>
    <w:rsid w:val="26F56CE2"/>
    <w:rsid w:val="27435D49"/>
    <w:rsid w:val="27A34F71"/>
    <w:rsid w:val="27B36A67"/>
    <w:rsid w:val="27EB0D9B"/>
    <w:rsid w:val="286602C8"/>
    <w:rsid w:val="28665C95"/>
    <w:rsid w:val="290B3EB9"/>
    <w:rsid w:val="291418C2"/>
    <w:rsid w:val="2950768C"/>
    <w:rsid w:val="297A5FC4"/>
    <w:rsid w:val="2A1113BC"/>
    <w:rsid w:val="2A8D4F8F"/>
    <w:rsid w:val="2A911082"/>
    <w:rsid w:val="2A917B34"/>
    <w:rsid w:val="2AE3766F"/>
    <w:rsid w:val="2B396D0B"/>
    <w:rsid w:val="2B475A54"/>
    <w:rsid w:val="2B7E4054"/>
    <w:rsid w:val="2BF22742"/>
    <w:rsid w:val="2C987C56"/>
    <w:rsid w:val="2CE773D7"/>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33DFE"/>
    <w:rsid w:val="31170995"/>
    <w:rsid w:val="31264A30"/>
    <w:rsid w:val="31884E67"/>
    <w:rsid w:val="31A0275E"/>
    <w:rsid w:val="31ED6B08"/>
    <w:rsid w:val="328464CE"/>
    <w:rsid w:val="32AB70C5"/>
    <w:rsid w:val="32DC33E0"/>
    <w:rsid w:val="335D0AF5"/>
    <w:rsid w:val="3370088C"/>
    <w:rsid w:val="33A3154A"/>
    <w:rsid w:val="33DC2F78"/>
    <w:rsid w:val="3428227C"/>
    <w:rsid w:val="35260F83"/>
    <w:rsid w:val="35602226"/>
    <w:rsid w:val="356B72E7"/>
    <w:rsid w:val="3572424F"/>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10295A"/>
    <w:rsid w:val="3E0572FD"/>
    <w:rsid w:val="3E1A5292"/>
    <w:rsid w:val="3E5A7FE7"/>
    <w:rsid w:val="3EC8179E"/>
    <w:rsid w:val="3EF66B2E"/>
    <w:rsid w:val="3F217914"/>
    <w:rsid w:val="3FD70BB0"/>
    <w:rsid w:val="3FFB55AC"/>
    <w:rsid w:val="401C5F9D"/>
    <w:rsid w:val="401C690C"/>
    <w:rsid w:val="401D7195"/>
    <w:rsid w:val="40CE3DC0"/>
    <w:rsid w:val="40D7455A"/>
    <w:rsid w:val="40E743E5"/>
    <w:rsid w:val="4110038E"/>
    <w:rsid w:val="41734CBA"/>
    <w:rsid w:val="418F27E5"/>
    <w:rsid w:val="41DD7057"/>
    <w:rsid w:val="420F7A65"/>
    <w:rsid w:val="4216611A"/>
    <w:rsid w:val="423E300F"/>
    <w:rsid w:val="425656C8"/>
    <w:rsid w:val="4257273C"/>
    <w:rsid w:val="425D7213"/>
    <w:rsid w:val="42677B61"/>
    <w:rsid w:val="42756DB0"/>
    <w:rsid w:val="42B21AD2"/>
    <w:rsid w:val="42FD694D"/>
    <w:rsid w:val="43213423"/>
    <w:rsid w:val="434A6D8F"/>
    <w:rsid w:val="43FA5777"/>
    <w:rsid w:val="44044D92"/>
    <w:rsid w:val="441C1611"/>
    <w:rsid w:val="443C440B"/>
    <w:rsid w:val="443F7DBF"/>
    <w:rsid w:val="44514F52"/>
    <w:rsid w:val="448965CB"/>
    <w:rsid w:val="44FA2D53"/>
    <w:rsid w:val="4571374F"/>
    <w:rsid w:val="458B1BB0"/>
    <w:rsid w:val="4611075B"/>
    <w:rsid w:val="46214818"/>
    <w:rsid w:val="467A0297"/>
    <w:rsid w:val="468B7125"/>
    <w:rsid w:val="46C4691F"/>
    <w:rsid w:val="479D1D34"/>
    <w:rsid w:val="47B609C0"/>
    <w:rsid w:val="47D45A82"/>
    <w:rsid w:val="482D31EA"/>
    <w:rsid w:val="485970A0"/>
    <w:rsid w:val="48774790"/>
    <w:rsid w:val="48A41906"/>
    <w:rsid w:val="48B65C71"/>
    <w:rsid w:val="48F303D7"/>
    <w:rsid w:val="492837FF"/>
    <w:rsid w:val="492E6A57"/>
    <w:rsid w:val="4A0030EE"/>
    <w:rsid w:val="4AAA6485"/>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3B2B84"/>
    <w:rsid w:val="537A7243"/>
    <w:rsid w:val="539C1B81"/>
    <w:rsid w:val="53AE750F"/>
    <w:rsid w:val="53F263AD"/>
    <w:rsid w:val="549A6BFA"/>
    <w:rsid w:val="54E72921"/>
    <w:rsid w:val="55764DC6"/>
    <w:rsid w:val="55806F07"/>
    <w:rsid w:val="55FA2961"/>
    <w:rsid w:val="565E7F4F"/>
    <w:rsid w:val="56775789"/>
    <w:rsid w:val="567D664C"/>
    <w:rsid w:val="56857D06"/>
    <w:rsid w:val="56914056"/>
    <w:rsid w:val="56DB613D"/>
    <w:rsid w:val="57FC2169"/>
    <w:rsid w:val="58096275"/>
    <w:rsid w:val="581C04F1"/>
    <w:rsid w:val="582E6EF7"/>
    <w:rsid w:val="58434392"/>
    <w:rsid w:val="584E30E6"/>
    <w:rsid w:val="58843B4F"/>
    <w:rsid w:val="59014D02"/>
    <w:rsid w:val="597B384D"/>
    <w:rsid w:val="59996DA8"/>
    <w:rsid w:val="59C30F1B"/>
    <w:rsid w:val="5A032485"/>
    <w:rsid w:val="5A0D5854"/>
    <w:rsid w:val="5A20156F"/>
    <w:rsid w:val="5AC7121C"/>
    <w:rsid w:val="5AD90B8D"/>
    <w:rsid w:val="5AE12927"/>
    <w:rsid w:val="5B2243E9"/>
    <w:rsid w:val="5B4E1A44"/>
    <w:rsid w:val="5B666742"/>
    <w:rsid w:val="5B873201"/>
    <w:rsid w:val="5B89551D"/>
    <w:rsid w:val="5B967767"/>
    <w:rsid w:val="5B9E55DE"/>
    <w:rsid w:val="5C286807"/>
    <w:rsid w:val="5C446BC8"/>
    <w:rsid w:val="5C4C687B"/>
    <w:rsid w:val="5C7C2768"/>
    <w:rsid w:val="5CB23AE6"/>
    <w:rsid w:val="5CF55792"/>
    <w:rsid w:val="5CFD533A"/>
    <w:rsid w:val="5D893B14"/>
    <w:rsid w:val="5E2B7D62"/>
    <w:rsid w:val="5EA06921"/>
    <w:rsid w:val="5ED5006A"/>
    <w:rsid w:val="5F576E4B"/>
    <w:rsid w:val="5F7A2C30"/>
    <w:rsid w:val="5FBE370A"/>
    <w:rsid w:val="60150BDA"/>
    <w:rsid w:val="60292845"/>
    <w:rsid w:val="60D437BB"/>
    <w:rsid w:val="612E1A5D"/>
    <w:rsid w:val="61816046"/>
    <w:rsid w:val="62391564"/>
    <w:rsid w:val="62816669"/>
    <w:rsid w:val="62BA0953"/>
    <w:rsid w:val="62D03A7C"/>
    <w:rsid w:val="62F16BCB"/>
    <w:rsid w:val="62F648FE"/>
    <w:rsid w:val="63341DB1"/>
    <w:rsid w:val="63A10995"/>
    <w:rsid w:val="63C23EFA"/>
    <w:rsid w:val="643A070A"/>
    <w:rsid w:val="644C573D"/>
    <w:rsid w:val="648667A7"/>
    <w:rsid w:val="64DB383A"/>
    <w:rsid w:val="65032F85"/>
    <w:rsid w:val="65136B50"/>
    <w:rsid w:val="657E2A35"/>
    <w:rsid w:val="65A94E9D"/>
    <w:rsid w:val="65C60A92"/>
    <w:rsid w:val="662203DD"/>
    <w:rsid w:val="66DD6702"/>
    <w:rsid w:val="679406CB"/>
    <w:rsid w:val="67C35C0B"/>
    <w:rsid w:val="68652AB3"/>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684BD0"/>
    <w:rsid w:val="6D7B61EC"/>
    <w:rsid w:val="6DD049FF"/>
    <w:rsid w:val="6E09491E"/>
    <w:rsid w:val="6E0D3655"/>
    <w:rsid w:val="6E5F4465"/>
    <w:rsid w:val="6E8C54DA"/>
    <w:rsid w:val="6EF11E03"/>
    <w:rsid w:val="6F111C62"/>
    <w:rsid w:val="6F2176E5"/>
    <w:rsid w:val="6F3053CA"/>
    <w:rsid w:val="6F592303"/>
    <w:rsid w:val="6F5F5B74"/>
    <w:rsid w:val="6F9B1C65"/>
    <w:rsid w:val="6FD47A25"/>
    <w:rsid w:val="6FFB146E"/>
    <w:rsid w:val="701A5C74"/>
    <w:rsid w:val="706516C3"/>
    <w:rsid w:val="70896E68"/>
    <w:rsid w:val="715B60E9"/>
    <w:rsid w:val="71EA1FED"/>
    <w:rsid w:val="72C16204"/>
    <w:rsid w:val="730313F6"/>
    <w:rsid w:val="730350E6"/>
    <w:rsid w:val="731E1007"/>
    <w:rsid w:val="73370D24"/>
    <w:rsid w:val="7359268C"/>
    <w:rsid w:val="739503EB"/>
    <w:rsid w:val="73A05B28"/>
    <w:rsid w:val="73C07D69"/>
    <w:rsid w:val="74B42AE4"/>
    <w:rsid w:val="750A429D"/>
    <w:rsid w:val="755D38A7"/>
    <w:rsid w:val="75614792"/>
    <w:rsid w:val="75784473"/>
    <w:rsid w:val="757E044C"/>
    <w:rsid w:val="75977BC3"/>
    <w:rsid w:val="75B161B3"/>
    <w:rsid w:val="75D453DE"/>
    <w:rsid w:val="75E470E3"/>
    <w:rsid w:val="76736B32"/>
    <w:rsid w:val="76E3765E"/>
    <w:rsid w:val="76FC2AFA"/>
    <w:rsid w:val="77653671"/>
    <w:rsid w:val="778546CC"/>
    <w:rsid w:val="77B56730"/>
    <w:rsid w:val="77C04A8B"/>
    <w:rsid w:val="77D85DB3"/>
    <w:rsid w:val="780252A0"/>
    <w:rsid w:val="78027772"/>
    <w:rsid w:val="78A50513"/>
    <w:rsid w:val="796518DD"/>
    <w:rsid w:val="796E0C55"/>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4F5384"/>
    <w:rsid w:val="7E5A6DFA"/>
    <w:rsid w:val="7E7B0BF2"/>
    <w:rsid w:val="7E8D75B6"/>
    <w:rsid w:val="7EB2417D"/>
    <w:rsid w:val="7EF760EE"/>
    <w:rsid w:val="7F2A21E7"/>
    <w:rsid w:val="7FDD69BD"/>
    <w:rsid w:val="7FFD8E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qFormat="1" w:uiPriority="39" w:semiHidden="0"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1"/>
    <w:basedOn w:val="1"/>
    <w:next w:val="1"/>
    <w:link w:val="54"/>
    <w:qFormat/>
    <w:uiPriority w:val="9"/>
    <w:pPr>
      <w:keepNext/>
      <w:keepLines/>
      <w:widowControl w:val="0"/>
      <w:adjustRightInd/>
      <w:snapToGrid/>
      <w:spacing w:before="340" w:after="330" w:line="578" w:lineRule="auto"/>
      <w:ind w:left="425"/>
      <w:jc w:val="both"/>
      <w:outlineLvl w:val="0"/>
    </w:pPr>
    <w:rPr>
      <w:rFonts w:ascii="Times New Roman" w:hAnsi="Times New Roman" w:eastAsia="宋体"/>
      <w:b/>
      <w:bCs/>
      <w:kern w:val="44"/>
      <w:sz w:val="44"/>
      <w:szCs w:val="44"/>
    </w:rPr>
  </w:style>
  <w:style w:type="paragraph" w:styleId="5">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6">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3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5"/>
    <w:basedOn w:val="1"/>
    <w:next w:val="1"/>
    <w:unhideWhenUsed/>
    <w:qFormat/>
    <w:uiPriority w:val="9"/>
    <w:pPr>
      <w:keepNext/>
      <w:keepLines/>
      <w:spacing w:before="280" w:after="290" w:line="372" w:lineRule="auto"/>
      <w:outlineLvl w:val="4"/>
    </w:pPr>
    <w:rPr>
      <w:b/>
      <w:sz w:val="28"/>
    </w:rPr>
  </w:style>
  <w:style w:type="paragraph" w:styleId="9">
    <w:name w:val="heading 6"/>
    <w:basedOn w:val="1"/>
    <w:next w:val="1"/>
    <w:unhideWhenUsed/>
    <w:qFormat/>
    <w:uiPriority w:val="9"/>
    <w:pPr>
      <w:keepNext/>
      <w:spacing w:line="720" w:lineRule="auto"/>
      <w:ind w:left="200" w:leftChars="200"/>
      <w:outlineLvl w:val="5"/>
    </w:pPr>
    <w:rPr>
      <w:rFonts w:asciiTheme="majorHAnsi" w:hAnsiTheme="majorHAnsi" w:eastAsiaTheme="majorEastAsia" w:cstheme="majorBidi"/>
      <w:sz w:val="36"/>
      <w:szCs w:val="36"/>
    </w:rPr>
  </w:style>
  <w:style w:type="paragraph" w:styleId="10">
    <w:name w:val="heading 7"/>
    <w:basedOn w:val="1"/>
    <w:next w:val="1"/>
    <w:unhideWhenUsed/>
    <w:qFormat/>
    <w:uiPriority w:val="9"/>
    <w:pPr>
      <w:keepNext/>
      <w:keepLines/>
      <w:widowControl w:val="0"/>
      <w:adjustRightInd/>
      <w:snapToGrid/>
      <w:spacing w:before="240" w:after="64" w:line="320" w:lineRule="auto"/>
      <w:ind w:left="1296" w:hanging="1296"/>
      <w:jc w:val="both"/>
      <w:outlineLvl w:val="6"/>
    </w:pPr>
    <w:rPr>
      <w:rFonts w:ascii="Calibri" w:hAnsi="Calibri" w:eastAsia="宋体" w:cs="Times New Roman"/>
      <w:b/>
      <w:bCs/>
      <w:kern w:val="2"/>
      <w:sz w:val="24"/>
      <w:szCs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spacing w:before="161"/>
      <w:ind w:left="120"/>
    </w:pPr>
    <w:rPr>
      <w:rFonts w:ascii="宋体" w:hAnsi="宋体" w:eastAsia="宋体" w:cs="宋体"/>
      <w:sz w:val="24"/>
      <w:lang w:val="zh-CN" w:bidi="zh-CN"/>
    </w:rPr>
  </w:style>
  <w:style w:type="paragraph" w:styleId="3">
    <w:name w:val="Body Text First Indent"/>
    <w:basedOn w:val="2"/>
    <w:unhideWhenUsed/>
    <w:qFormat/>
    <w:uiPriority w:val="99"/>
    <w:pPr>
      <w:ind w:firstLine="420" w:firstLineChars="100"/>
    </w:pPr>
    <w:rPr>
      <w:rFonts w:ascii="Times New Roman" w:hAnsi="Times New Roman" w:cs="Times New Roman"/>
    </w:rPr>
  </w:style>
  <w:style w:type="paragraph" w:styleId="11">
    <w:name w:val="toc 7"/>
    <w:basedOn w:val="1"/>
    <w:next w:val="1"/>
    <w:unhideWhenUsed/>
    <w:qFormat/>
    <w:uiPriority w:val="39"/>
    <w:pPr>
      <w:widowControl w:val="0"/>
      <w:adjustRightInd/>
      <w:snapToGrid/>
      <w:spacing w:after="0" w:line="360" w:lineRule="auto"/>
      <w:ind w:left="2520" w:leftChars="1200" w:firstLine="560" w:firstLineChars="200"/>
      <w:jc w:val="both"/>
    </w:pPr>
    <w:rPr>
      <w:rFonts w:ascii="Times New Roman" w:hAnsi="Times New Roman" w:eastAsia="宋体" w:cs="Times New Roman"/>
      <w:kern w:val="2"/>
      <w:sz w:val="28"/>
      <w:szCs w:val="28"/>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annotation text"/>
    <w:basedOn w:val="1"/>
    <w:link w:val="55"/>
    <w:unhideWhenUsed/>
    <w:qFormat/>
    <w:uiPriority w:val="99"/>
  </w:style>
  <w:style w:type="paragraph" w:styleId="14">
    <w:name w:val="toc 3"/>
    <w:basedOn w:val="1"/>
    <w:next w:val="1"/>
    <w:unhideWhenUsed/>
    <w:qFormat/>
    <w:uiPriority w:val="39"/>
    <w:pPr>
      <w:tabs>
        <w:tab w:val="right" w:leader="dot" w:pos="8296"/>
      </w:tabs>
      <w:ind w:left="838" w:leftChars="381"/>
    </w:pPr>
    <w:rPr>
      <w:sz w:val="21"/>
      <w:szCs w:val="21"/>
    </w:rPr>
  </w:style>
  <w:style w:type="paragraph" w:styleId="15">
    <w:name w:val="Plain Text"/>
    <w:basedOn w:val="1"/>
    <w:link w:val="45"/>
    <w:qFormat/>
    <w:uiPriority w:val="0"/>
    <w:pPr>
      <w:widowControl w:val="0"/>
      <w:adjustRightInd/>
      <w:snapToGrid/>
      <w:spacing w:after="0"/>
      <w:jc w:val="both"/>
    </w:pPr>
    <w:rPr>
      <w:rFonts w:ascii="宋体" w:hAnsi="Courier New" w:eastAsia="宋体" w:cs="Times New Roman"/>
      <w:b/>
      <w:kern w:val="2"/>
      <w:sz w:val="21"/>
      <w:szCs w:val="20"/>
    </w:rPr>
  </w:style>
  <w:style w:type="paragraph" w:styleId="16">
    <w:name w:val="Balloon Text"/>
    <w:basedOn w:val="1"/>
    <w:link w:val="48"/>
    <w:unhideWhenUsed/>
    <w:qFormat/>
    <w:uiPriority w:val="99"/>
    <w:pPr>
      <w:spacing w:after="0"/>
    </w:pPr>
    <w:rPr>
      <w:sz w:val="18"/>
      <w:szCs w:val="18"/>
    </w:rPr>
  </w:style>
  <w:style w:type="paragraph" w:styleId="17">
    <w:name w:val="footer"/>
    <w:basedOn w:val="1"/>
    <w:link w:val="47"/>
    <w:unhideWhenUsed/>
    <w:qFormat/>
    <w:uiPriority w:val="99"/>
    <w:pPr>
      <w:tabs>
        <w:tab w:val="center" w:pos="4153"/>
        <w:tab w:val="right" w:pos="8306"/>
      </w:tabs>
    </w:pPr>
    <w:rPr>
      <w:sz w:val="18"/>
      <w:szCs w:val="18"/>
    </w:rPr>
  </w:style>
  <w:style w:type="paragraph" w:styleId="18">
    <w:name w:val="header"/>
    <w:basedOn w:val="1"/>
    <w:link w:val="46"/>
    <w:unhideWhenUsed/>
    <w:qFormat/>
    <w:uiPriority w:val="99"/>
    <w:pPr>
      <w:pBdr>
        <w:bottom w:val="single" w:color="auto" w:sz="6" w:space="1"/>
      </w:pBdr>
      <w:tabs>
        <w:tab w:val="center" w:pos="4153"/>
        <w:tab w:val="right" w:pos="8306"/>
      </w:tabs>
      <w:jc w:val="center"/>
    </w:pPr>
    <w:rPr>
      <w:sz w:val="18"/>
      <w:szCs w:val="18"/>
    </w:rPr>
  </w:style>
  <w:style w:type="paragraph" w:styleId="19">
    <w:name w:val="toc 1"/>
    <w:basedOn w:val="1"/>
    <w:next w:val="1"/>
    <w:unhideWhenUsed/>
    <w:qFormat/>
    <w:uiPriority w:val="39"/>
  </w:style>
  <w:style w:type="paragraph" w:styleId="20">
    <w:name w:val="toc 4"/>
    <w:basedOn w:val="1"/>
    <w:next w:val="1"/>
    <w:unhideWhenUsed/>
    <w:qFormat/>
    <w:uiPriority w:val="39"/>
    <w:pPr>
      <w:tabs>
        <w:tab w:val="right" w:leader="dot" w:pos="8296"/>
      </w:tabs>
      <w:spacing w:after="120"/>
      <w:ind w:left="1320" w:leftChars="600"/>
    </w:pPr>
  </w:style>
  <w:style w:type="paragraph" w:styleId="21">
    <w:name w:val="footnote text"/>
    <w:basedOn w:val="1"/>
    <w:unhideWhenUsed/>
    <w:qFormat/>
    <w:uiPriority w:val="99"/>
    <w:rPr>
      <w:sz w:val="18"/>
    </w:rPr>
  </w:style>
  <w:style w:type="paragraph" w:styleId="22">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23">
    <w:name w:val="Normal (Web)"/>
    <w:basedOn w:val="1"/>
    <w:link w:val="50"/>
    <w:qFormat/>
    <w:uiPriority w:val="99"/>
    <w:pPr>
      <w:widowControl w:val="0"/>
      <w:adjustRightInd/>
      <w:snapToGrid/>
      <w:spacing w:after="0"/>
      <w:jc w:val="both"/>
    </w:pPr>
    <w:rPr>
      <w:rFonts w:eastAsia="宋体" w:asciiTheme="minorHAnsi" w:hAnsiTheme="minorHAnsi"/>
      <w:kern w:val="2"/>
      <w:sz w:val="24"/>
      <w:szCs w:val="24"/>
    </w:r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Emphasis"/>
    <w:basedOn w:val="26"/>
    <w:qFormat/>
    <w:uiPriority w:val="20"/>
    <w:rPr>
      <w:i/>
      <w:iCs/>
    </w:rPr>
  </w:style>
  <w:style w:type="character" w:styleId="28">
    <w:name w:val="Hyperlink"/>
    <w:qFormat/>
    <w:uiPriority w:val="99"/>
    <w:rPr>
      <w:rFonts w:hint="eastAsia" w:ascii="宋体" w:hAnsi="宋体" w:eastAsia="宋体" w:cs="宋体"/>
      <w:b/>
      <w:color w:val="0031C1"/>
      <w:kern w:val="0"/>
      <w:sz w:val="18"/>
      <w:szCs w:val="18"/>
      <w:u w:val="none"/>
      <w:lang w:eastAsia="en-US"/>
    </w:rPr>
  </w:style>
  <w:style w:type="character" w:styleId="29">
    <w:name w:val="annotation reference"/>
    <w:basedOn w:val="26"/>
    <w:unhideWhenUsed/>
    <w:qFormat/>
    <w:uiPriority w:val="99"/>
    <w:rPr>
      <w:sz w:val="21"/>
      <w:szCs w:val="21"/>
    </w:rPr>
  </w:style>
  <w:style w:type="character" w:styleId="30">
    <w:name w:val="footnote reference"/>
    <w:basedOn w:val="26"/>
    <w:unhideWhenUsed/>
    <w:qFormat/>
    <w:uiPriority w:val="99"/>
    <w:rPr>
      <w:vertAlign w:val="superscript"/>
    </w:rPr>
  </w:style>
  <w:style w:type="character" w:customStyle="1" w:styleId="31">
    <w:name w:val="标题 2 字符"/>
    <w:basedOn w:val="26"/>
    <w:link w:val="5"/>
    <w:qFormat/>
    <w:uiPriority w:val="9"/>
    <w:rPr>
      <w:rFonts w:asciiTheme="majorHAnsi" w:hAnsiTheme="majorHAnsi" w:eastAsiaTheme="majorEastAsia" w:cstheme="majorBidi"/>
      <w:b/>
      <w:bCs/>
      <w:sz w:val="32"/>
      <w:szCs w:val="32"/>
    </w:rPr>
  </w:style>
  <w:style w:type="character" w:customStyle="1" w:styleId="32">
    <w:name w:val="标题 3 字符"/>
    <w:basedOn w:val="26"/>
    <w:link w:val="6"/>
    <w:qFormat/>
    <w:uiPriority w:val="9"/>
    <w:rPr>
      <w:rFonts w:ascii="Tahoma" w:hAnsi="Tahoma"/>
      <w:b/>
      <w:bCs/>
      <w:sz w:val="32"/>
      <w:szCs w:val="32"/>
    </w:rPr>
  </w:style>
  <w:style w:type="paragraph" w:customStyle="1" w:styleId="33">
    <w:name w:val="List Paragraph"/>
    <w:basedOn w:val="1"/>
    <w:qFormat/>
    <w:uiPriority w:val="34"/>
    <w:pPr>
      <w:ind w:firstLine="420" w:firstLineChars="200"/>
    </w:pPr>
  </w:style>
  <w:style w:type="character" w:customStyle="1" w:styleId="34">
    <w:name w:val="标题 4 字符"/>
    <w:basedOn w:val="26"/>
    <w:link w:val="7"/>
    <w:qFormat/>
    <w:uiPriority w:val="9"/>
    <w:rPr>
      <w:rFonts w:asciiTheme="majorHAnsi" w:hAnsiTheme="majorHAnsi" w:eastAsiaTheme="majorEastAsia" w:cstheme="majorBidi"/>
      <w:b/>
      <w:bCs/>
      <w:sz w:val="28"/>
      <w:szCs w:val="28"/>
    </w:rPr>
  </w:style>
  <w:style w:type="character" w:customStyle="1" w:styleId="35">
    <w:name w:val="正文缩进2格 Char"/>
    <w:link w:val="36"/>
    <w:qFormat/>
    <w:uiPriority w:val="0"/>
    <w:rPr>
      <w:rFonts w:ascii="仿宋_GB2312" w:hAnsi="宋体" w:eastAsia="仿宋_GB2312"/>
      <w:kern w:val="2"/>
      <w:sz w:val="31"/>
    </w:rPr>
  </w:style>
  <w:style w:type="paragraph" w:customStyle="1" w:styleId="36">
    <w:name w:val="正文缩进2格"/>
    <w:basedOn w:val="1"/>
    <w:link w:val="35"/>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37">
    <w:name w:val="正文缩进4格"/>
    <w:basedOn w:val="36"/>
    <w:qFormat/>
    <w:uiPriority w:val="0"/>
    <w:pPr>
      <w:ind w:left="2" w:firstLine="538" w:firstLineChars="192"/>
    </w:pPr>
    <w:rPr>
      <w:color w:val="0000FF"/>
      <w:sz w:val="28"/>
    </w:rPr>
  </w:style>
  <w:style w:type="character" w:customStyle="1" w:styleId="38">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9">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40">
    <w:name w:val="标题1"/>
    <w:qFormat/>
    <w:uiPriority w:val="0"/>
    <w:rPr>
      <w:rFonts w:ascii="Times New Roman" w:hAnsi="Times New Roman" w:eastAsia="宋体" w:cs="Times New Roman"/>
      <w:b/>
      <w:kern w:val="0"/>
      <w:sz w:val="24"/>
      <w:szCs w:val="20"/>
      <w:lang w:eastAsia="en-US"/>
    </w:rPr>
  </w:style>
  <w:style w:type="character" w:customStyle="1" w:styleId="41">
    <w:name w:val="标题 3.1 Char"/>
    <w:link w:val="42"/>
    <w:qFormat/>
    <w:uiPriority w:val="0"/>
    <w:rPr>
      <w:rFonts w:ascii="宋体" w:hAnsi="宋体" w:eastAsia="宋体"/>
      <w:b/>
      <w:color w:val="FF0000"/>
      <w:kern w:val="2"/>
      <w:sz w:val="32"/>
    </w:rPr>
  </w:style>
  <w:style w:type="paragraph" w:customStyle="1" w:styleId="42">
    <w:name w:val="标题 3.1"/>
    <w:basedOn w:val="6"/>
    <w:link w:val="41"/>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43">
    <w:name w:val="样式 楷体_GB2312 小四"/>
    <w:qFormat/>
    <w:uiPriority w:val="0"/>
    <w:rPr>
      <w:rFonts w:ascii="楷体_GB2312" w:hAnsi="楷体_GB2312" w:eastAsia="仿宋_GB2312"/>
      <w:sz w:val="24"/>
    </w:rPr>
  </w:style>
  <w:style w:type="character" w:customStyle="1" w:styleId="44">
    <w:name w:val="纯文本 Char"/>
    <w:qFormat/>
    <w:uiPriority w:val="0"/>
    <w:rPr>
      <w:rFonts w:ascii="宋体" w:hAnsi="Courier New" w:eastAsia="宋体" w:cs="Times New Roman"/>
      <w:b/>
      <w:kern w:val="2"/>
      <w:sz w:val="21"/>
      <w:szCs w:val="20"/>
    </w:rPr>
  </w:style>
  <w:style w:type="character" w:customStyle="1" w:styleId="45">
    <w:name w:val="纯文本 字符"/>
    <w:basedOn w:val="26"/>
    <w:link w:val="15"/>
    <w:semiHidden/>
    <w:qFormat/>
    <w:uiPriority w:val="99"/>
    <w:rPr>
      <w:rFonts w:ascii="宋体" w:hAnsi="Courier New" w:eastAsia="宋体" w:cs="Courier New"/>
      <w:sz w:val="21"/>
      <w:szCs w:val="21"/>
    </w:rPr>
  </w:style>
  <w:style w:type="character" w:customStyle="1" w:styleId="46">
    <w:name w:val="页眉 字符"/>
    <w:basedOn w:val="26"/>
    <w:link w:val="18"/>
    <w:qFormat/>
    <w:uiPriority w:val="99"/>
    <w:rPr>
      <w:rFonts w:ascii="Tahoma" w:hAnsi="Tahoma"/>
      <w:sz w:val="18"/>
      <w:szCs w:val="18"/>
    </w:rPr>
  </w:style>
  <w:style w:type="character" w:customStyle="1" w:styleId="47">
    <w:name w:val="页脚 字符"/>
    <w:basedOn w:val="26"/>
    <w:link w:val="17"/>
    <w:qFormat/>
    <w:uiPriority w:val="99"/>
    <w:rPr>
      <w:rFonts w:ascii="Tahoma" w:hAnsi="Tahoma"/>
      <w:sz w:val="18"/>
      <w:szCs w:val="18"/>
    </w:rPr>
  </w:style>
  <w:style w:type="character" w:customStyle="1" w:styleId="48">
    <w:name w:val="批注框文本 字符"/>
    <w:basedOn w:val="26"/>
    <w:link w:val="16"/>
    <w:semiHidden/>
    <w:qFormat/>
    <w:uiPriority w:val="99"/>
    <w:rPr>
      <w:rFonts w:ascii="Tahoma" w:hAnsi="Tahoma"/>
      <w:sz w:val="18"/>
      <w:szCs w:val="18"/>
    </w:rPr>
  </w:style>
  <w:style w:type="paragraph" w:customStyle="1" w:styleId="49">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50">
    <w:name w:val="普通(网站) 字符"/>
    <w:link w:val="23"/>
    <w:qFormat/>
    <w:uiPriority w:val="0"/>
    <w:rPr>
      <w:rFonts w:eastAsia="宋体"/>
      <w:kern w:val="2"/>
      <w:sz w:val="24"/>
      <w:szCs w:val="24"/>
    </w:rPr>
  </w:style>
  <w:style w:type="paragraph" w:customStyle="1" w:styleId="51">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52">
    <w:name w:val="p141"/>
    <w:qFormat/>
    <w:uiPriority w:val="0"/>
    <w:rPr>
      <w:sz w:val="21"/>
      <w:szCs w:val="21"/>
    </w:rPr>
  </w:style>
  <w:style w:type="paragraph" w:customStyle="1" w:styleId="53">
    <w:name w:val="首行缩进"/>
    <w:basedOn w:val="1"/>
    <w:qFormat/>
    <w:uiPriority w:val="0"/>
    <w:pPr>
      <w:ind w:firstLine="480" w:firstLineChars="200"/>
    </w:pPr>
    <w:rPr>
      <w:lang w:val="zh-CN"/>
    </w:rPr>
  </w:style>
  <w:style w:type="character" w:customStyle="1" w:styleId="54">
    <w:name w:val="标题 1 字符"/>
    <w:basedOn w:val="26"/>
    <w:link w:val="4"/>
    <w:qFormat/>
    <w:uiPriority w:val="9"/>
    <w:rPr>
      <w:rFonts w:cstheme="minorBidi"/>
      <w:b/>
      <w:bCs/>
      <w:kern w:val="44"/>
      <w:sz w:val="44"/>
      <w:szCs w:val="44"/>
    </w:rPr>
  </w:style>
  <w:style w:type="character" w:customStyle="1" w:styleId="55">
    <w:name w:val="批注文字 字符"/>
    <w:basedOn w:val="26"/>
    <w:link w:val="13"/>
    <w:qFormat/>
    <w:uiPriority w:val="99"/>
    <w:rPr>
      <w:rFonts w:ascii="Tahoma" w:hAnsi="Tahoma" w:eastAsia="微软雅黑" w:cstheme="minorBidi"/>
      <w:sz w:val="22"/>
      <w:szCs w:val="22"/>
    </w:rPr>
  </w:style>
  <w:style w:type="paragraph" w:customStyle="1" w:styleId="56">
    <w:name w:val="*8. General Text"/>
    <w:basedOn w:val="1"/>
    <w:qFormat/>
    <w:uiPriority w:val="0"/>
    <w:pPr>
      <w:widowControl w:val="0"/>
      <w:overflowPunct w:val="0"/>
      <w:autoSpaceDE w:val="0"/>
      <w:autoSpaceDN w:val="0"/>
      <w:snapToGrid/>
      <w:spacing w:after="120" w:line="280" w:lineRule="exact"/>
      <w:ind w:left="-1" w:leftChars="-1" w:hanging="2"/>
      <w:textAlignment w:val="baseline"/>
    </w:pPr>
    <w:rPr>
      <w:rFonts w:ascii="Garamond" w:hAnsi="Garamond" w:eastAsia="宋体" w:cs="Times New Roman"/>
      <w:sz w:val="21"/>
    </w:rPr>
  </w:style>
  <w:style w:type="table" w:customStyle="1" w:styleId="57">
    <w:name w:val="Grid Table Light"/>
    <w:basedOn w:val="24"/>
    <w:qFormat/>
    <w:uiPriority w:val="40"/>
    <w:rPr>
      <w:rFonts w:ascii="Calibri" w:hAnsi="Calibri"/>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58">
    <w:name w:val="0段落文字"/>
    <w:basedOn w:val="1"/>
    <w:qFormat/>
    <w:uiPriority w:val="0"/>
    <w:pPr>
      <w:widowControl w:val="0"/>
      <w:adjustRightInd/>
      <w:snapToGrid/>
      <w:spacing w:after="0" w:line="400" w:lineRule="exact"/>
      <w:ind w:firstLine="480" w:firstLineChars="200"/>
      <w:jc w:val="both"/>
    </w:pPr>
    <w:rPr>
      <w:rFonts w:ascii="宋体" w:hAnsi="宋体" w:eastAsia="宋体" w:cs="Times New Roman"/>
      <w:bCs/>
      <w:snapToGrid w:val="0"/>
      <w:sz w:val="24"/>
      <w:szCs w:val="30"/>
      <w:lang w:val="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92</Pages>
  <Words>8105</Words>
  <Characters>46203</Characters>
  <Lines>385</Lines>
  <Paragraphs>108</Paragraphs>
  <TotalTime>5</TotalTime>
  <ScaleCrop>false</ScaleCrop>
  <LinksUpToDate>false</LinksUpToDate>
  <CharactersWithSpaces>54200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2019-07-08T21:55:00Z</dcterms:created>
  <dc:creator>广东三方诚信招标有限公司东莞分公司</dc:creator>
  <cp:keywords>文件格式版本</cp:keywords>
  <cp:lastModifiedBy>嗨呀</cp:lastModifiedBy>
  <cp:lastPrinted>2019-04-01T09:49:00Z</cp:lastPrinted>
  <dcterms:modified xsi:type="dcterms:W3CDTF">2021-04-21T06:29:59Z</dcterms:modified>
  <dc:subject>公开招标文件版本</dc:subject>
  <dc:title>公开招标文件版本</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C565C2E187194B78AFF802BF0BAEF7AC</vt:lpwstr>
  </property>
</Properties>
</file>