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黑体"/>
          <w:b/>
          <w:color w:val="auto"/>
          <w:sz w:val="36"/>
          <w:highlight w:val="none"/>
        </w:rPr>
      </w:pPr>
      <w:r>
        <w:rPr>
          <w:rFonts w:hint="eastAsia" w:ascii="黑体" w:eastAsia="黑体"/>
          <w:color w:val="auto"/>
          <w:szCs w:val="21"/>
          <w:highlight w:val="none"/>
        </w:rPr>
        <w:drawing>
          <wp:inline distT="0" distB="0" distL="114300" distR="114300">
            <wp:extent cx="682625" cy="652145"/>
            <wp:effectExtent l="0" t="0" r="3175" b="14605"/>
            <wp:docPr id="9" name="图片 9" descr="QQ截图2020060316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200603163454"/>
                    <pic:cNvPicPr>
                      <a:picLocks noChangeAspect="1"/>
                    </pic:cNvPicPr>
                  </pic:nvPicPr>
                  <pic:blipFill>
                    <a:blip r:embed="rId13" cstate="print"/>
                    <a:srcRect l="6233" t="18358" r="67326" b="19339"/>
                    <a:stretch>
                      <a:fillRect/>
                    </a:stretch>
                  </pic:blipFill>
                  <pic:spPr>
                    <a:xfrm>
                      <a:off x="0" y="0"/>
                      <a:ext cx="682625" cy="652145"/>
                    </a:xfrm>
                    <a:prstGeom prst="rect">
                      <a:avLst/>
                    </a:prstGeom>
                  </pic:spPr>
                </pic:pic>
              </a:graphicData>
            </a:graphic>
          </wp:inline>
        </w:drawing>
      </w:r>
    </w:p>
    <w:p>
      <w:pPr>
        <w:jc w:val="right"/>
        <w:rPr>
          <w:rFonts w:eastAsia="黑体"/>
          <w:b/>
          <w:color w:val="auto"/>
          <w:sz w:val="36"/>
          <w:highlight w:val="none"/>
        </w:rPr>
      </w:pPr>
    </w:p>
    <w:p>
      <w:pPr>
        <w:rPr>
          <w:color w:val="auto"/>
          <w:highlight w:val="none"/>
        </w:rPr>
      </w:pPr>
    </w:p>
    <w:p>
      <w:pPr>
        <w:rPr>
          <w:color w:val="auto"/>
          <w:highlight w:val="none"/>
        </w:rPr>
      </w:pPr>
    </w:p>
    <w:p>
      <w:pPr>
        <w:rPr>
          <w:color w:val="auto"/>
          <w:highlight w:val="none"/>
        </w:rPr>
      </w:pPr>
    </w:p>
    <w:p>
      <w:pPr>
        <w:spacing w:after="0"/>
        <w:ind w:right="-28"/>
        <w:jc w:val="center"/>
        <w:textAlignment w:val="bottom"/>
        <w:rPr>
          <w:rFonts w:ascii="黑体" w:hAnsi="黑体" w:eastAsia="黑体" w:cs="黑体"/>
          <w:bCs/>
          <w:color w:val="auto"/>
          <w:spacing w:val="57"/>
          <w:sz w:val="72"/>
          <w:szCs w:val="72"/>
          <w:highlight w:val="none"/>
        </w:rPr>
      </w:pPr>
      <w:r>
        <w:rPr>
          <w:rFonts w:hint="eastAsia" w:ascii="黑体" w:hAnsi="黑体" w:eastAsia="黑体" w:cs="黑体"/>
          <w:bCs/>
          <w:color w:val="auto"/>
          <w:spacing w:val="57"/>
          <w:sz w:val="72"/>
          <w:szCs w:val="72"/>
          <w:highlight w:val="none"/>
        </w:rPr>
        <w:t>公开招标文件</w:t>
      </w:r>
    </w:p>
    <w:p>
      <w:pPr>
        <w:jc w:val="center"/>
        <w:rPr>
          <w:rFonts w:ascii="黑体" w:hAnsi="黑体" w:eastAsia="黑体" w:cs="黑体"/>
          <w:color w:val="auto"/>
          <w:highlight w:val="none"/>
        </w:rPr>
      </w:pPr>
      <w:r>
        <w:rPr>
          <w:rFonts w:hint="eastAsia" w:ascii="黑体" w:hAnsi="黑体" w:eastAsia="黑体" w:cs="黑体"/>
          <w:bCs/>
          <w:color w:val="auto"/>
          <w:spacing w:val="57"/>
          <w:sz w:val="72"/>
          <w:szCs w:val="72"/>
          <w:highlight w:val="none"/>
        </w:rPr>
        <w:t>东莞市政府采购</w:t>
      </w:r>
    </w:p>
    <w:p>
      <w:pPr>
        <w:jc w:val="center"/>
        <w:rPr>
          <w:color w:val="auto"/>
          <w:highlight w:val="none"/>
        </w:rPr>
      </w:pPr>
    </w:p>
    <w:p>
      <w:pPr>
        <w:rPr>
          <w:color w:val="auto"/>
          <w:highlight w:val="none"/>
        </w:rPr>
      </w:pPr>
    </w:p>
    <w:tbl>
      <w:tblPr>
        <w:tblStyle w:val="20"/>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项目名称：</w:t>
            </w:r>
          </w:p>
        </w:tc>
        <w:tc>
          <w:tcPr>
            <w:tcW w:w="620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东莞市麻涌镇路灯及夜景灯市场化管养服务采购项目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项目采购编号：</w:t>
            </w:r>
          </w:p>
        </w:tc>
        <w:tc>
          <w:tcPr>
            <w:tcW w:w="6203" w:type="dxa"/>
            <w:noWrap/>
            <w:vAlign w:val="center"/>
          </w:tcPr>
          <w:p>
            <w:pPr>
              <w:spacing w:before="200"/>
              <w:jc w:val="both"/>
              <w:rPr>
                <w:rFonts w:ascii="黑体" w:hAnsi="黑体" w:eastAsia="黑体" w:cs="黑体"/>
                <w:bCs/>
                <w:color w:val="auto"/>
                <w:sz w:val="32"/>
                <w:szCs w:val="24"/>
                <w:highlight w:val="none"/>
              </w:rPr>
            </w:pPr>
            <w:r>
              <w:rPr>
                <w:rFonts w:ascii="黑体" w:hAnsi="黑体" w:eastAsia="黑体" w:cs="黑体"/>
                <w:bCs/>
                <w:color w:val="auto"/>
                <w:sz w:val="32"/>
                <w:szCs w:val="24"/>
                <w:highlight w:val="none"/>
              </w:rPr>
              <w:t>441900033-2021-00057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采购人：</w:t>
            </w:r>
          </w:p>
        </w:tc>
        <w:tc>
          <w:tcPr>
            <w:tcW w:w="620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东莞市麻涌镇公用事业服务中心</w:t>
            </w:r>
          </w:p>
        </w:tc>
      </w:tr>
    </w:tbl>
    <w:p>
      <w:pPr>
        <w:jc w:val="center"/>
        <w:rPr>
          <w:rFonts w:ascii="黑体" w:eastAsia="黑体"/>
          <w:color w:val="auto"/>
          <w:szCs w:val="21"/>
          <w:highlight w:val="none"/>
        </w:rPr>
      </w:pPr>
    </w:p>
    <w:p>
      <w:pPr>
        <w:jc w:val="center"/>
        <w:rPr>
          <w:rFonts w:ascii="黑体" w:eastAsia="黑体"/>
          <w:color w:val="auto"/>
          <w:szCs w:val="21"/>
          <w:highlight w:val="none"/>
        </w:rPr>
      </w:pPr>
    </w:p>
    <w:p>
      <w:pPr>
        <w:jc w:val="center"/>
        <w:rPr>
          <w:rFonts w:ascii="黑体" w:eastAsia="黑体"/>
          <w:color w:val="auto"/>
          <w:szCs w:val="21"/>
          <w:highlight w:val="none"/>
        </w:rPr>
      </w:pPr>
    </w:p>
    <w:p>
      <w:pPr>
        <w:jc w:val="center"/>
        <w:rPr>
          <w:rFonts w:ascii="黑体" w:eastAsia="黑体"/>
          <w:color w:val="auto"/>
          <w:szCs w:val="21"/>
          <w:highlight w:val="none"/>
        </w:rPr>
      </w:pPr>
    </w:p>
    <w:p>
      <w:pPr>
        <w:jc w:val="center"/>
        <w:rPr>
          <w:rFonts w:ascii="黑体" w:eastAsia="黑体"/>
          <w:color w:val="auto"/>
          <w:szCs w:val="21"/>
          <w:highlight w:val="none"/>
        </w:rPr>
      </w:pPr>
    </w:p>
    <w:p>
      <w:pPr>
        <w:pStyle w:val="17"/>
        <w:rPr>
          <w:color w:val="auto"/>
          <w:sz w:val="32"/>
          <w:szCs w:val="32"/>
          <w:highlight w:val="none"/>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708" w:footer="708" w:gutter="0"/>
          <w:pgNumType w:start="0"/>
          <w:cols w:space="708" w:num="1"/>
          <w:titlePg/>
          <w:docGrid w:type="lines" w:linePitch="360" w:charSpace="0"/>
        </w:sectPr>
      </w:pPr>
      <w:r>
        <w:rPr>
          <w:rFonts w:hint="eastAsia" w:ascii="黑体" w:eastAsia="黑体"/>
          <w:color w:val="auto"/>
          <w:szCs w:val="21"/>
          <w:highlight w:val="none"/>
        </w:rPr>
        <w:drawing>
          <wp:inline distT="0" distB="0" distL="114300" distR="114300">
            <wp:extent cx="3716020" cy="633730"/>
            <wp:effectExtent l="0" t="0" r="17780" b="13970"/>
            <wp:docPr id="14" name="图片 14" descr="QQ截图2020060316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QQ截图20200603163515"/>
                    <pic:cNvPicPr>
                      <a:picLocks noChangeAspect="1"/>
                    </pic:cNvPicPr>
                  </pic:nvPicPr>
                  <pic:blipFill>
                    <a:blip r:embed="rId14" cstate="print"/>
                    <a:srcRect l="6033" t="52170" r="5754" b="9299"/>
                    <a:stretch>
                      <a:fillRect/>
                    </a:stretch>
                  </pic:blipFill>
                  <pic:spPr>
                    <a:xfrm>
                      <a:off x="0" y="0"/>
                      <a:ext cx="3716020" cy="633730"/>
                    </a:xfrm>
                    <a:prstGeom prst="rect">
                      <a:avLst/>
                    </a:prstGeom>
                  </pic:spPr>
                </pic:pic>
              </a:graphicData>
            </a:graphic>
          </wp:inline>
        </w:drawing>
      </w:r>
    </w:p>
    <w:p>
      <w:pPr>
        <w:pStyle w:val="17"/>
        <w:ind w:left="0" w:leftChars="0"/>
        <w:rPr>
          <w:color w:val="auto"/>
          <w:sz w:val="40"/>
          <w:szCs w:val="40"/>
          <w:highlight w:val="none"/>
        </w:rPr>
      </w:pPr>
      <w:r>
        <w:rPr>
          <w:rFonts w:hint="eastAsia"/>
          <w:color w:val="auto"/>
          <w:sz w:val="40"/>
          <w:szCs w:val="40"/>
          <w:highlight w:val="none"/>
        </w:rPr>
        <w:t>目录</w:t>
      </w:r>
    </w:p>
    <w:p>
      <w:pPr>
        <w:pStyle w:val="9"/>
        <w:tabs>
          <w:tab w:val="right" w:leader="dot" w:pos="8306"/>
          <w:tab w:val="clear" w:pos="8296"/>
        </w:tabs>
        <w:spacing w:after="0" w:line="360" w:lineRule="auto"/>
        <w:ind w:left="0" w:leftChars="0"/>
        <w:rPr>
          <w:rFonts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"1-4" \h \z \u </w:instrText>
      </w:r>
      <w:r>
        <w:rPr>
          <w:rFonts w:hint="eastAsia" w:ascii="宋体" w:hAnsi="宋体" w:eastAsia="宋体" w:cs="宋体"/>
          <w:color w:val="auto"/>
          <w:highlight w:val="none"/>
        </w:rPr>
        <w:fldChar w:fldCharType="separate"/>
      </w:r>
      <w:r>
        <w:rPr>
          <w:color w:val="auto"/>
          <w:highlight w:val="none"/>
        </w:rPr>
        <w:fldChar w:fldCharType="begin"/>
      </w:r>
      <w:r>
        <w:rPr>
          <w:color w:val="auto"/>
          <w:highlight w:val="none"/>
        </w:rPr>
        <w:instrText xml:space="preserve"> HYPERLINK \l "_Toc1420" </w:instrText>
      </w:r>
      <w:r>
        <w:rPr>
          <w:color w:val="auto"/>
          <w:highlight w:val="none"/>
        </w:rPr>
        <w:fldChar w:fldCharType="separate"/>
      </w:r>
      <w:r>
        <w:rPr>
          <w:rFonts w:hint="eastAsia" w:ascii="宋体" w:hAnsi="宋体" w:eastAsia="宋体" w:cs="宋体"/>
          <w:color w:val="auto"/>
          <w:highlight w:val="none"/>
        </w:rPr>
        <w:t>投标邀请书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_Toc1420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"_Toc14146" </w:instrText>
      </w:r>
      <w:r>
        <w:rPr>
          <w:color w:val="auto"/>
          <w:highlight w:val="none"/>
        </w:rPr>
        <w:fldChar w:fldCharType="separate"/>
      </w:r>
      <w:r>
        <w:rPr>
          <w:rFonts w:hint="eastAsia" w:cs="宋体"/>
          <w:color w:val="auto"/>
          <w:sz w:val="21"/>
          <w:szCs w:val="21"/>
          <w:highlight w:val="none"/>
        </w:rPr>
        <w:t>第二部分 相关资料表格</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_Toc14146 </w:instrText>
      </w:r>
      <w:r>
        <w:rPr>
          <w:rFonts w:hint="eastAsia" w:cs="宋体"/>
          <w:color w:val="auto"/>
          <w:sz w:val="21"/>
          <w:szCs w:val="21"/>
          <w:highlight w:val="none"/>
        </w:rPr>
        <w:fldChar w:fldCharType="separate"/>
      </w:r>
      <w:r>
        <w:rPr>
          <w:rFonts w:hint="eastAsia" w:cs="宋体"/>
          <w:color w:val="auto"/>
          <w:sz w:val="21"/>
          <w:szCs w:val="21"/>
          <w:highlight w:val="none"/>
        </w:rPr>
        <w:t>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9"/>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"_Toc20683" </w:instrText>
      </w:r>
      <w:r>
        <w:rPr>
          <w:color w:val="auto"/>
          <w:highlight w:val="none"/>
        </w:rPr>
        <w:fldChar w:fldCharType="separate"/>
      </w:r>
      <w:r>
        <w:rPr>
          <w:rFonts w:hint="eastAsia" w:ascii="宋体" w:hAnsi="宋体" w:eastAsia="宋体" w:cs="宋体"/>
          <w:color w:val="auto"/>
          <w:highlight w:val="none"/>
        </w:rPr>
        <w:t>附表一：投标资料表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_Toc20683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9"/>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"_Toc9572" </w:instrText>
      </w:r>
      <w:r>
        <w:rPr>
          <w:color w:val="auto"/>
          <w:highlight w:val="none"/>
        </w:rPr>
        <w:fldChar w:fldCharType="separate"/>
      </w:r>
      <w:r>
        <w:rPr>
          <w:rFonts w:hint="eastAsia" w:ascii="宋体" w:hAnsi="宋体" w:eastAsia="宋体" w:cs="宋体"/>
          <w:color w:val="auto"/>
          <w:highlight w:val="none"/>
        </w:rPr>
        <w:t>附表二：商务技术评分及价格权重表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_Toc9572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"_Toc31854" </w:instrText>
      </w:r>
      <w:r>
        <w:rPr>
          <w:color w:val="auto"/>
          <w:highlight w:val="none"/>
        </w:rPr>
        <w:fldChar w:fldCharType="separate"/>
      </w:r>
      <w:r>
        <w:rPr>
          <w:rFonts w:hint="eastAsia" w:cs="宋体"/>
          <w:color w:val="auto"/>
          <w:sz w:val="21"/>
          <w:szCs w:val="21"/>
          <w:highlight w:val="none"/>
        </w:rPr>
        <w:t>第三部分 用户需求书</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_Toc31854 </w:instrText>
      </w:r>
      <w:r>
        <w:rPr>
          <w:rFonts w:hint="eastAsia" w:cs="宋体"/>
          <w:color w:val="auto"/>
          <w:sz w:val="21"/>
          <w:szCs w:val="21"/>
          <w:highlight w:val="none"/>
        </w:rPr>
        <w:fldChar w:fldCharType="separate"/>
      </w:r>
      <w:r>
        <w:rPr>
          <w:rFonts w:hint="eastAsia" w:cs="宋体"/>
          <w:color w:val="auto"/>
          <w:sz w:val="21"/>
          <w:szCs w:val="21"/>
          <w:highlight w:val="none"/>
        </w:rPr>
        <w:t>13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9"/>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"_Toc3968" </w:instrText>
      </w:r>
      <w:r>
        <w:rPr>
          <w:color w:val="auto"/>
          <w:highlight w:val="none"/>
        </w:rPr>
        <w:fldChar w:fldCharType="separate"/>
      </w:r>
      <w:r>
        <w:rPr>
          <w:rFonts w:hint="eastAsia" w:ascii="宋体" w:hAnsi="宋体" w:eastAsia="宋体" w:cs="宋体"/>
          <w:color w:val="auto"/>
          <w:highlight w:val="none"/>
        </w:rPr>
        <w:t>用户需求明细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_Toc3968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"_Toc2479" </w:instrText>
      </w:r>
      <w:r>
        <w:rPr>
          <w:color w:val="auto"/>
          <w:highlight w:val="none"/>
        </w:rPr>
        <w:fldChar w:fldCharType="separate"/>
      </w:r>
      <w:r>
        <w:rPr>
          <w:rFonts w:hint="eastAsia" w:cs="宋体"/>
          <w:color w:val="auto"/>
          <w:sz w:val="21"/>
          <w:szCs w:val="21"/>
          <w:highlight w:val="none"/>
        </w:rPr>
        <w:t>第四部分 投标人须知</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_Toc2479 </w:instrText>
      </w:r>
      <w:r>
        <w:rPr>
          <w:rFonts w:hint="eastAsia" w:cs="宋体"/>
          <w:color w:val="auto"/>
          <w:sz w:val="21"/>
          <w:szCs w:val="21"/>
          <w:highlight w:val="none"/>
        </w:rPr>
        <w:fldChar w:fldCharType="separate"/>
      </w:r>
      <w:r>
        <w:rPr>
          <w:rFonts w:hint="eastAsia" w:cs="宋体"/>
          <w:color w:val="auto"/>
          <w:sz w:val="21"/>
          <w:szCs w:val="21"/>
          <w:highlight w:val="none"/>
        </w:rPr>
        <w:t>30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9"/>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"_Toc19746" </w:instrText>
      </w:r>
      <w:r>
        <w:rPr>
          <w:color w:val="auto"/>
          <w:highlight w:val="none"/>
        </w:rPr>
        <w:fldChar w:fldCharType="separate"/>
      </w:r>
      <w:r>
        <w:rPr>
          <w:rFonts w:hint="eastAsia" w:ascii="宋体" w:hAnsi="宋体" w:eastAsia="宋体" w:cs="宋体"/>
          <w:color w:val="auto"/>
          <w:highlight w:val="none"/>
        </w:rPr>
        <w:t>一、 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_Toc19746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"_Toc18488" </w:instrText>
      </w:r>
      <w:r>
        <w:rPr>
          <w:color w:val="auto"/>
          <w:highlight w:val="none"/>
        </w:rPr>
        <w:fldChar w:fldCharType="separate"/>
      </w:r>
      <w:r>
        <w:rPr>
          <w:rFonts w:hint="eastAsia" w:ascii="宋体" w:hAnsi="宋体" w:eastAsia="宋体" w:cs="宋体"/>
          <w:color w:val="auto"/>
          <w:sz w:val="21"/>
          <w:szCs w:val="21"/>
          <w:highlight w:val="none"/>
        </w:rPr>
        <w:t>1.适用范围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_Toc18488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"_Toc13400" </w:instrText>
      </w:r>
      <w:r>
        <w:rPr>
          <w:color w:val="auto"/>
          <w:highlight w:val="none"/>
        </w:rPr>
        <w:fldChar w:fldCharType="separate"/>
      </w:r>
      <w:r>
        <w:rPr>
          <w:rFonts w:hint="eastAsia" w:ascii="宋体" w:hAnsi="宋体" w:eastAsia="宋体" w:cs="宋体"/>
          <w:color w:val="auto"/>
          <w:sz w:val="21"/>
          <w:szCs w:val="21"/>
          <w:highlight w:val="none"/>
        </w:rPr>
        <w:t>2.定义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_Toc13400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"_Toc3780" </w:instrText>
      </w:r>
      <w:r>
        <w:rPr>
          <w:color w:val="auto"/>
          <w:highlight w:val="none"/>
        </w:rPr>
        <w:fldChar w:fldCharType="separate"/>
      </w:r>
      <w:r>
        <w:rPr>
          <w:rFonts w:hint="eastAsia" w:ascii="宋体" w:hAnsi="宋体" w:eastAsia="宋体" w:cs="宋体"/>
          <w:color w:val="auto"/>
          <w:sz w:val="21"/>
          <w:szCs w:val="21"/>
          <w:highlight w:val="none"/>
        </w:rPr>
        <w:t>3.货物和服务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_Toc3780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"_Toc15945" </w:instrText>
      </w:r>
      <w:r>
        <w:rPr>
          <w:color w:val="auto"/>
          <w:highlight w:val="none"/>
        </w:rPr>
        <w:fldChar w:fldCharType="separate"/>
      </w:r>
      <w:r>
        <w:rPr>
          <w:rFonts w:hint="eastAsia" w:ascii="宋体" w:hAnsi="宋体" w:eastAsia="宋体" w:cs="宋体"/>
          <w:color w:val="auto"/>
          <w:sz w:val="21"/>
          <w:szCs w:val="21"/>
          <w:highlight w:val="none"/>
        </w:rPr>
        <w:t>4.投标费用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_Toc15945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"_Toc25040" </w:instrText>
      </w:r>
      <w:r>
        <w:rPr>
          <w:color w:val="auto"/>
          <w:highlight w:val="none"/>
        </w:rPr>
        <w:fldChar w:fldCharType="separate"/>
      </w:r>
      <w:r>
        <w:rPr>
          <w:rFonts w:hint="eastAsia" w:ascii="宋体" w:hAnsi="宋体" w:eastAsia="宋体" w:cs="宋体"/>
          <w:color w:val="auto"/>
          <w:sz w:val="21"/>
          <w:szCs w:val="21"/>
          <w:highlight w:val="none"/>
        </w:rPr>
        <w:t>5.知识产权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_Toc25040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"_Toc21930" </w:instrText>
      </w:r>
      <w:r>
        <w:rPr>
          <w:color w:val="auto"/>
          <w:highlight w:val="none"/>
        </w:rPr>
        <w:fldChar w:fldCharType="separate"/>
      </w:r>
      <w:r>
        <w:rPr>
          <w:rFonts w:hint="eastAsia" w:ascii="宋体" w:hAnsi="宋体" w:eastAsia="宋体" w:cs="宋体"/>
          <w:color w:val="auto"/>
          <w:sz w:val="21"/>
          <w:szCs w:val="21"/>
          <w:highlight w:val="none"/>
        </w:rPr>
        <w:t>6.关于联合体投标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_Toc21930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"_Toc16571" </w:instrText>
      </w:r>
      <w:r>
        <w:rPr>
          <w:color w:val="auto"/>
          <w:highlight w:val="none"/>
        </w:rPr>
        <w:fldChar w:fldCharType="separate"/>
      </w:r>
      <w:r>
        <w:rPr>
          <w:rFonts w:hint="eastAsia" w:ascii="宋体" w:hAnsi="宋体" w:eastAsia="宋体" w:cs="宋体"/>
          <w:color w:val="auto"/>
          <w:sz w:val="21"/>
          <w:szCs w:val="21"/>
          <w:highlight w:val="none"/>
        </w:rPr>
        <w:t>7.关于分支机构投标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_Toc16571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"_Toc17879" </w:instrText>
      </w:r>
      <w:r>
        <w:rPr>
          <w:color w:val="auto"/>
          <w:highlight w:val="none"/>
        </w:rPr>
        <w:fldChar w:fldCharType="separate"/>
      </w:r>
      <w:r>
        <w:rPr>
          <w:rFonts w:hint="eastAsia" w:ascii="宋体" w:hAnsi="宋体" w:eastAsia="宋体" w:cs="宋体"/>
          <w:color w:val="auto"/>
          <w:highlight w:val="none"/>
        </w:rPr>
        <w:t>二、 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_Toc17879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"_Toc21771" </w:instrText>
      </w:r>
      <w:r>
        <w:rPr>
          <w:color w:val="auto"/>
          <w:highlight w:val="none"/>
        </w:rPr>
        <w:fldChar w:fldCharType="separate"/>
      </w:r>
      <w:r>
        <w:rPr>
          <w:rFonts w:hint="eastAsia" w:ascii="宋体" w:hAnsi="宋体" w:eastAsia="宋体" w:cs="宋体"/>
          <w:color w:val="auto"/>
          <w:sz w:val="21"/>
          <w:szCs w:val="21"/>
          <w:highlight w:val="none"/>
        </w:rPr>
        <w:t>8.招标文件的组成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_Toc21771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"_Toc14217" </w:instrText>
      </w:r>
      <w:r>
        <w:rPr>
          <w:color w:val="auto"/>
          <w:highlight w:val="none"/>
        </w:rPr>
        <w:fldChar w:fldCharType="separate"/>
      </w:r>
      <w:r>
        <w:rPr>
          <w:rFonts w:hint="eastAsia" w:ascii="宋体" w:hAnsi="宋体" w:eastAsia="宋体" w:cs="宋体"/>
          <w:color w:val="auto"/>
          <w:sz w:val="21"/>
          <w:szCs w:val="21"/>
          <w:highlight w:val="none"/>
        </w:rPr>
        <w:t>9.招标文件的澄清或修改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_Toc14217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"_Toc23726" </w:instrText>
      </w:r>
      <w:r>
        <w:rPr>
          <w:color w:val="auto"/>
          <w:highlight w:val="none"/>
        </w:rPr>
        <w:fldChar w:fldCharType="separate"/>
      </w:r>
      <w:r>
        <w:rPr>
          <w:rFonts w:hint="eastAsia" w:ascii="宋体" w:hAnsi="宋体" w:eastAsia="宋体" w:cs="宋体"/>
          <w:color w:val="auto"/>
          <w:highlight w:val="none"/>
        </w:rPr>
        <w:t>三、 投标文件的编制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_Toc23726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"_Toc20623" </w:instrText>
      </w:r>
      <w:r>
        <w:rPr>
          <w:color w:val="auto"/>
          <w:highlight w:val="none"/>
        </w:rPr>
        <w:fldChar w:fldCharType="separate"/>
      </w:r>
      <w:r>
        <w:rPr>
          <w:rFonts w:hint="eastAsia" w:ascii="宋体" w:hAnsi="宋体" w:eastAsia="宋体" w:cs="宋体"/>
          <w:color w:val="auto"/>
          <w:sz w:val="21"/>
          <w:szCs w:val="21"/>
          <w:highlight w:val="none"/>
        </w:rPr>
        <w:t>10.投标文件的语言及度量衡单位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_Toc20623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"_Toc12145" </w:instrText>
      </w:r>
      <w:r>
        <w:rPr>
          <w:color w:val="auto"/>
          <w:highlight w:val="none"/>
        </w:rPr>
        <w:fldChar w:fldCharType="separate"/>
      </w:r>
      <w:r>
        <w:rPr>
          <w:rFonts w:hint="eastAsia" w:ascii="宋体" w:hAnsi="宋体" w:eastAsia="宋体" w:cs="宋体"/>
          <w:color w:val="auto"/>
          <w:sz w:val="21"/>
          <w:szCs w:val="21"/>
          <w:highlight w:val="none"/>
        </w:rPr>
        <w:t>11.投标文件的组成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_Toc12145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"_Toc30189" </w:instrText>
      </w:r>
      <w:r>
        <w:rPr>
          <w:color w:val="auto"/>
          <w:highlight w:val="none"/>
        </w:rPr>
        <w:fldChar w:fldCharType="separate"/>
      </w:r>
      <w:r>
        <w:rPr>
          <w:rFonts w:hint="eastAsia" w:ascii="宋体" w:hAnsi="宋体" w:eastAsia="宋体" w:cs="宋体"/>
          <w:color w:val="auto"/>
          <w:sz w:val="21"/>
          <w:szCs w:val="21"/>
          <w:highlight w:val="none"/>
        </w:rPr>
        <w:t>12.投标文件编制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_Toc30189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"_Toc259" </w:instrText>
      </w:r>
      <w:r>
        <w:rPr>
          <w:color w:val="auto"/>
          <w:highlight w:val="none"/>
        </w:rPr>
        <w:fldChar w:fldCharType="separate"/>
      </w:r>
      <w:r>
        <w:rPr>
          <w:rFonts w:hint="eastAsia" w:ascii="宋体" w:hAnsi="宋体" w:eastAsia="宋体" w:cs="宋体"/>
          <w:color w:val="auto"/>
          <w:sz w:val="21"/>
          <w:szCs w:val="21"/>
          <w:highlight w:val="none"/>
        </w:rPr>
        <w:t>13.投标报价说明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"_Toc27724" </w:instrText>
      </w:r>
      <w:r>
        <w:rPr>
          <w:color w:val="auto"/>
          <w:highlight w:val="none"/>
        </w:rPr>
        <w:fldChar w:fldCharType="separate"/>
      </w:r>
      <w:r>
        <w:rPr>
          <w:rFonts w:hint="eastAsia" w:ascii="宋体" w:hAnsi="宋体" w:eastAsia="宋体" w:cs="宋体"/>
          <w:color w:val="auto"/>
          <w:sz w:val="21"/>
          <w:szCs w:val="21"/>
          <w:highlight w:val="none"/>
        </w:rPr>
        <w:t>14.投标人所提供的服务或货物的证明文件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_Toc27724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"_Toc19520" </w:instrText>
      </w:r>
      <w:r>
        <w:rPr>
          <w:color w:val="auto"/>
          <w:highlight w:val="none"/>
        </w:rPr>
        <w:fldChar w:fldCharType="separate"/>
      </w:r>
      <w:r>
        <w:rPr>
          <w:rFonts w:hint="eastAsia" w:ascii="宋体" w:hAnsi="宋体" w:eastAsia="宋体" w:cs="宋体"/>
          <w:color w:val="auto"/>
          <w:sz w:val="21"/>
          <w:szCs w:val="21"/>
          <w:highlight w:val="none"/>
        </w:rPr>
        <w:t>15.投标有效期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_Toc19520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"_Toc12456" </w:instrText>
      </w:r>
      <w:r>
        <w:rPr>
          <w:color w:val="auto"/>
          <w:highlight w:val="none"/>
        </w:rPr>
        <w:fldChar w:fldCharType="separate"/>
      </w:r>
      <w:r>
        <w:rPr>
          <w:rFonts w:hint="eastAsia" w:ascii="宋体" w:hAnsi="宋体" w:eastAsia="宋体" w:cs="宋体"/>
          <w:color w:val="auto"/>
          <w:sz w:val="21"/>
          <w:szCs w:val="21"/>
          <w:highlight w:val="none"/>
        </w:rPr>
        <w:t>16.投标保证金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_Toc12456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"_Toc31124" </w:instrText>
      </w:r>
      <w:r>
        <w:rPr>
          <w:color w:val="auto"/>
          <w:highlight w:val="none"/>
        </w:rPr>
        <w:fldChar w:fldCharType="separate"/>
      </w:r>
      <w:r>
        <w:rPr>
          <w:rFonts w:hint="eastAsia" w:ascii="宋体" w:hAnsi="宋体" w:eastAsia="宋体" w:cs="宋体"/>
          <w:color w:val="auto"/>
          <w:highlight w:val="none"/>
        </w:rPr>
        <w:t>四、 投标文件的递交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_Toc31124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"_Toc29590" </w:instrText>
      </w:r>
      <w:r>
        <w:rPr>
          <w:color w:val="auto"/>
          <w:highlight w:val="none"/>
        </w:rPr>
        <w:fldChar w:fldCharType="separate"/>
      </w:r>
      <w:r>
        <w:rPr>
          <w:rFonts w:hint="eastAsia" w:ascii="宋体" w:hAnsi="宋体" w:eastAsia="宋体" w:cs="宋体"/>
          <w:color w:val="auto"/>
          <w:sz w:val="21"/>
          <w:szCs w:val="21"/>
          <w:highlight w:val="none"/>
        </w:rPr>
        <w:t>17.投标文件的装订，签署，密封和标记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_Toc29590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"_Toc8628" </w:instrText>
      </w:r>
      <w:r>
        <w:rPr>
          <w:color w:val="auto"/>
          <w:highlight w:val="none"/>
        </w:rPr>
        <w:fldChar w:fldCharType="separate"/>
      </w:r>
      <w:r>
        <w:rPr>
          <w:rFonts w:hint="eastAsia" w:ascii="宋体" w:hAnsi="宋体" w:eastAsia="宋体" w:cs="宋体"/>
          <w:color w:val="auto"/>
          <w:sz w:val="21"/>
          <w:szCs w:val="21"/>
          <w:highlight w:val="none"/>
        </w:rPr>
        <w:t>18.迟交的投标文件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_Toc8628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"_Toc13212" </w:instrText>
      </w:r>
      <w:r>
        <w:rPr>
          <w:color w:val="auto"/>
          <w:highlight w:val="none"/>
        </w:rPr>
        <w:fldChar w:fldCharType="separate"/>
      </w:r>
      <w:r>
        <w:rPr>
          <w:rFonts w:hint="eastAsia" w:ascii="宋体" w:hAnsi="宋体" w:eastAsia="宋体" w:cs="宋体"/>
          <w:color w:val="auto"/>
          <w:sz w:val="21"/>
          <w:szCs w:val="21"/>
          <w:highlight w:val="none"/>
        </w:rPr>
        <w:t>19.投标样品（如需提交）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_Toc13212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"_Toc5900" </w:instrText>
      </w:r>
      <w:r>
        <w:rPr>
          <w:color w:val="auto"/>
          <w:highlight w:val="none"/>
        </w:rPr>
        <w:fldChar w:fldCharType="separate"/>
      </w:r>
      <w:r>
        <w:rPr>
          <w:rFonts w:hint="eastAsia" w:ascii="宋体" w:hAnsi="宋体" w:eastAsia="宋体" w:cs="宋体"/>
          <w:color w:val="auto"/>
          <w:sz w:val="21"/>
          <w:szCs w:val="21"/>
          <w:highlight w:val="none"/>
        </w:rPr>
        <w:t>20.投标截止期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_Toc5900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"_Toc6003" </w:instrText>
      </w:r>
      <w:r>
        <w:rPr>
          <w:color w:val="auto"/>
          <w:highlight w:val="none"/>
        </w:rPr>
        <w:fldChar w:fldCharType="separate"/>
      </w:r>
      <w:r>
        <w:rPr>
          <w:rFonts w:hint="eastAsia" w:ascii="宋体" w:hAnsi="宋体" w:eastAsia="宋体" w:cs="宋体"/>
          <w:color w:val="auto"/>
          <w:sz w:val="21"/>
          <w:szCs w:val="21"/>
          <w:highlight w:val="none"/>
        </w:rPr>
        <w:t>21.投标文件的补充、修改与撤回</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_Toc6003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"_Toc29574" </w:instrText>
      </w:r>
      <w:r>
        <w:rPr>
          <w:color w:val="auto"/>
          <w:highlight w:val="none"/>
        </w:rPr>
        <w:fldChar w:fldCharType="separate"/>
      </w:r>
      <w:r>
        <w:rPr>
          <w:rFonts w:hint="eastAsia" w:ascii="宋体" w:hAnsi="宋体" w:eastAsia="宋体" w:cs="宋体"/>
          <w:color w:val="auto"/>
          <w:highlight w:val="none"/>
        </w:rPr>
        <w:t>五、 开标与评标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_Toc29574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"_Toc28458" </w:instrText>
      </w:r>
      <w:r>
        <w:rPr>
          <w:color w:val="auto"/>
          <w:highlight w:val="none"/>
        </w:rPr>
        <w:fldChar w:fldCharType="separate"/>
      </w:r>
      <w:r>
        <w:rPr>
          <w:rFonts w:hint="eastAsia" w:ascii="宋体" w:hAnsi="宋体" w:eastAsia="宋体" w:cs="宋体"/>
          <w:color w:val="auto"/>
          <w:sz w:val="21"/>
          <w:szCs w:val="21"/>
          <w:highlight w:val="none"/>
        </w:rPr>
        <w:t>22.开标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_Toc28458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"_Toc5524" </w:instrText>
      </w:r>
      <w:r>
        <w:rPr>
          <w:color w:val="auto"/>
          <w:highlight w:val="none"/>
        </w:rPr>
        <w:fldChar w:fldCharType="separate"/>
      </w:r>
      <w:r>
        <w:rPr>
          <w:rFonts w:hint="eastAsia" w:ascii="宋体" w:hAnsi="宋体" w:eastAsia="宋体" w:cs="宋体"/>
          <w:color w:val="auto"/>
          <w:sz w:val="21"/>
          <w:szCs w:val="21"/>
          <w:highlight w:val="none"/>
        </w:rPr>
        <w:t>23.评标委员会及评标方法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_Toc5524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"_Toc15231" </w:instrText>
      </w:r>
      <w:r>
        <w:rPr>
          <w:color w:val="auto"/>
          <w:highlight w:val="none"/>
        </w:rPr>
        <w:fldChar w:fldCharType="separate"/>
      </w:r>
      <w:r>
        <w:rPr>
          <w:rFonts w:hint="eastAsia" w:ascii="宋体" w:hAnsi="宋体" w:eastAsia="宋体" w:cs="宋体"/>
          <w:color w:val="auto"/>
          <w:sz w:val="21"/>
          <w:szCs w:val="21"/>
          <w:highlight w:val="none"/>
        </w:rPr>
        <w:t>24.评审原则及评标过程的保密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_Toc15231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"_Toc3762" </w:instrText>
      </w:r>
      <w:r>
        <w:rPr>
          <w:color w:val="auto"/>
          <w:highlight w:val="none"/>
        </w:rPr>
        <w:fldChar w:fldCharType="separate"/>
      </w:r>
      <w:r>
        <w:rPr>
          <w:rFonts w:hint="eastAsia" w:ascii="宋体" w:hAnsi="宋体" w:eastAsia="宋体" w:cs="宋体"/>
          <w:color w:val="auto"/>
          <w:sz w:val="21"/>
          <w:szCs w:val="21"/>
          <w:highlight w:val="none"/>
        </w:rPr>
        <w:t>25.投标文件的初审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_Toc3762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"_Toc21742" </w:instrText>
      </w:r>
      <w:r>
        <w:rPr>
          <w:color w:val="auto"/>
          <w:highlight w:val="none"/>
        </w:rPr>
        <w:fldChar w:fldCharType="separate"/>
      </w:r>
      <w:r>
        <w:rPr>
          <w:rFonts w:hint="eastAsia" w:ascii="宋体" w:hAnsi="宋体" w:eastAsia="宋体" w:cs="宋体"/>
          <w:color w:val="auto"/>
          <w:sz w:val="21"/>
          <w:szCs w:val="21"/>
          <w:highlight w:val="none"/>
        </w:rPr>
        <w:t>26.商务、技术、价格评审（具体评审项目详见投标资料表）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_Toc21742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"_Toc22192" </w:instrText>
      </w:r>
      <w:r>
        <w:rPr>
          <w:color w:val="auto"/>
          <w:highlight w:val="none"/>
        </w:rPr>
        <w:fldChar w:fldCharType="separate"/>
      </w:r>
      <w:r>
        <w:rPr>
          <w:rFonts w:hint="eastAsia" w:ascii="宋体" w:hAnsi="宋体" w:eastAsia="宋体" w:cs="宋体"/>
          <w:color w:val="auto"/>
          <w:sz w:val="21"/>
          <w:szCs w:val="21"/>
          <w:highlight w:val="none"/>
        </w:rPr>
        <w:t>27.优惠政策</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_Toc22192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"_Toc22591" </w:instrText>
      </w:r>
      <w:r>
        <w:rPr>
          <w:color w:val="auto"/>
          <w:highlight w:val="none"/>
        </w:rPr>
        <w:fldChar w:fldCharType="separate"/>
      </w:r>
      <w:r>
        <w:rPr>
          <w:rFonts w:hint="eastAsia" w:ascii="宋体" w:hAnsi="宋体" w:eastAsia="宋体" w:cs="宋体"/>
          <w:color w:val="auto"/>
          <w:sz w:val="21"/>
          <w:szCs w:val="21"/>
          <w:highlight w:val="none"/>
        </w:rPr>
        <w:t>28.纪律和保密事项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_Toc22591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"_Toc29310" </w:instrText>
      </w:r>
      <w:r>
        <w:rPr>
          <w:color w:val="auto"/>
          <w:highlight w:val="none"/>
        </w:rPr>
        <w:fldChar w:fldCharType="separate"/>
      </w:r>
      <w:r>
        <w:rPr>
          <w:rFonts w:hint="eastAsia" w:ascii="宋体" w:hAnsi="宋体" w:eastAsia="宋体" w:cs="宋体"/>
          <w:color w:val="auto"/>
          <w:highlight w:val="none"/>
        </w:rPr>
        <w:t>六、 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_Toc29310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"_Toc27817" </w:instrText>
      </w:r>
      <w:r>
        <w:rPr>
          <w:color w:val="auto"/>
          <w:highlight w:val="none"/>
        </w:rPr>
        <w:fldChar w:fldCharType="separate"/>
      </w:r>
      <w:r>
        <w:rPr>
          <w:rFonts w:hint="eastAsia" w:ascii="宋体" w:hAnsi="宋体" w:eastAsia="宋体" w:cs="宋体"/>
          <w:color w:val="auto"/>
          <w:sz w:val="21"/>
          <w:szCs w:val="21"/>
          <w:highlight w:val="none"/>
        </w:rPr>
        <w:t>29.合同授予标准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_Toc27817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"_Toc29283" </w:instrText>
      </w:r>
      <w:r>
        <w:rPr>
          <w:color w:val="auto"/>
          <w:highlight w:val="none"/>
        </w:rPr>
        <w:fldChar w:fldCharType="separate"/>
      </w:r>
      <w:r>
        <w:rPr>
          <w:rFonts w:hint="eastAsia" w:ascii="宋体" w:hAnsi="宋体" w:eastAsia="宋体" w:cs="宋体"/>
          <w:color w:val="auto"/>
          <w:sz w:val="21"/>
          <w:szCs w:val="21"/>
          <w:highlight w:val="none"/>
        </w:rPr>
        <w:t>30.发布采购结果</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_Toc29283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"_Toc22451" </w:instrText>
      </w:r>
      <w:r>
        <w:rPr>
          <w:color w:val="auto"/>
          <w:highlight w:val="none"/>
        </w:rPr>
        <w:fldChar w:fldCharType="separate"/>
      </w:r>
      <w:r>
        <w:rPr>
          <w:rFonts w:hint="eastAsia" w:ascii="宋体" w:hAnsi="宋体" w:eastAsia="宋体" w:cs="宋体"/>
          <w:color w:val="auto"/>
          <w:sz w:val="21"/>
          <w:szCs w:val="21"/>
          <w:highlight w:val="none"/>
        </w:rPr>
        <w:t>31.合同的签订与履行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_Toc22451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"_Toc2744" </w:instrText>
      </w:r>
      <w:r>
        <w:rPr>
          <w:color w:val="auto"/>
          <w:highlight w:val="none"/>
        </w:rPr>
        <w:fldChar w:fldCharType="separate"/>
      </w:r>
      <w:r>
        <w:rPr>
          <w:rFonts w:hint="eastAsia" w:ascii="宋体" w:hAnsi="宋体" w:eastAsia="宋体" w:cs="宋体"/>
          <w:color w:val="auto"/>
          <w:sz w:val="21"/>
          <w:szCs w:val="21"/>
          <w:highlight w:val="none"/>
        </w:rPr>
        <w:t>32.履约保证金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_Toc2744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"_Toc13694" </w:instrText>
      </w:r>
      <w:r>
        <w:rPr>
          <w:color w:val="auto"/>
          <w:highlight w:val="none"/>
        </w:rPr>
        <w:fldChar w:fldCharType="separate"/>
      </w:r>
      <w:r>
        <w:rPr>
          <w:rFonts w:hint="eastAsia" w:ascii="宋体" w:hAnsi="宋体" w:eastAsia="宋体" w:cs="宋体"/>
          <w:color w:val="auto"/>
          <w:highlight w:val="none"/>
        </w:rPr>
        <w:t>七、询问或质疑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_Toc13694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"_Toc25498" </w:instrText>
      </w:r>
      <w:r>
        <w:rPr>
          <w:color w:val="auto"/>
          <w:highlight w:val="none"/>
        </w:rPr>
        <w:fldChar w:fldCharType="separate"/>
      </w:r>
      <w:r>
        <w:rPr>
          <w:rFonts w:hint="eastAsia" w:ascii="宋体" w:hAnsi="宋体" w:eastAsia="宋体" w:cs="宋体"/>
          <w:color w:val="auto"/>
          <w:sz w:val="21"/>
          <w:szCs w:val="21"/>
          <w:highlight w:val="none"/>
        </w:rPr>
        <w:t>33.询问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_Toc25498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"_Toc8234" </w:instrText>
      </w:r>
      <w:r>
        <w:rPr>
          <w:color w:val="auto"/>
          <w:highlight w:val="none"/>
        </w:rPr>
        <w:fldChar w:fldCharType="separate"/>
      </w:r>
      <w:r>
        <w:rPr>
          <w:rFonts w:hint="eastAsia" w:ascii="宋体" w:hAnsi="宋体" w:eastAsia="宋体" w:cs="宋体"/>
          <w:color w:val="auto"/>
          <w:sz w:val="21"/>
          <w:szCs w:val="21"/>
          <w:highlight w:val="none"/>
        </w:rPr>
        <w:t>34.质疑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_Toc8234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"_Toc24383" </w:instrText>
      </w:r>
      <w:r>
        <w:rPr>
          <w:color w:val="auto"/>
          <w:highlight w:val="none"/>
        </w:rPr>
        <w:fldChar w:fldCharType="separate"/>
      </w:r>
      <w:r>
        <w:rPr>
          <w:rFonts w:hint="eastAsia" w:ascii="宋体" w:hAnsi="宋体" w:eastAsia="宋体" w:cs="宋体"/>
          <w:color w:val="auto"/>
          <w:highlight w:val="none"/>
        </w:rPr>
        <w:t>八、其他</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_Toc24383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"_Toc10082" </w:instrText>
      </w:r>
      <w:r>
        <w:rPr>
          <w:color w:val="auto"/>
          <w:highlight w:val="none"/>
        </w:rPr>
        <w:fldChar w:fldCharType="separate"/>
      </w:r>
      <w:r>
        <w:rPr>
          <w:rFonts w:hint="eastAsia" w:ascii="宋体" w:hAnsi="宋体" w:eastAsia="宋体" w:cs="宋体"/>
          <w:color w:val="auto"/>
          <w:sz w:val="21"/>
          <w:szCs w:val="21"/>
          <w:highlight w:val="none"/>
        </w:rPr>
        <w:t>35.招标文件的解释权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_Toc10082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"_Toc21448" </w:instrText>
      </w:r>
      <w:r>
        <w:rPr>
          <w:color w:val="auto"/>
          <w:highlight w:val="none"/>
        </w:rPr>
        <w:fldChar w:fldCharType="separate"/>
      </w:r>
      <w:r>
        <w:rPr>
          <w:rFonts w:hint="eastAsia" w:cs="宋体"/>
          <w:color w:val="auto"/>
          <w:sz w:val="21"/>
          <w:szCs w:val="21"/>
          <w:highlight w:val="none"/>
        </w:rPr>
        <w:t>第五部分 合同格式（仅供参考）</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_Toc21448 </w:instrText>
      </w:r>
      <w:r>
        <w:rPr>
          <w:rFonts w:hint="eastAsia" w:cs="宋体"/>
          <w:color w:val="auto"/>
          <w:sz w:val="21"/>
          <w:szCs w:val="21"/>
          <w:highlight w:val="none"/>
        </w:rPr>
        <w:fldChar w:fldCharType="separate"/>
      </w:r>
      <w:r>
        <w:rPr>
          <w:rFonts w:hint="eastAsia" w:cs="宋体"/>
          <w:color w:val="auto"/>
          <w:sz w:val="21"/>
          <w:szCs w:val="21"/>
          <w:highlight w:val="none"/>
        </w:rPr>
        <w:t>46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9"/>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"_Toc16730" </w:instrText>
      </w:r>
      <w:r>
        <w:rPr>
          <w:color w:val="auto"/>
          <w:highlight w:val="none"/>
        </w:rPr>
        <w:fldChar w:fldCharType="separate"/>
      </w:r>
      <w:r>
        <w:rPr>
          <w:rFonts w:hint="eastAsia" w:ascii="宋体" w:hAnsi="宋体" w:eastAsia="宋体" w:cs="宋体"/>
          <w:color w:val="auto"/>
          <w:highlight w:val="none"/>
        </w:rPr>
        <w:t>合同格式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_Toc16730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"_Toc23749" </w:instrText>
      </w:r>
      <w:r>
        <w:rPr>
          <w:color w:val="auto"/>
          <w:highlight w:val="none"/>
        </w:rPr>
        <w:fldChar w:fldCharType="separate"/>
      </w:r>
      <w:r>
        <w:rPr>
          <w:rFonts w:hint="eastAsia" w:cs="宋体"/>
          <w:color w:val="auto"/>
          <w:sz w:val="21"/>
          <w:szCs w:val="21"/>
          <w:highlight w:val="none"/>
        </w:rPr>
        <w:t>第六部分  附件－投标文件格式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_Toc23749 </w:instrText>
      </w:r>
      <w:r>
        <w:rPr>
          <w:rFonts w:hint="eastAsia" w:cs="宋体"/>
          <w:color w:val="auto"/>
          <w:sz w:val="21"/>
          <w:szCs w:val="21"/>
          <w:highlight w:val="none"/>
        </w:rPr>
        <w:fldChar w:fldCharType="separate"/>
      </w:r>
      <w:r>
        <w:rPr>
          <w:rFonts w:hint="eastAsia" w:cs="宋体"/>
          <w:color w:val="auto"/>
          <w:sz w:val="21"/>
          <w:szCs w:val="21"/>
          <w:highlight w:val="none"/>
        </w:rPr>
        <w:t>49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"_Toc26830" </w:instrText>
      </w:r>
      <w:r>
        <w:rPr>
          <w:color w:val="auto"/>
          <w:highlight w:val="none"/>
        </w:rPr>
        <w:fldChar w:fldCharType="separate"/>
      </w:r>
      <w:r>
        <w:rPr>
          <w:rFonts w:hint="eastAsia" w:ascii="宋体" w:hAnsi="宋体" w:eastAsia="宋体" w:cs="宋体"/>
          <w:color w:val="auto"/>
          <w:sz w:val="21"/>
          <w:szCs w:val="21"/>
          <w:highlight w:val="none"/>
        </w:rPr>
        <w:t>附件1.投标文件目录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_Toc26830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"_Toc18893" </w:instrText>
      </w:r>
      <w:r>
        <w:rPr>
          <w:color w:val="auto"/>
          <w:highlight w:val="none"/>
        </w:rPr>
        <w:fldChar w:fldCharType="separate"/>
      </w:r>
      <w:r>
        <w:rPr>
          <w:rFonts w:hint="eastAsia" w:ascii="宋体" w:hAnsi="宋体" w:eastAsia="宋体" w:cs="宋体"/>
          <w:color w:val="auto"/>
          <w:sz w:val="21"/>
          <w:szCs w:val="21"/>
          <w:highlight w:val="none"/>
        </w:rPr>
        <w:t>附件1-1 评分标准索引表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_Toc18893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"_Toc30640" </w:instrText>
      </w:r>
      <w:r>
        <w:rPr>
          <w:color w:val="auto"/>
          <w:highlight w:val="none"/>
        </w:rPr>
        <w:fldChar w:fldCharType="separate"/>
      </w:r>
      <w:r>
        <w:rPr>
          <w:rFonts w:hint="eastAsia" w:ascii="宋体" w:hAnsi="宋体" w:eastAsia="宋体" w:cs="宋体"/>
          <w:color w:val="auto"/>
          <w:sz w:val="21"/>
          <w:szCs w:val="21"/>
          <w:highlight w:val="none"/>
        </w:rPr>
        <w:t>附件2.投标书格式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_Toc30640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"_Toc6866" </w:instrText>
      </w:r>
      <w:r>
        <w:rPr>
          <w:color w:val="auto"/>
          <w:highlight w:val="none"/>
        </w:rPr>
        <w:fldChar w:fldCharType="separate"/>
      </w:r>
      <w:r>
        <w:rPr>
          <w:rFonts w:hint="eastAsia" w:ascii="宋体" w:hAnsi="宋体" w:eastAsia="宋体" w:cs="宋体"/>
          <w:color w:val="auto"/>
          <w:sz w:val="21"/>
          <w:szCs w:val="21"/>
          <w:highlight w:val="none"/>
        </w:rPr>
        <w:t>附件3.开标一览表格式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_Toc6866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"_Toc3254" </w:instrText>
      </w:r>
      <w:r>
        <w:rPr>
          <w:color w:val="auto"/>
          <w:highlight w:val="none"/>
        </w:rPr>
        <w:fldChar w:fldCharType="separate"/>
      </w:r>
      <w:r>
        <w:rPr>
          <w:rFonts w:hint="eastAsia" w:ascii="宋体" w:hAnsi="宋体" w:eastAsia="宋体" w:cs="宋体"/>
          <w:color w:val="auto"/>
          <w:sz w:val="21"/>
          <w:szCs w:val="21"/>
          <w:highlight w:val="none"/>
        </w:rPr>
        <w:t>附件4.投标分项报价表格式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_Toc3254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"_Toc16412" </w:instrText>
      </w:r>
      <w:r>
        <w:rPr>
          <w:color w:val="auto"/>
          <w:highlight w:val="none"/>
        </w:rPr>
        <w:fldChar w:fldCharType="separate"/>
      </w:r>
      <w:r>
        <w:rPr>
          <w:rFonts w:hint="eastAsia" w:ascii="宋体" w:hAnsi="宋体" w:eastAsia="宋体" w:cs="宋体"/>
          <w:color w:val="auto"/>
          <w:sz w:val="21"/>
          <w:szCs w:val="21"/>
          <w:highlight w:val="none"/>
        </w:rPr>
        <w:t>附件5.法定代表人证明书格式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_Toc16412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"_Toc31205" </w:instrText>
      </w:r>
      <w:r>
        <w:rPr>
          <w:color w:val="auto"/>
          <w:highlight w:val="none"/>
        </w:rPr>
        <w:fldChar w:fldCharType="separate"/>
      </w:r>
      <w:r>
        <w:rPr>
          <w:rFonts w:hint="eastAsia" w:ascii="宋体" w:hAnsi="宋体" w:eastAsia="宋体" w:cs="宋体"/>
          <w:color w:val="auto"/>
          <w:sz w:val="21"/>
          <w:szCs w:val="21"/>
          <w:highlight w:val="none"/>
        </w:rPr>
        <w:t>附件6.法定代表人授权书格式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_Toc31205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"_Toc17164" </w:instrText>
      </w:r>
      <w:r>
        <w:rPr>
          <w:color w:val="auto"/>
          <w:highlight w:val="none"/>
        </w:rPr>
        <w:fldChar w:fldCharType="separate"/>
      </w:r>
      <w:r>
        <w:rPr>
          <w:rFonts w:hint="eastAsia" w:ascii="宋体" w:hAnsi="宋体" w:eastAsia="宋体" w:cs="宋体"/>
          <w:color w:val="auto"/>
          <w:sz w:val="21"/>
          <w:szCs w:val="21"/>
          <w:highlight w:val="none"/>
        </w:rPr>
        <w:t>附件7.资格申明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_Toc17164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"_Toc27839" </w:instrText>
      </w:r>
      <w:r>
        <w:rPr>
          <w:color w:val="auto"/>
          <w:highlight w:val="none"/>
        </w:rPr>
        <w:fldChar w:fldCharType="separate"/>
      </w:r>
      <w:r>
        <w:rPr>
          <w:rFonts w:hint="eastAsia" w:ascii="宋体" w:hAnsi="宋体" w:eastAsia="宋体" w:cs="宋体"/>
          <w:color w:val="auto"/>
          <w:sz w:val="21"/>
          <w:szCs w:val="21"/>
          <w:highlight w:val="none"/>
        </w:rPr>
        <w:t>附件8.营业执照</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_Toc27839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"_Toc26141" </w:instrText>
      </w:r>
      <w:r>
        <w:rPr>
          <w:color w:val="auto"/>
          <w:highlight w:val="none"/>
        </w:rPr>
        <w:fldChar w:fldCharType="separate"/>
      </w:r>
      <w:r>
        <w:rPr>
          <w:rFonts w:hint="eastAsia" w:ascii="宋体" w:hAnsi="宋体" w:eastAsia="宋体" w:cs="宋体"/>
          <w:color w:val="auto"/>
          <w:sz w:val="21"/>
          <w:szCs w:val="21"/>
          <w:highlight w:val="none"/>
        </w:rPr>
        <w:t>附件9.相关资质证明文件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_Toc26141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"_Toc17618" </w:instrText>
      </w:r>
      <w:r>
        <w:rPr>
          <w:color w:val="auto"/>
          <w:highlight w:val="none"/>
        </w:rPr>
        <w:fldChar w:fldCharType="separate"/>
      </w:r>
      <w:r>
        <w:rPr>
          <w:rFonts w:hint="eastAsia" w:ascii="宋体" w:hAnsi="宋体" w:eastAsia="宋体" w:cs="宋体"/>
          <w:color w:val="auto"/>
          <w:sz w:val="21"/>
          <w:szCs w:val="21"/>
          <w:highlight w:val="none"/>
        </w:rPr>
        <w:t>附件10.商务条款偏离表格式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_Toc17618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"_Toc32183" </w:instrText>
      </w:r>
      <w:r>
        <w:rPr>
          <w:color w:val="auto"/>
          <w:highlight w:val="none"/>
        </w:rPr>
        <w:fldChar w:fldCharType="separate"/>
      </w:r>
      <w:r>
        <w:rPr>
          <w:rFonts w:hint="eastAsia" w:ascii="宋体" w:hAnsi="宋体" w:eastAsia="宋体" w:cs="宋体"/>
          <w:color w:val="auto"/>
          <w:sz w:val="21"/>
          <w:szCs w:val="21"/>
          <w:highlight w:val="none"/>
        </w:rPr>
        <w:t>附件11.技术规格偏离表格式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_Toc32183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"_Toc29613" </w:instrText>
      </w:r>
      <w:r>
        <w:rPr>
          <w:color w:val="auto"/>
          <w:highlight w:val="none"/>
        </w:rPr>
        <w:fldChar w:fldCharType="separate"/>
      </w:r>
      <w:r>
        <w:rPr>
          <w:rFonts w:hint="eastAsia" w:ascii="宋体" w:hAnsi="宋体" w:eastAsia="宋体" w:cs="宋体"/>
          <w:color w:val="auto"/>
          <w:sz w:val="21"/>
          <w:szCs w:val="21"/>
          <w:highlight w:val="none"/>
        </w:rPr>
        <w:t>附件12.重要技术参数（▲）响应表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_Toc29613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"_Toc27674" </w:instrText>
      </w:r>
      <w:r>
        <w:rPr>
          <w:color w:val="auto"/>
          <w:highlight w:val="none"/>
        </w:rPr>
        <w:fldChar w:fldCharType="separate"/>
      </w:r>
      <w:r>
        <w:rPr>
          <w:rFonts w:hint="eastAsia" w:ascii="宋体" w:hAnsi="宋体" w:eastAsia="宋体" w:cs="宋体"/>
          <w:color w:val="auto"/>
          <w:sz w:val="21"/>
          <w:szCs w:val="21"/>
          <w:highlight w:val="none"/>
        </w:rPr>
        <w:t>附件13.业绩表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_Toc27674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"_Toc7860" </w:instrText>
      </w:r>
      <w:r>
        <w:rPr>
          <w:color w:val="auto"/>
          <w:highlight w:val="none"/>
        </w:rPr>
        <w:fldChar w:fldCharType="separate"/>
      </w:r>
      <w:r>
        <w:rPr>
          <w:rFonts w:hint="eastAsia" w:ascii="宋体" w:hAnsi="宋体" w:eastAsia="宋体" w:cs="宋体"/>
          <w:color w:val="auto"/>
          <w:sz w:val="21"/>
          <w:szCs w:val="21"/>
          <w:highlight w:val="none"/>
        </w:rPr>
        <w:t>附件14.项目实施方案格式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_Toc7860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"_Toc8596" </w:instrText>
      </w:r>
      <w:r>
        <w:rPr>
          <w:color w:val="auto"/>
          <w:highlight w:val="none"/>
        </w:rPr>
        <w:fldChar w:fldCharType="separate"/>
      </w:r>
      <w:r>
        <w:rPr>
          <w:rFonts w:hint="eastAsia" w:ascii="宋体" w:hAnsi="宋体" w:eastAsia="宋体" w:cs="宋体"/>
          <w:color w:val="auto"/>
          <w:sz w:val="21"/>
          <w:szCs w:val="21"/>
          <w:highlight w:val="none"/>
        </w:rPr>
        <w:t>附件15.实施本项目的有关人员资料表格式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_Toc8596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"_Toc21598" </w:instrText>
      </w:r>
      <w:r>
        <w:rPr>
          <w:color w:val="auto"/>
          <w:highlight w:val="none"/>
        </w:rPr>
        <w:fldChar w:fldCharType="separate"/>
      </w:r>
      <w:r>
        <w:rPr>
          <w:rFonts w:hint="eastAsia" w:ascii="宋体" w:hAnsi="宋体" w:eastAsia="宋体" w:cs="宋体"/>
          <w:color w:val="auto"/>
          <w:sz w:val="21"/>
          <w:szCs w:val="21"/>
          <w:highlight w:val="none"/>
        </w:rPr>
        <w:t>附件16.投标货物说明一览表格式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_Toc21598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"_Toc10094" </w:instrText>
      </w:r>
      <w:r>
        <w:rPr>
          <w:color w:val="auto"/>
          <w:highlight w:val="none"/>
        </w:rPr>
        <w:fldChar w:fldCharType="separate"/>
      </w:r>
      <w:r>
        <w:rPr>
          <w:rFonts w:hint="eastAsia" w:ascii="宋体" w:hAnsi="宋体" w:eastAsia="宋体" w:cs="宋体"/>
          <w:color w:val="auto"/>
          <w:sz w:val="21"/>
          <w:szCs w:val="21"/>
          <w:highlight w:val="none"/>
        </w:rPr>
        <w:t>附件17.在经营活动中没有重大违法记录的书面声明格式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_Toc10094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"_Toc21223" </w:instrText>
      </w:r>
      <w:r>
        <w:rPr>
          <w:color w:val="auto"/>
          <w:highlight w:val="none"/>
        </w:rPr>
        <w:fldChar w:fldCharType="separate"/>
      </w:r>
      <w:r>
        <w:rPr>
          <w:rFonts w:hint="eastAsia" w:ascii="宋体" w:hAnsi="宋体" w:eastAsia="宋体" w:cs="宋体"/>
          <w:color w:val="auto"/>
          <w:sz w:val="21"/>
          <w:szCs w:val="21"/>
          <w:highlight w:val="none"/>
        </w:rPr>
        <w:t>附件18.中小企业声明函（投标人为中小企业时适用）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_Toc21223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"_Toc28081" </w:instrText>
      </w:r>
      <w:r>
        <w:rPr>
          <w:color w:val="auto"/>
          <w:highlight w:val="none"/>
        </w:rPr>
        <w:fldChar w:fldCharType="separate"/>
      </w:r>
      <w:r>
        <w:rPr>
          <w:rFonts w:hint="eastAsia" w:ascii="宋体" w:hAnsi="宋体" w:eastAsia="宋体" w:cs="宋体"/>
          <w:color w:val="auto"/>
          <w:sz w:val="21"/>
          <w:szCs w:val="21"/>
          <w:highlight w:val="none"/>
        </w:rPr>
        <w:t>附件19.《残疾人福利性单位声明函》（残疾人福利性单位适用）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_Toc28081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"_Toc25634" </w:instrText>
      </w:r>
      <w:r>
        <w:rPr>
          <w:color w:val="auto"/>
          <w:highlight w:val="none"/>
        </w:rPr>
        <w:fldChar w:fldCharType="separate"/>
      </w:r>
      <w:r>
        <w:rPr>
          <w:rFonts w:hint="eastAsia" w:ascii="宋体" w:hAnsi="宋体" w:eastAsia="宋体" w:cs="宋体"/>
          <w:color w:val="auto"/>
          <w:sz w:val="21"/>
          <w:szCs w:val="21"/>
          <w:highlight w:val="none"/>
        </w:rPr>
        <w:t>附件20.投标保证金汇入情况说明格式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_Toc25634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"_Toc4363" </w:instrText>
      </w:r>
      <w:r>
        <w:rPr>
          <w:color w:val="auto"/>
          <w:highlight w:val="none"/>
        </w:rPr>
        <w:fldChar w:fldCharType="separate"/>
      </w:r>
      <w:r>
        <w:rPr>
          <w:rFonts w:hint="eastAsia" w:ascii="宋体" w:hAnsi="宋体" w:eastAsia="宋体" w:cs="宋体"/>
          <w:color w:val="auto"/>
          <w:sz w:val="21"/>
          <w:szCs w:val="21"/>
          <w:highlight w:val="none"/>
        </w:rPr>
        <w:t>附件21.政府采购投标担保函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_Toc4363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"_Toc27534" </w:instrText>
      </w:r>
      <w:r>
        <w:rPr>
          <w:color w:val="auto"/>
          <w:highlight w:val="none"/>
        </w:rPr>
        <w:fldChar w:fldCharType="separate"/>
      </w:r>
      <w:r>
        <w:rPr>
          <w:rFonts w:hint="eastAsia" w:ascii="宋体" w:hAnsi="宋体" w:eastAsia="宋体" w:cs="宋体"/>
          <w:color w:val="auto"/>
          <w:sz w:val="21"/>
          <w:szCs w:val="21"/>
          <w:highlight w:val="none"/>
        </w:rPr>
        <w:t>附件22.政府采购履约担保函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_Toc27534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"_Toc17023" </w:instrText>
      </w:r>
      <w:r>
        <w:rPr>
          <w:color w:val="auto"/>
          <w:highlight w:val="none"/>
        </w:rPr>
        <w:fldChar w:fldCharType="separate"/>
      </w:r>
      <w:r>
        <w:rPr>
          <w:rFonts w:hint="eastAsia" w:ascii="宋体" w:hAnsi="宋体" w:eastAsia="宋体" w:cs="宋体"/>
          <w:color w:val="auto"/>
          <w:sz w:val="21"/>
          <w:szCs w:val="21"/>
          <w:highlight w:val="none"/>
        </w:rPr>
        <w:t>附件23.获取招标文件登记表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_Toc17023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"_Toc11182" </w:instrText>
      </w:r>
      <w:r>
        <w:rPr>
          <w:color w:val="auto"/>
          <w:highlight w:val="none"/>
        </w:rPr>
        <w:fldChar w:fldCharType="separate"/>
      </w:r>
      <w:r>
        <w:rPr>
          <w:rFonts w:hint="eastAsia" w:ascii="宋体" w:hAnsi="宋体" w:eastAsia="宋体" w:cs="宋体"/>
          <w:color w:val="auto"/>
          <w:sz w:val="21"/>
          <w:szCs w:val="21"/>
          <w:highlight w:val="none"/>
        </w:rPr>
        <w:t>附件24.质疑函范本</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_Toc11182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jc w:val="both"/>
        <w:rPr>
          <w:rFonts w:cs="宋体"/>
          <w:color w:val="auto"/>
          <w:szCs w:val="21"/>
          <w:highlight w:val="none"/>
        </w:rPr>
      </w:pPr>
      <w:r>
        <w:rPr>
          <w:rFonts w:hint="eastAsia" w:ascii="宋体" w:hAnsi="宋体" w:eastAsia="宋体" w:cs="宋体"/>
          <w:color w:val="auto"/>
          <w:sz w:val="21"/>
          <w:szCs w:val="21"/>
          <w:highlight w:val="none"/>
        </w:rPr>
        <w:fldChar w:fldCharType="end"/>
      </w:r>
    </w:p>
    <w:p>
      <w:pP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4"/>
        <w:spacing w:before="0" w:after="0" w:line="240" w:lineRule="auto"/>
        <w:rPr>
          <w:color w:val="auto"/>
          <w:sz w:val="28"/>
          <w:szCs w:val="28"/>
          <w:highlight w:val="none"/>
        </w:rPr>
      </w:pPr>
      <w:r>
        <w:rPr>
          <w:rFonts w:hint="eastAsia"/>
          <w:color w:val="auto"/>
          <w:sz w:val="28"/>
          <w:szCs w:val="28"/>
          <w:highlight w:val="none"/>
        </w:rPr>
        <w:t>第一部分 投标邀请</w:t>
      </w:r>
    </w:p>
    <w:p>
      <w:pPr>
        <w:pStyle w:val="5"/>
        <w:spacing w:after="0"/>
        <w:jc w:val="center"/>
        <w:rPr>
          <w:rFonts w:ascii="宋体" w:hAnsi="宋体" w:cs="宋体"/>
          <w:color w:val="auto"/>
          <w:highlight w:val="none"/>
        </w:rPr>
      </w:pPr>
      <w:bookmarkStart w:id="0" w:name="_Toc1420"/>
      <w:r>
        <w:rPr>
          <w:rFonts w:hint="eastAsia" w:ascii="宋体" w:hAnsi="宋体" w:cs="宋体"/>
          <w:color w:val="auto"/>
          <w:highlight w:val="none"/>
        </w:rPr>
        <w:t>投标邀请书</w:t>
      </w:r>
      <w:bookmarkEnd w:id="0"/>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广东政通招标有限公司</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）受</w:t>
      </w:r>
      <w:r>
        <w:rPr>
          <w:rFonts w:hint="eastAsia" w:ascii="宋体" w:hAnsi="宋体" w:eastAsia="宋体"/>
          <w:color w:val="auto"/>
          <w:sz w:val="21"/>
          <w:szCs w:val="21"/>
          <w:highlight w:val="none"/>
          <w:u w:val="single"/>
        </w:rPr>
        <w:t>东莞市麻涌镇公用事业服务中心</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）委托，</w:t>
      </w:r>
      <w:r>
        <w:rPr>
          <w:rFonts w:hint="eastAsia" w:ascii="宋体" w:hAnsi="宋体" w:eastAsia="宋体"/>
          <w:color w:val="auto"/>
          <w:sz w:val="21"/>
          <w:szCs w:val="21"/>
          <w:highlight w:val="none"/>
        </w:rPr>
        <w:t>现</w:t>
      </w:r>
      <w:r>
        <w:rPr>
          <w:rFonts w:ascii="宋体" w:hAnsi="宋体" w:eastAsia="宋体"/>
          <w:color w:val="auto"/>
          <w:sz w:val="21"/>
          <w:szCs w:val="21"/>
          <w:highlight w:val="none"/>
        </w:rPr>
        <w:t>就</w:t>
      </w:r>
      <w:r>
        <w:rPr>
          <w:rFonts w:hint="eastAsia" w:ascii="宋体" w:hAnsi="宋体" w:eastAsia="宋体"/>
          <w:color w:val="auto"/>
          <w:sz w:val="21"/>
          <w:szCs w:val="21"/>
          <w:highlight w:val="none"/>
          <w:u w:val="single"/>
        </w:rPr>
        <w:t>东莞市麻涌镇路灯及夜景灯市场化管养服务采购项目</w:t>
      </w:r>
      <w:r>
        <w:rPr>
          <w:rFonts w:hint="eastAsia" w:ascii="宋体" w:hAnsi="宋体" w:eastAsia="宋体"/>
          <w:color w:val="auto"/>
          <w:sz w:val="21"/>
          <w:szCs w:val="21"/>
          <w:highlight w:val="none"/>
        </w:rPr>
        <w:t>（采购项目编号：</w:t>
      </w:r>
      <w:r>
        <w:rPr>
          <w:rFonts w:hint="eastAsia" w:ascii="宋体" w:hAnsi="宋体" w:eastAsia="宋体"/>
          <w:b/>
          <w:bCs/>
          <w:color w:val="auto"/>
          <w:sz w:val="21"/>
          <w:szCs w:val="21"/>
          <w:highlight w:val="none"/>
          <w:u w:val="single"/>
        </w:rPr>
        <w:t>441900033-2021-00057</w:t>
      </w:r>
      <w:r>
        <w:rPr>
          <w:rFonts w:hint="eastAsia" w:ascii="宋体" w:hAnsi="宋体" w:eastAsia="宋体"/>
          <w:color w:val="auto"/>
          <w:sz w:val="21"/>
          <w:szCs w:val="21"/>
          <w:highlight w:val="none"/>
        </w:rPr>
        <w:t>）</w:t>
      </w:r>
      <w:r>
        <w:rPr>
          <w:rFonts w:hint="eastAsia" w:ascii="宋体" w:hAnsi="宋体" w:eastAsia="宋体" w:cs="Times New Roman"/>
          <w:color w:val="auto"/>
          <w:sz w:val="21"/>
          <w:szCs w:val="21"/>
          <w:highlight w:val="none"/>
        </w:rPr>
        <w:t>进行国内公开招标采购</w:t>
      </w:r>
      <w:r>
        <w:rPr>
          <w:rFonts w:hint="eastAsia" w:ascii="宋体" w:hAnsi="宋体" w:eastAsia="宋体"/>
          <w:color w:val="auto"/>
          <w:sz w:val="21"/>
          <w:szCs w:val="21"/>
          <w:highlight w:val="none"/>
        </w:rPr>
        <w:t>，欢迎符合招标文件要求的国内投标人参加投标</w:t>
      </w:r>
      <w:r>
        <w:rPr>
          <w:rFonts w:ascii="宋体" w:hAnsi="宋体" w:eastAsia="宋体"/>
          <w:color w:val="auto"/>
          <w:sz w:val="21"/>
          <w:szCs w:val="21"/>
          <w:highlight w:val="none"/>
        </w:rPr>
        <w:t>。有关事项如下：</w:t>
      </w:r>
    </w:p>
    <w:p>
      <w:pPr>
        <w:spacing w:after="0" w:line="360" w:lineRule="auto"/>
        <w:ind w:firstLine="413" w:firstLineChars="196"/>
        <w:rPr>
          <w:rFonts w:ascii="宋体" w:hAnsi="宋体" w:eastAsia="宋体"/>
          <w:b/>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一、招标项目的名称、用途、简要技术要求或者招标项目的性质</w:t>
      </w:r>
    </w:p>
    <w:p>
      <w:pPr>
        <w:spacing w:after="0" w:line="360" w:lineRule="auto"/>
        <w:ind w:firstLine="422" w:firstLineChars="200"/>
        <w:rPr>
          <w:rFonts w:ascii="宋体" w:hAnsi="宋体" w:eastAsia="宋体"/>
          <w:color w:val="auto"/>
          <w:sz w:val="21"/>
          <w:szCs w:val="21"/>
          <w:highlight w:val="none"/>
        </w:rPr>
      </w:pPr>
      <w:r>
        <w:rPr>
          <w:rFonts w:ascii="Times New Roman" w:hAnsi="Times New Roman" w:eastAsia="宋体" w:cs="Times New Roman"/>
          <w:b/>
          <w:bCs/>
          <w:color w:val="auto"/>
          <w:sz w:val="21"/>
          <w:szCs w:val="21"/>
          <w:highlight w:val="none"/>
        </w:rPr>
        <w:t>1</w:t>
      </w:r>
      <w:r>
        <w:rPr>
          <w:rFonts w:ascii="Times New Roman" w:hAnsi="宋体" w:eastAsia="宋体" w:cs="Times New Roman"/>
          <w:b/>
          <w:bCs/>
          <w:color w:val="auto"/>
          <w:sz w:val="21"/>
          <w:szCs w:val="21"/>
          <w:highlight w:val="none"/>
        </w:rPr>
        <w:t>、</w:t>
      </w:r>
      <w:r>
        <w:rPr>
          <w:rFonts w:hint="eastAsia" w:ascii="宋体" w:hAnsi="宋体" w:eastAsia="宋体"/>
          <w:b/>
          <w:bCs/>
          <w:color w:val="auto"/>
          <w:sz w:val="21"/>
          <w:szCs w:val="21"/>
          <w:highlight w:val="none"/>
        </w:rPr>
        <w:t>项目内容：</w:t>
      </w:r>
      <w:r>
        <w:rPr>
          <w:rFonts w:hint="eastAsia" w:ascii="宋体" w:hAnsi="宋体" w:eastAsia="宋体"/>
          <w:b/>
          <w:bCs/>
          <w:color w:val="auto"/>
          <w:sz w:val="21"/>
          <w:szCs w:val="21"/>
          <w:highlight w:val="none"/>
          <w:u w:val="single"/>
        </w:rPr>
        <w:t>东莞市麻涌镇路灯及夜景灯市场化管养服务采购</w:t>
      </w:r>
      <w:r>
        <w:rPr>
          <w:rFonts w:hint="eastAsia" w:ascii="宋体" w:hAnsi="宋体" w:eastAsia="宋体"/>
          <w:b/>
          <w:bCs/>
          <w:color w:val="auto"/>
          <w:sz w:val="21"/>
          <w:szCs w:val="21"/>
          <w:highlight w:val="none"/>
        </w:rPr>
        <w:t>一项，预算：人民币</w:t>
      </w:r>
      <w:r>
        <w:rPr>
          <w:rFonts w:hint="eastAsia" w:ascii="宋体" w:hAnsi="宋体" w:eastAsia="宋体"/>
          <w:b/>
          <w:bCs/>
          <w:color w:val="auto"/>
          <w:sz w:val="21"/>
          <w:szCs w:val="21"/>
          <w:highlight w:val="none"/>
          <w:u w:val="single"/>
        </w:rPr>
        <w:t>壹仟肆佰柒拾伍万壹仟元整（￥14,751,000.00）</w:t>
      </w:r>
      <w:r>
        <w:rPr>
          <w:rFonts w:ascii="Times New Roman" w:hAnsi="宋体" w:eastAsia="宋体" w:cs="Times New Roman"/>
          <w:b/>
          <w:bCs/>
          <w:color w:val="auto"/>
          <w:sz w:val="21"/>
          <w:szCs w:val="21"/>
          <w:highlight w:val="none"/>
        </w:rPr>
        <w:t>。</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2、简要技术要求或招标项目的性质：详细内容请参阅招标文件第三部分《用户需求书》。</w:t>
      </w:r>
    </w:p>
    <w:p>
      <w:pPr>
        <w:spacing w:after="0" w:line="360" w:lineRule="auto"/>
        <w:ind w:firstLine="413" w:firstLineChars="196"/>
        <w:rPr>
          <w:rFonts w:ascii="宋体" w:hAnsi="宋体" w:eastAsia="宋体"/>
          <w:b/>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二、投标人资格要求</w:t>
      </w:r>
    </w:p>
    <w:p>
      <w:pPr>
        <w:spacing w:after="0" w:line="360" w:lineRule="auto"/>
        <w:ind w:firstLine="411" w:firstLineChars="196"/>
        <w:rPr>
          <w:rFonts w:ascii="宋体" w:hAnsi="宋体" w:eastAsia="宋体"/>
          <w:color w:val="auto"/>
          <w:sz w:val="21"/>
          <w:szCs w:val="21"/>
          <w:highlight w:val="none"/>
        </w:rPr>
      </w:pPr>
      <w:r>
        <w:rPr>
          <w:rFonts w:hint="eastAsia" w:ascii="宋体" w:hAnsi="宋体" w:eastAsia="宋体"/>
          <w:color w:val="auto"/>
          <w:sz w:val="21"/>
          <w:szCs w:val="21"/>
          <w:highlight w:val="none"/>
        </w:rPr>
        <w:t>1、一般要求：</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（1）须符合《中华人民共和国政府采购法》第二十二条规定（需提供书面承诺）；</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（2）参加采购活动前三年内，在经营活动中没有重大违法记录（须提供书面声明）；</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3）本项目不接受联合体投标；投标人的单位负责人为同一人或者存在直接控股、管理关系的不同投标人，不得参加同一合同项下的政府采购活动。为本项目提供整体设计、规范编制或者项目管理、监理、检测等服务的投标人，不得参加本采购项目的采购活动；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投标截止日当天在“信用中国”网站及中国政府采购网查询结果为准，如相关失信记录已失效，投标人需提供相关证明资料。</w:t>
      </w:r>
    </w:p>
    <w:p>
      <w:pPr>
        <w:spacing w:after="0" w:line="360" w:lineRule="auto"/>
        <w:ind w:firstLine="411" w:firstLineChars="196"/>
        <w:rPr>
          <w:rFonts w:ascii="宋体" w:hAnsi="宋体" w:eastAsia="宋体"/>
          <w:color w:val="auto"/>
          <w:sz w:val="21"/>
          <w:szCs w:val="21"/>
          <w:highlight w:val="none"/>
        </w:rPr>
      </w:pPr>
      <w:r>
        <w:rPr>
          <w:rFonts w:hint="eastAsia" w:ascii="宋体" w:hAnsi="宋体" w:eastAsia="宋体"/>
          <w:color w:val="auto"/>
          <w:sz w:val="21"/>
          <w:szCs w:val="21"/>
          <w:highlight w:val="none"/>
        </w:rPr>
        <w:t>2、特殊要求：</w:t>
      </w:r>
    </w:p>
    <w:p>
      <w:pPr>
        <w:spacing w:after="0" w:line="360" w:lineRule="auto"/>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投标人须具有有效的机电设备安装工程专业承包二级（或以上）</w:t>
      </w:r>
      <w:r>
        <w:rPr>
          <w:rFonts w:hint="eastAsia" w:ascii="宋体" w:hAnsi="宋体" w:eastAsia="宋体"/>
          <w:color w:val="auto"/>
          <w:sz w:val="21"/>
          <w:szCs w:val="21"/>
          <w:highlight w:val="none"/>
          <w:lang w:val="en-US" w:eastAsia="zh-CN"/>
        </w:rPr>
        <w:t>资质</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或</w:t>
      </w:r>
      <w:r>
        <w:rPr>
          <w:rFonts w:hint="eastAsia" w:ascii="宋体" w:hAnsi="宋体" w:eastAsia="宋体"/>
          <w:color w:val="auto"/>
          <w:sz w:val="21"/>
          <w:szCs w:val="21"/>
          <w:highlight w:val="none"/>
        </w:rPr>
        <w:t>机电工程施工总承包</w:t>
      </w:r>
      <w:r>
        <w:rPr>
          <w:rFonts w:hint="eastAsia" w:ascii="宋体" w:hAnsi="宋体" w:eastAsia="宋体"/>
          <w:color w:val="auto"/>
          <w:sz w:val="21"/>
          <w:szCs w:val="21"/>
          <w:highlight w:val="none"/>
          <w:lang w:val="en-US" w:eastAsia="zh-CN"/>
        </w:rPr>
        <w:t>乙级</w:t>
      </w:r>
      <w:r>
        <w:rPr>
          <w:rFonts w:hint="eastAsia" w:ascii="宋体" w:hAnsi="宋体" w:eastAsia="宋体"/>
          <w:color w:val="auto"/>
          <w:sz w:val="21"/>
          <w:szCs w:val="21"/>
          <w:highlight w:val="none"/>
        </w:rPr>
        <w:t>资质</w:t>
      </w:r>
      <w:r>
        <w:rPr>
          <w:rFonts w:hint="eastAsia" w:ascii="宋体" w:hAnsi="宋体" w:eastAsia="宋体"/>
          <w:color w:val="auto"/>
          <w:sz w:val="21"/>
          <w:szCs w:val="21"/>
          <w:highlight w:val="none"/>
          <w:lang w:eastAsia="zh-CN"/>
        </w:rPr>
        <w:t>【或更换资质证书前有效期内</w:t>
      </w:r>
      <w:r>
        <w:rPr>
          <w:rFonts w:hint="eastAsia" w:ascii="宋体" w:hAnsi="宋体" w:eastAsia="宋体"/>
          <w:color w:val="auto"/>
          <w:sz w:val="21"/>
          <w:szCs w:val="21"/>
          <w:highlight w:val="none"/>
        </w:rPr>
        <w:t>机电工程施工总承包三级（或以上）资质</w:t>
      </w:r>
      <w:r>
        <w:rPr>
          <w:rFonts w:hint="eastAsia" w:ascii="宋体" w:hAnsi="宋体" w:eastAsia="宋体"/>
          <w:color w:val="auto"/>
          <w:sz w:val="21"/>
          <w:szCs w:val="21"/>
          <w:highlight w:val="none"/>
          <w:lang w:eastAsia="zh-CN"/>
        </w:rPr>
        <w:t>】、建筑机电工程专业承包</w:t>
      </w:r>
      <w:r>
        <w:rPr>
          <w:rFonts w:hint="eastAsia" w:ascii="宋体" w:hAnsi="宋体" w:eastAsia="宋体"/>
          <w:color w:val="auto"/>
          <w:sz w:val="21"/>
          <w:szCs w:val="21"/>
          <w:highlight w:val="none"/>
          <w:lang w:val="en-US" w:eastAsia="zh-CN"/>
        </w:rPr>
        <w:t>乙级</w:t>
      </w:r>
      <w:r>
        <w:rPr>
          <w:rFonts w:hint="eastAsia" w:ascii="宋体" w:hAnsi="宋体" w:eastAsia="宋体"/>
          <w:color w:val="auto"/>
          <w:sz w:val="21"/>
          <w:szCs w:val="21"/>
          <w:highlight w:val="none"/>
        </w:rPr>
        <w:t>（或以上）资质</w:t>
      </w:r>
      <w:r>
        <w:rPr>
          <w:rFonts w:hint="eastAsia" w:ascii="宋体" w:hAnsi="宋体" w:eastAsia="宋体"/>
          <w:color w:val="auto"/>
          <w:sz w:val="21"/>
          <w:szCs w:val="21"/>
          <w:highlight w:val="none"/>
          <w:lang w:eastAsia="zh-CN"/>
        </w:rPr>
        <w:t>【或更换资质证书前有效期内</w:t>
      </w:r>
      <w:r>
        <w:rPr>
          <w:rFonts w:hint="eastAsia" w:ascii="宋体" w:hAnsi="宋体" w:eastAsia="宋体"/>
          <w:color w:val="auto"/>
          <w:sz w:val="21"/>
          <w:szCs w:val="21"/>
          <w:highlight w:val="none"/>
        </w:rPr>
        <w:t>城市及道路照明工程专业承包</w:t>
      </w:r>
      <w:r>
        <w:rPr>
          <w:rFonts w:hint="eastAsia" w:ascii="宋体" w:hAnsi="宋体" w:eastAsia="宋体"/>
          <w:color w:val="auto"/>
          <w:sz w:val="21"/>
          <w:szCs w:val="21"/>
          <w:highlight w:val="none"/>
          <w:lang w:val="en-US" w:eastAsia="zh-CN"/>
        </w:rPr>
        <w:t>一级资质或</w:t>
      </w:r>
      <w:r>
        <w:rPr>
          <w:rFonts w:hint="eastAsia" w:ascii="宋体" w:hAnsi="宋体" w:eastAsia="宋体"/>
          <w:color w:val="auto"/>
          <w:sz w:val="21"/>
          <w:szCs w:val="21"/>
          <w:highlight w:val="none"/>
          <w:lang w:eastAsia="zh-CN"/>
        </w:rPr>
        <w:t>更换资质证书前有效期内</w:t>
      </w:r>
      <w:r>
        <w:rPr>
          <w:rFonts w:hint="eastAsia" w:ascii="宋体" w:hAnsi="宋体" w:eastAsia="宋体"/>
          <w:color w:val="auto"/>
          <w:sz w:val="21"/>
          <w:szCs w:val="21"/>
          <w:highlight w:val="none"/>
        </w:rPr>
        <w:t>建筑机电安装工程专业承包</w:t>
      </w:r>
      <w:r>
        <w:rPr>
          <w:rFonts w:hint="eastAsia" w:ascii="宋体" w:hAnsi="宋体" w:eastAsia="宋体"/>
          <w:color w:val="auto"/>
          <w:sz w:val="21"/>
          <w:szCs w:val="21"/>
          <w:highlight w:val="none"/>
          <w:lang w:val="en-US" w:eastAsia="zh-CN"/>
        </w:rPr>
        <w:t>二级（</w:t>
      </w:r>
      <w:r>
        <w:rPr>
          <w:rFonts w:hint="eastAsia" w:ascii="宋体" w:hAnsi="宋体" w:eastAsia="宋体"/>
          <w:color w:val="auto"/>
          <w:sz w:val="21"/>
          <w:szCs w:val="21"/>
          <w:highlight w:val="none"/>
        </w:rPr>
        <w:t>或以上</w:t>
      </w:r>
      <w:r>
        <w:rPr>
          <w:rFonts w:hint="eastAsia" w:ascii="宋体" w:hAnsi="宋体" w:eastAsia="宋体"/>
          <w:color w:val="auto"/>
          <w:sz w:val="21"/>
          <w:szCs w:val="21"/>
          <w:highlight w:val="none"/>
          <w:lang w:val="en-US" w:eastAsia="zh-CN"/>
        </w:rPr>
        <w:t>）资质</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市政公用工程施工总承包</w:t>
      </w:r>
      <w:r>
        <w:rPr>
          <w:rFonts w:hint="eastAsia" w:ascii="宋体" w:hAnsi="宋体" w:eastAsia="宋体"/>
          <w:color w:val="auto"/>
          <w:sz w:val="21"/>
          <w:szCs w:val="21"/>
          <w:highlight w:val="none"/>
          <w:lang w:val="en-US" w:eastAsia="zh-CN"/>
        </w:rPr>
        <w:t>乙级</w:t>
      </w:r>
      <w:r>
        <w:rPr>
          <w:rFonts w:hint="eastAsia" w:ascii="宋体" w:hAnsi="宋体" w:eastAsia="宋体"/>
          <w:color w:val="auto"/>
          <w:sz w:val="21"/>
          <w:szCs w:val="21"/>
          <w:highlight w:val="none"/>
        </w:rPr>
        <w:t>（或以上）资质</w:t>
      </w:r>
      <w:r>
        <w:rPr>
          <w:rFonts w:hint="eastAsia" w:ascii="宋体" w:hAnsi="宋体" w:eastAsia="宋体"/>
          <w:color w:val="auto"/>
          <w:sz w:val="21"/>
          <w:szCs w:val="21"/>
          <w:highlight w:val="none"/>
          <w:lang w:eastAsia="zh-CN"/>
        </w:rPr>
        <w:t>【或更换资质证书前有效期内</w:t>
      </w:r>
      <w:r>
        <w:rPr>
          <w:rFonts w:hint="eastAsia" w:ascii="宋体" w:hAnsi="宋体" w:eastAsia="宋体"/>
          <w:color w:val="auto"/>
          <w:sz w:val="21"/>
          <w:szCs w:val="21"/>
          <w:highlight w:val="none"/>
        </w:rPr>
        <w:t>市政公用工程施工总承包三级（或以上）资质</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或《承装（修、试）电力设施许可证》五级（或以上）证书</w:t>
      </w:r>
      <w:r>
        <w:rPr>
          <w:rFonts w:hint="eastAsia" w:ascii="宋体" w:hAnsi="宋体" w:eastAsia="宋体"/>
          <w:color w:val="auto"/>
          <w:sz w:val="21"/>
          <w:szCs w:val="21"/>
          <w:highlight w:val="none"/>
          <w:lang w:val="en-US" w:eastAsia="zh-CN"/>
        </w:rPr>
        <w:t>。</w:t>
      </w:r>
    </w:p>
    <w:p>
      <w:pPr>
        <w:spacing w:after="0" w:line="360" w:lineRule="auto"/>
        <w:ind w:firstLine="411" w:firstLineChars="196"/>
        <w:rPr>
          <w:rFonts w:hint="eastAsia"/>
          <w:lang w:val="en-US" w:eastAsia="zh-CN"/>
        </w:rPr>
      </w:pPr>
      <w:r>
        <w:rPr>
          <w:rFonts w:hint="eastAsia" w:ascii="宋体" w:hAnsi="宋体" w:eastAsia="宋体"/>
          <w:color w:val="auto"/>
          <w:sz w:val="21"/>
          <w:szCs w:val="21"/>
          <w:highlight w:val="none"/>
          <w:lang w:val="en-US" w:eastAsia="zh-CN"/>
        </w:rPr>
        <w:t>注：上述资质要求，依据住房和城乡建设部2020年11月30日关于印发《建设工程企业资质管理制度改革方案》的通知，在更换资质证书前有效期内适用于本项目资质证书的均为有效资格条件。</w:t>
      </w:r>
    </w:p>
    <w:p>
      <w:pPr>
        <w:spacing w:after="0" w:line="360" w:lineRule="auto"/>
        <w:rPr>
          <w:rFonts w:ascii="宋体" w:hAnsi="宋体" w:eastAsia="宋体"/>
          <w:b/>
          <w:color w:val="auto"/>
          <w:sz w:val="24"/>
          <w:szCs w:val="24"/>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三、项目公示时间、招标文件领购时间、地点、方式</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1、项目公示时间：2021年</w:t>
      </w:r>
      <w:r>
        <w:rPr>
          <w:rFonts w:hint="eastAsia" w:ascii="宋体" w:hAnsi="宋体" w:eastAsia="宋体"/>
          <w:color w:val="auto"/>
          <w:sz w:val="21"/>
          <w:szCs w:val="21"/>
          <w:highlight w:val="none"/>
          <w:lang w:val="en-US" w:eastAsia="zh-CN"/>
        </w:rPr>
        <w:t>04</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14</w:t>
      </w:r>
      <w:r>
        <w:rPr>
          <w:rFonts w:hint="eastAsia" w:ascii="宋体" w:hAnsi="宋体" w:eastAsia="宋体"/>
          <w:color w:val="auto"/>
          <w:sz w:val="21"/>
          <w:szCs w:val="21"/>
          <w:highlight w:val="none"/>
        </w:rPr>
        <w:t>日起至2021年</w:t>
      </w:r>
      <w:r>
        <w:rPr>
          <w:rFonts w:hint="eastAsia" w:ascii="宋体" w:hAnsi="宋体" w:eastAsia="宋体"/>
          <w:color w:val="auto"/>
          <w:sz w:val="21"/>
          <w:szCs w:val="21"/>
          <w:highlight w:val="none"/>
          <w:lang w:val="en-US" w:eastAsia="zh-CN"/>
        </w:rPr>
        <w:t>04</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21</w:t>
      </w:r>
      <w:r>
        <w:rPr>
          <w:rFonts w:hint="eastAsia" w:ascii="宋体" w:hAnsi="宋体" w:eastAsia="宋体"/>
          <w:color w:val="auto"/>
          <w:sz w:val="21"/>
          <w:szCs w:val="21"/>
          <w:highlight w:val="none"/>
        </w:rPr>
        <w:t>日。</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2、招标文件领购</w:t>
      </w:r>
      <w:r>
        <w:rPr>
          <w:rFonts w:ascii="宋体" w:hAnsi="宋体" w:eastAsia="宋体"/>
          <w:color w:val="auto"/>
          <w:sz w:val="21"/>
          <w:szCs w:val="21"/>
          <w:highlight w:val="none"/>
        </w:rPr>
        <w:t>时间：</w:t>
      </w:r>
      <w:r>
        <w:rPr>
          <w:rFonts w:hint="eastAsia" w:ascii="宋体" w:hAnsi="宋体" w:eastAsia="宋体"/>
          <w:color w:val="auto"/>
          <w:sz w:val="21"/>
          <w:szCs w:val="21"/>
          <w:highlight w:val="none"/>
        </w:rPr>
        <w:t>2021年</w:t>
      </w:r>
      <w:r>
        <w:rPr>
          <w:rFonts w:hint="eastAsia" w:ascii="宋体" w:hAnsi="宋体" w:eastAsia="宋体"/>
          <w:color w:val="auto"/>
          <w:sz w:val="21"/>
          <w:szCs w:val="21"/>
          <w:highlight w:val="none"/>
          <w:lang w:val="en-US" w:eastAsia="zh-CN"/>
        </w:rPr>
        <w:t>04</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14</w:t>
      </w:r>
      <w:r>
        <w:rPr>
          <w:rFonts w:hint="eastAsia" w:ascii="宋体" w:hAnsi="宋体" w:eastAsia="宋体"/>
          <w:color w:val="auto"/>
          <w:sz w:val="21"/>
          <w:szCs w:val="21"/>
          <w:highlight w:val="none"/>
        </w:rPr>
        <w:t>日起至2021年</w:t>
      </w:r>
      <w:r>
        <w:rPr>
          <w:rFonts w:hint="eastAsia" w:ascii="宋体" w:hAnsi="宋体" w:eastAsia="宋体"/>
          <w:color w:val="auto"/>
          <w:sz w:val="21"/>
          <w:szCs w:val="21"/>
          <w:highlight w:val="none"/>
          <w:lang w:val="en-US" w:eastAsia="zh-CN"/>
        </w:rPr>
        <w:t>04</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21</w:t>
      </w:r>
      <w:r>
        <w:rPr>
          <w:rFonts w:hint="eastAsia" w:ascii="宋体" w:hAnsi="宋体" w:eastAsia="宋体"/>
          <w:color w:val="auto"/>
          <w:sz w:val="21"/>
          <w:szCs w:val="21"/>
          <w:highlight w:val="none"/>
        </w:rPr>
        <w:t xml:space="preserve">日（节假日除外），上午9：00～12：00，下午14：30～17：30（北京时间）。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注：（1）投标人可自行打印招标文件中的“附件23 获取招标文件登记表”进行填写并带到现场进行领购，并现场领取发票。（招标文件领购价：人民币150元整）</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（2）现场支持现金支付、微信支付、支付宝支付等支付方式，请将相应表格交予我司简小姐。</w:t>
      </w:r>
    </w:p>
    <w:p>
      <w:pPr>
        <w:spacing w:after="0" w:line="360" w:lineRule="auto"/>
        <w:ind w:firstLine="420" w:firstLineChars="200"/>
        <w:rPr>
          <w:color w:val="auto"/>
          <w:highlight w:val="none"/>
        </w:rPr>
      </w:pPr>
      <w:r>
        <w:rPr>
          <w:rFonts w:hint="eastAsia" w:ascii="宋体" w:hAnsi="宋体" w:eastAsia="宋体"/>
          <w:color w:val="auto"/>
          <w:sz w:val="21"/>
          <w:szCs w:val="21"/>
          <w:highlight w:val="none"/>
        </w:rPr>
        <w:t>（3）招标文件电子版可在广东省政府采购网（https://gdgpo.czt.gd.gov.cn/）相关招标信息公告下自行下载。</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3、招标文件领购地点：东莞市南城街道鸿福西路81号国际商会大厦13A01室。</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联系人：简海欣</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联系电话：0769-22881803</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4、招标文件领购方式：现场领购。</w:t>
      </w:r>
    </w:p>
    <w:p>
      <w:pPr>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标人在领购招标文件时须提供如下证明材料：《营业执照》复印件（加盖公章）或《事业单位法人证书》复印件（加盖公章）或其他主体证书复印件（加盖公章），自然人参加投标须提供自然人的身份证明材料；</w:t>
      </w:r>
    </w:p>
    <w:p>
      <w:pPr>
        <w:pStyle w:val="2"/>
        <w:keepNext w:val="0"/>
        <w:keepLines w:val="0"/>
        <w:pageBreakBefore w:val="0"/>
        <w:widowControl/>
        <w:kinsoku/>
        <w:wordWrap/>
        <w:overflowPunct/>
        <w:topLinePunct w:val="0"/>
        <w:autoSpaceDE/>
        <w:autoSpaceDN/>
        <w:bidi w:val="0"/>
        <w:adjustRightInd w:val="0"/>
        <w:snapToGrid w:val="0"/>
        <w:spacing w:before="0" w:after="0" w:line="360" w:lineRule="auto"/>
        <w:ind w:left="0"/>
        <w:textAlignment w:val="auto"/>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四、其他事宜</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凡参与本项目政府采购活动的供应商需访问并登录广东省政府采购网的广东政府采购智慧云平台（https://gdgpo.czt.gd.gov.cn/）进行注册建档入库，投标供应商在使用过程中遇到涉及系统使用的任何问题，可致电云平台技术支持热线400-183-2999进行咨询。</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2、需要落实的政府采购政策：《政府采购促进中小企业发展管理办法》（财库〔2020〕46 号）、《关于政府采购支持监狱企业发展有关问题的通知》(财库〔2014〕68 号)、《关于促进残疾人就业政府采购政策的通知》（财库〔2017〕141 号)、《关于环境标志产品政府采购实施的意见》（财库〔2006〕90 号、《节能产品政府采购实施意见》的通知（财库〔2004〕185 号）、《关于调整优化节能产品、环境标志产品政府采购执行机制的通知》（粤财采购[2019]9 号）、《关于运用政府采购政策支持脱贫攻坚的通知》（财库[2019]27 号）、《关于印发&lt;商品包装政府采购需求标准（试行）&gt;、 &lt;快递包装政府采购需求标准（试行）&gt;的通知》（财办库〔2020〕123 号）等。</w:t>
      </w:r>
    </w:p>
    <w:p>
      <w:pPr>
        <w:spacing w:after="0" w:line="360" w:lineRule="auto"/>
        <w:ind w:firstLine="411" w:firstLineChars="196"/>
        <w:rPr>
          <w:rFonts w:ascii="宋体" w:hAnsi="宋体" w:eastAsia="宋体"/>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lang w:val="en-US" w:eastAsia="zh-CN"/>
        </w:rPr>
        <w:t>五</w:t>
      </w:r>
      <w:r>
        <w:rPr>
          <w:rFonts w:hint="eastAsia" w:ascii="宋体" w:hAnsi="宋体" w:eastAsia="宋体"/>
          <w:b/>
          <w:color w:val="auto"/>
          <w:sz w:val="21"/>
          <w:szCs w:val="21"/>
          <w:highlight w:val="none"/>
        </w:rPr>
        <w:t>、投标截止时间、开标时间及地点</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1、递交投标文件时间：2021年</w:t>
      </w:r>
      <w:r>
        <w:rPr>
          <w:rFonts w:hint="eastAsia" w:ascii="宋体" w:hAnsi="宋体" w:eastAsia="宋体"/>
          <w:bCs/>
          <w:color w:val="auto"/>
          <w:sz w:val="21"/>
          <w:szCs w:val="21"/>
          <w:highlight w:val="none"/>
          <w:lang w:val="en-US" w:eastAsia="zh-CN"/>
        </w:rPr>
        <w:t>05</w:t>
      </w:r>
      <w:r>
        <w:rPr>
          <w:rFonts w:hint="eastAsia" w:ascii="宋体" w:hAnsi="宋体" w:eastAsia="宋体"/>
          <w:bCs/>
          <w:color w:val="auto"/>
          <w:sz w:val="21"/>
          <w:szCs w:val="21"/>
          <w:highlight w:val="none"/>
        </w:rPr>
        <w:t>月</w:t>
      </w:r>
      <w:r>
        <w:rPr>
          <w:rFonts w:hint="eastAsia" w:ascii="宋体" w:hAnsi="宋体" w:eastAsia="宋体"/>
          <w:bCs/>
          <w:color w:val="auto"/>
          <w:sz w:val="21"/>
          <w:szCs w:val="21"/>
          <w:highlight w:val="none"/>
          <w:lang w:val="en-US" w:eastAsia="zh-CN"/>
        </w:rPr>
        <w:t>07</w:t>
      </w:r>
      <w:r>
        <w:rPr>
          <w:rFonts w:hint="eastAsia" w:ascii="宋体" w:hAnsi="宋体" w:eastAsia="宋体"/>
          <w:bCs/>
          <w:color w:val="auto"/>
          <w:sz w:val="21"/>
          <w:szCs w:val="21"/>
          <w:highlight w:val="none"/>
        </w:rPr>
        <w:t>日</w:t>
      </w:r>
      <w:r>
        <w:rPr>
          <w:rFonts w:hint="eastAsia" w:ascii="宋体" w:hAnsi="宋体" w:eastAsia="宋体"/>
          <w:bCs/>
          <w:color w:val="auto"/>
          <w:sz w:val="21"/>
          <w:szCs w:val="21"/>
          <w:highlight w:val="none"/>
          <w:lang w:val="en-US" w:eastAsia="zh-CN"/>
        </w:rPr>
        <w:t>下</w:t>
      </w:r>
      <w:r>
        <w:rPr>
          <w:rFonts w:hint="eastAsia" w:ascii="宋体" w:hAnsi="宋体" w:eastAsia="宋体"/>
          <w:bCs/>
          <w:color w:val="auto"/>
          <w:sz w:val="21"/>
          <w:szCs w:val="21"/>
          <w:highlight w:val="none"/>
        </w:rPr>
        <w:t>午</w:t>
      </w:r>
      <w:r>
        <w:rPr>
          <w:rFonts w:hint="eastAsia" w:ascii="宋体" w:hAnsi="宋体" w:eastAsia="宋体"/>
          <w:bCs/>
          <w:color w:val="auto"/>
          <w:sz w:val="21"/>
          <w:szCs w:val="21"/>
          <w:highlight w:val="none"/>
          <w:lang w:val="en-US" w:eastAsia="zh-CN"/>
        </w:rPr>
        <w:t>14</w:t>
      </w:r>
      <w:r>
        <w:rPr>
          <w:rFonts w:hint="eastAsia" w:ascii="宋体" w:hAnsi="宋体" w:eastAsia="宋体"/>
          <w:bCs/>
          <w:color w:val="auto"/>
          <w:sz w:val="21"/>
          <w:szCs w:val="21"/>
          <w:highlight w:val="none"/>
        </w:rPr>
        <w:t>：00～</w:t>
      </w:r>
      <w:r>
        <w:rPr>
          <w:rFonts w:hint="eastAsia" w:ascii="宋体" w:hAnsi="宋体" w:eastAsia="宋体"/>
          <w:bCs/>
          <w:color w:val="auto"/>
          <w:sz w:val="21"/>
          <w:szCs w:val="21"/>
          <w:highlight w:val="none"/>
          <w:lang w:val="en-US" w:eastAsia="zh-CN"/>
        </w:rPr>
        <w:t>14</w:t>
      </w:r>
      <w:r>
        <w:rPr>
          <w:rFonts w:hint="eastAsia" w:ascii="宋体" w:hAnsi="宋体" w:eastAsia="宋体"/>
          <w:bCs/>
          <w:color w:val="auto"/>
          <w:sz w:val="21"/>
          <w:szCs w:val="21"/>
          <w:highlight w:val="none"/>
        </w:rPr>
        <w:t>：30。</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2、</w:t>
      </w:r>
      <w:r>
        <w:rPr>
          <w:rFonts w:ascii="宋体" w:hAnsi="宋体" w:eastAsia="宋体"/>
          <w:bCs/>
          <w:color w:val="auto"/>
          <w:sz w:val="21"/>
          <w:szCs w:val="21"/>
          <w:highlight w:val="none"/>
        </w:rPr>
        <w:t>投标截止</w:t>
      </w:r>
      <w:r>
        <w:rPr>
          <w:rFonts w:hint="eastAsia" w:ascii="宋体" w:hAnsi="宋体" w:eastAsia="宋体"/>
          <w:bCs/>
          <w:color w:val="auto"/>
          <w:sz w:val="21"/>
          <w:szCs w:val="21"/>
          <w:highlight w:val="none"/>
        </w:rPr>
        <w:t>及开标时间：2021年</w:t>
      </w:r>
      <w:r>
        <w:rPr>
          <w:rFonts w:hint="eastAsia" w:ascii="宋体" w:hAnsi="宋体" w:eastAsia="宋体"/>
          <w:bCs/>
          <w:color w:val="auto"/>
          <w:sz w:val="21"/>
          <w:szCs w:val="21"/>
          <w:highlight w:val="none"/>
          <w:lang w:val="en-US" w:eastAsia="zh-CN"/>
        </w:rPr>
        <w:t>05</w:t>
      </w:r>
      <w:r>
        <w:rPr>
          <w:rFonts w:hint="eastAsia" w:ascii="宋体" w:hAnsi="宋体" w:eastAsia="宋体"/>
          <w:bCs/>
          <w:color w:val="auto"/>
          <w:sz w:val="21"/>
          <w:szCs w:val="21"/>
          <w:highlight w:val="none"/>
        </w:rPr>
        <w:t>月</w:t>
      </w:r>
      <w:r>
        <w:rPr>
          <w:rFonts w:hint="eastAsia" w:ascii="宋体" w:hAnsi="宋体" w:eastAsia="宋体"/>
          <w:bCs/>
          <w:color w:val="auto"/>
          <w:sz w:val="21"/>
          <w:szCs w:val="21"/>
          <w:highlight w:val="none"/>
          <w:lang w:val="en-US" w:eastAsia="zh-CN"/>
        </w:rPr>
        <w:t>07</w:t>
      </w:r>
      <w:r>
        <w:rPr>
          <w:rFonts w:hint="eastAsia" w:ascii="宋体" w:hAnsi="宋体" w:eastAsia="宋体"/>
          <w:bCs/>
          <w:color w:val="auto"/>
          <w:sz w:val="21"/>
          <w:szCs w:val="21"/>
          <w:highlight w:val="none"/>
        </w:rPr>
        <w:t>日</w:t>
      </w:r>
      <w:r>
        <w:rPr>
          <w:rFonts w:hint="eastAsia" w:ascii="宋体" w:hAnsi="宋体" w:eastAsia="宋体"/>
          <w:bCs/>
          <w:color w:val="auto"/>
          <w:sz w:val="21"/>
          <w:szCs w:val="21"/>
          <w:highlight w:val="none"/>
          <w:lang w:val="en-US" w:eastAsia="zh-CN"/>
        </w:rPr>
        <w:t>下</w:t>
      </w:r>
      <w:r>
        <w:rPr>
          <w:rFonts w:hint="eastAsia" w:ascii="宋体" w:hAnsi="宋体" w:eastAsia="宋体"/>
          <w:bCs/>
          <w:color w:val="auto"/>
          <w:sz w:val="21"/>
          <w:szCs w:val="21"/>
          <w:highlight w:val="none"/>
        </w:rPr>
        <w:t>午</w:t>
      </w:r>
      <w:r>
        <w:rPr>
          <w:rFonts w:hint="eastAsia" w:ascii="宋体" w:hAnsi="宋体" w:eastAsia="宋体"/>
          <w:bCs/>
          <w:color w:val="auto"/>
          <w:sz w:val="21"/>
          <w:szCs w:val="21"/>
          <w:highlight w:val="none"/>
          <w:lang w:val="en-US" w:eastAsia="zh-CN"/>
        </w:rPr>
        <w:t>14</w:t>
      </w:r>
      <w:r>
        <w:rPr>
          <w:rFonts w:hint="eastAsia" w:ascii="宋体" w:hAnsi="宋体" w:eastAsia="宋体"/>
          <w:bCs/>
          <w:color w:val="auto"/>
          <w:sz w:val="21"/>
          <w:szCs w:val="21"/>
          <w:highlight w:val="none"/>
        </w:rPr>
        <w:t>时30分。</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3、</w:t>
      </w:r>
      <w:r>
        <w:rPr>
          <w:rFonts w:ascii="宋体" w:hAnsi="宋体" w:eastAsia="宋体"/>
          <w:bCs/>
          <w:color w:val="auto"/>
          <w:sz w:val="21"/>
          <w:szCs w:val="21"/>
          <w:highlight w:val="none"/>
        </w:rPr>
        <w:t>开标地点：</w:t>
      </w:r>
      <w:r>
        <w:rPr>
          <w:rFonts w:hint="eastAsia" w:ascii="宋体" w:hAnsi="宋体" w:eastAsia="宋体"/>
          <w:color w:val="auto"/>
          <w:sz w:val="21"/>
          <w:szCs w:val="21"/>
          <w:highlight w:val="none"/>
        </w:rPr>
        <w:t>东莞市南城街道鸿福西路81号国际商会大厦13A01室</w:t>
      </w:r>
      <w:r>
        <w:rPr>
          <w:rFonts w:hint="eastAsia" w:ascii="宋体" w:hAnsi="宋体" w:eastAsia="宋体"/>
          <w:bCs/>
          <w:color w:val="auto"/>
          <w:sz w:val="21"/>
          <w:szCs w:val="21"/>
          <w:highlight w:val="none"/>
        </w:rPr>
        <w:t>。</w:t>
      </w:r>
    </w:p>
    <w:p>
      <w:pPr>
        <w:spacing w:after="0" w:line="360" w:lineRule="auto"/>
        <w:ind w:firstLine="411" w:firstLineChars="196"/>
        <w:rPr>
          <w:rFonts w:ascii="宋体" w:hAnsi="宋体" w:eastAsia="宋体"/>
          <w:bCs/>
          <w:color w:val="auto"/>
          <w:sz w:val="21"/>
          <w:szCs w:val="21"/>
          <w:highlight w:val="none"/>
        </w:rPr>
      </w:pPr>
    </w:p>
    <w:p>
      <w:pPr>
        <w:spacing w:after="0" w:line="360" w:lineRule="auto"/>
        <w:ind w:firstLine="413" w:firstLineChars="196"/>
        <w:rPr>
          <w:rFonts w:ascii="宋体" w:hAnsi="宋体" w:eastAsia="宋体"/>
          <w:bCs/>
          <w:color w:val="auto"/>
          <w:sz w:val="21"/>
          <w:szCs w:val="21"/>
          <w:highlight w:val="none"/>
        </w:rPr>
      </w:pPr>
      <w:r>
        <w:rPr>
          <w:rFonts w:hint="eastAsia" w:ascii="宋体" w:hAnsi="宋体" w:eastAsia="宋体"/>
          <w:b/>
          <w:color w:val="auto"/>
          <w:sz w:val="21"/>
          <w:szCs w:val="21"/>
          <w:highlight w:val="none"/>
          <w:lang w:val="en-US" w:eastAsia="zh-CN"/>
        </w:rPr>
        <w:t>六</w:t>
      </w:r>
      <w:r>
        <w:rPr>
          <w:rFonts w:hint="eastAsia" w:ascii="宋体" w:hAnsi="宋体" w:eastAsia="宋体"/>
          <w:b/>
          <w:color w:val="auto"/>
          <w:sz w:val="21"/>
          <w:szCs w:val="21"/>
          <w:highlight w:val="none"/>
        </w:rPr>
        <w:t>、采购人及采购代理机构的名称、地址和联系方法：</w:t>
      </w:r>
    </w:p>
    <w:p>
      <w:pPr>
        <w:spacing w:after="0" w:line="360" w:lineRule="auto"/>
        <w:ind w:firstLine="420" w:firstLineChars="200"/>
        <w:rPr>
          <w:rFonts w:hint="eastAsia"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rPr>
        <w:t>采购人联系人：</w:t>
      </w:r>
      <w:r>
        <w:rPr>
          <w:rFonts w:hint="eastAsia" w:ascii="宋体" w:hAnsi="宋体" w:eastAsia="宋体"/>
          <w:bCs/>
          <w:color w:val="auto"/>
          <w:sz w:val="21"/>
          <w:szCs w:val="21"/>
          <w:highlight w:val="none"/>
          <w:lang w:val="en-US" w:eastAsia="zh-CN"/>
        </w:rPr>
        <w:t>周工</w:t>
      </w:r>
    </w:p>
    <w:p>
      <w:pPr>
        <w:spacing w:after="0" w:line="360" w:lineRule="auto"/>
        <w:ind w:firstLine="420" w:firstLineChars="200"/>
        <w:rPr>
          <w:rFonts w:hint="default"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rPr>
        <w:t>地址：</w:t>
      </w:r>
      <w:r>
        <w:rPr>
          <w:rFonts w:hint="eastAsia" w:ascii="宋体" w:hAnsi="宋体" w:eastAsia="宋体"/>
          <w:bCs/>
          <w:color w:val="auto"/>
          <w:sz w:val="21"/>
          <w:szCs w:val="21"/>
          <w:highlight w:val="none"/>
          <w:lang w:val="en-US" w:eastAsia="zh-CN"/>
        </w:rPr>
        <w:t>东莞市麻涌镇</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联系电话：</w:t>
      </w:r>
      <w:r>
        <w:rPr>
          <w:rFonts w:hint="eastAsia" w:ascii="宋体" w:hAnsi="宋体" w:eastAsia="宋体"/>
          <w:bCs/>
          <w:color w:val="auto"/>
          <w:sz w:val="21"/>
          <w:szCs w:val="21"/>
          <w:highlight w:val="none"/>
          <w:lang w:val="en-US" w:eastAsia="zh-CN"/>
        </w:rPr>
        <w:t>0769-88236889</w:t>
      </w:r>
    </w:p>
    <w:p>
      <w:pPr>
        <w:spacing w:after="0" w:line="360" w:lineRule="auto"/>
        <w:ind w:firstLine="420" w:firstLineChars="200"/>
        <w:rPr>
          <w:rFonts w:ascii="宋体" w:hAnsi="宋体" w:eastAsia="宋体"/>
          <w:color w:val="auto"/>
          <w:sz w:val="21"/>
          <w:szCs w:val="21"/>
          <w:highlight w:val="none"/>
        </w:rPr>
      </w:pPr>
    </w:p>
    <w:p>
      <w:pPr>
        <w:pStyle w:val="2"/>
        <w:rPr>
          <w:color w:val="auto"/>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采购代理机构名称：广东政通招标有限公司</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地址：东莞市南城街道鸿福西路81号国际商会大厦13A01室。</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采购代理机构联系人：杨俊平</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联系电话：0769-22881803</w:t>
      </w:r>
    </w:p>
    <w:p>
      <w:pPr>
        <w:spacing w:after="0" w:line="360" w:lineRule="auto"/>
        <w:ind w:firstLine="420" w:firstLineChars="200"/>
        <w:rPr>
          <w:rFonts w:eastAsia="宋体"/>
          <w:color w:val="auto"/>
          <w:highlight w:val="none"/>
        </w:rPr>
      </w:pPr>
      <w:r>
        <w:rPr>
          <w:rFonts w:hint="eastAsia" w:ascii="宋体" w:hAnsi="宋体" w:eastAsia="宋体"/>
          <w:color w:val="auto"/>
          <w:sz w:val="21"/>
          <w:szCs w:val="21"/>
          <w:highlight w:val="none"/>
        </w:rPr>
        <w:t>E－ mail：769552785@qq.com</w:t>
      </w:r>
    </w:p>
    <w:p>
      <w:pPr>
        <w:rPr>
          <w:color w:val="auto"/>
          <w:highlight w:val="none"/>
        </w:rPr>
      </w:pPr>
    </w:p>
    <w:p>
      <w:pPr>
        <w:ind w:right="788" w:rightChars="358"/>
        <w:jc w:val="both"/>
        <w:rPr>
          <w:color w:val="auto"/>
          <w:highlight w:val="none"/>
        </w:rPr>
      </w:pPr>
    </w:p>
    <w:p>
      <w:pPr>
        <w:ind w:right="788" w:rightChars="358"/>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广东政通招标有限公司</w:t>
      </w:r>
    </w:p>
    <w:p>
      <w:pPr>
        <w:ind w:left="6481" w:leftChars="2755" w:hanging="420" w:hanging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04</w:t>
      </w:r>
      <w:r>
        <w:rPr>
          <w:rFonts w:hint="eastAsia" w:ascii="宋体" w:hAnsi="宋体" w:eastAsia="宋体" w:cs="宋体"/>
          <w:color w:val="auto"/>
          <w:sz w:val="21"/>
          <w:szCs w:val="21"/>
          <w:highlight w:val="none"/>
        </w:rPr>
        <w:t>月</w:t>
      </w:r>
    </w:p>
    <w:p>
      <w:pPr>
        <w:ind w:left="6481" w:leftChars="2755" w:hanging="420" w:hangingChars="200"/>
        <w:rPr>
          <w:rFonts w:ascii="黑体" w:hAnsi="宋体" w:eastAsia="黑体"/>
          <w:color w:val="auto"/>
          <w:highlight w:val="none"/>
        </w:rPr>
      </w:pPr>
      <w:r>
        <w:rPr>
          <w:rFonts w:hint="eastAsia" w:ascii="宋体" w:hAnsi="宋体" w:eastAsia="宋体" w:cs="宋体"/>
          <w:color w:val="auto"/>
          <w:sz w:val="21"/>
          <w:szCs w:val="21"/>
          <w:highlight w:val="none"/>
        </w:rPr>
        <w:br w:type="page"/>
      </w:r>
    </w:p>
    <w:p>
      <w:pPr>
        <w:pStyle w:val="4"/>
        <w:spacing w:before="0" w:after="0" w:line="240" w:lineRule="auto"/>
        <w:rPr>
          <w:color w:val="auto"/>
          <w:sz w:val="28"/>
          <w:szCs w:val="28"/>
          <w:highlight w:val="none"/>
        </w:rPr>
      </w:pPr>
      <w:bookmarkStart w:id="1" w:name="_Toc14146"/>
      <w:r>
        <w:rPr>
          <w:rFonts w:hint="eastAsia"/>
          <w:color w:val="auto"/>
          <w:sz w:val="28"/>
          <w:szCs w:val="28"/>
          <w:highlight w:val="none"/>
        </w:rPr>
        <w:t>第二部分 相关资料表格</w:t>
      </w:r>
      <w:bookmarkEnd w:id="1"/>
    </w:p>
    <w:p>
      <w:pPr>
        <w:pStyle w:val="5"/>
        <w:spacing w:after="0" w:line="240" w:lineRule="auto"/>
        <w:jc w:val="center"/>
        <w:rPr>
          <w:rFonts w:ascii="宋体" w:hAnsi="宋体" w:cs="宋体"/>
          <w:color w:val="auto"/>
          <w:szCs w:val="24"/>
          <w:highlight w:val="none"/>
        </w:rPr>
      </w:pPr>
      <w:bookmarkStart w:id="2" w:name="_Toc20683"/>
      <w:r>
        <w:rPr>
          <w:rFonts w:hint="eastAsia" w:ascii="宋体" w:hAnsi="宋体" w:cs="宋体"/>
          <w:color w:val="auto"/>
          <w:szCs w:val="24"/>
          <w:highlight w:val="none"/>
        </w:rPr>
        <w:t>附表一：投标资料表</w:t>
      </w:r>
      <w:bookmarkEnd w:id="2"/>
    </w:p>
    <w:tbl>
      <w:tblPr>
        <w:tblStyle w:val="19"/>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1158"/>
        <w:gridCol w:w="75"/>
        <w:gridCol w:w="3691"/>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内容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cantSplit/>
          <w:trHeight w:val="551"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Cs/>
                <w:color w:val="auto"/>
                <w:sz w:val="21"/>
                <w:szCs w:val="21"/>
                <w:highlight w:val="none"/>
              </w:rPr>
              <w:t>与项目预算一致。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color w:val="auto"/>
                <w:sz w:val="21"/>
                <w:szCs w:val="21"/>
                <w:highlight w:val="none"/>
              </w:rPr>
              <w:t>财政性资金。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是否为专门面向中小企业采购的采购项目</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Cs/>
                <w:color w:val="auto"/>
                <w:sz w:val="21"/>
                <w:szCs w:val="21"/>
                <w:highlight w:val="none"/>
              </w:rPr>
              <w:t>是</w:t>
            </w:r>
            <w:r>
              <w:rPr>
                <w:rFonts w:hint="eastAsia" w:ascii="宋体" w:hAnsi="宋体" w:eastAsia="宋体"/>
                <w:bCs/>
                <w:color w:val="auto"/>
                <w:sz w:val="21"/>
                <w:szCs w:val="21"/>
                <w:highlight w:val="none"/>
              </w:rPr>
              <w:sym w:font="Wingdings" w:char="00A8"/>
            </w:r>
            <w:r>
              <w:rPr>
                <w:rFonts w:hint="eastAsia" w:ascii="宋体" w:hAnsi="宋体" w:eastAsia="宋体"/>
                <w:bCs/>
                <w:color w:val="auto"/>
                <w:sz w:val="21"/>
                <w:szCs w:val="21"/>
                <w:highlight w:val="none"/>
              </w:rPr>
              <w:t xml:space="preserve">    否</w:t>
            </w:r>
            <w:r>
              <w:rPr>
                <w:rFonts w:hint="eastAsia" w:ascii="宋体" w:hAnsi="宋体" w:eastAsia="宋体"/>
                <w:bCs/>
                <w:color w:val="auto"/>
                <w:sz w:val="21"/>
                <w:szCs w:val="21"/>
                <w:highlight w:val="none"/>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4</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Cs/>
                <w:color w:val="auto"/>
                <w:sz w:val="21"/>
                <w:szCs w:val="21"/>
                <w:highlight w:val="none"/>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60"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4</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招标信息发布网站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841"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广东省政府采购网</w:t>
            </w:r>
          </w:p>
        </w:tc>
        <w:tc>
          <w:tcPr>
            <w:tcW w:w="3691"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841"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color w:val="auto"/>
                <w:sz w:val="21"/>
                <w:szCs w:val="21"/>
                <w:highlight w:val="none"/>
              </w:rPr>
              <w:t>https://gdgpo.czt.gd.gov.cn/</w:t>
            </w:r>
          </w:p>
        </w:tc>
        <w:tc>
          <w:tcPr>
            <w:tcW w:w="3691" w:type="dxa"/>
            <w:vAlign w:val="center"/>
          </w:tcPr>
          <w:p>
            <w:pPr>
              <w:spacing w:after="0"/>
              <w:jc w:val="center"/>
              <w:rPr>
                <w:rFonts w:ascii="宋体" w:hAnsi="宋体" w:eastAsia="宋体"/>
                <w:b/>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45"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二、投标文件的编制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5</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投标语言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color w:val="auto"/>
                <w:sz w:val="21"/>
                <w:szCs w:val="21"/>
                <w:highlight w:val="none"/>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6</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投标报价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详见投标人须知。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7</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投标样品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详见用户需求。</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8</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both"/>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“●”为核心产品(本项目为服务类项目，无核心产品)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70"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9</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投标保证金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bCs/>
                <w:color w:val="auto"/>
                <w:sz w:val="21"/>
                <w:szCs w:val="21"/>
                <w:highlight w:val="none"/>
              </w:rPr>
              <w:t>（1）投标保证金金额：人民币贰拾玖万元整（￥290,000.00）。</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zh-CN"/>
              </w:rPr>
              <w:t>投标保证金须严格按“招标文件第</w:t>
            </w:r>
            <w:r>
              <w:rPr>
                <w:rFonts w:hint="eastAsia" w:ascii="宋体" w:hAnsi="宋体" w:eastAsia="宋体"/>
                <w:color w:val="auto"/>
                <w:sz w:val="21"/>
                <w:szCs w:val="21"/>
                <w:highlight w:val="none"/>
              </w:rPr>
              <w:t>四部分</w:t>
            </w:r>
            <w:r>
              <w:rPr>
                <w:rFonts w:hint="eastAsia" w:ascii="宋体" w:hAnsi="宋体" w:eastAsia="宋体"/>
                <w:color w:val="auto"/>
                <w:sz w:val="21"/>
                <w:szCs w:val="21"/>
                <w:highlight w:val="none"/>
                <w:lang w:val="en-US" w:eastAsia="zh-CN"/>
              </w:rPr>
              <w:t>投</w:t>
            </w:r>
            <w:r>
              <w:rPr>
                <w:rFonts w:hint="eastAsia" w:ascii="宋体" w:hAnsi="宋体" w:eastAsia="宋体"/>
                <w:color w:val="auto"/>
                <w:sz w:val="21"/>
                <w:szCs w:val="21"/>
                <w:highlight w:val="none"/>
                <w:lang w:val="zh-CN"/>
              </w:rPr>
              <w:t>标人须知”要求提交。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160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（3）保证金递交账户：</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收款人：广东政通招标有限公司</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开户行：广发银行股份有限公司东莞新城支行</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帐  号：6232590699050026143</w:t>
            </w:r>
          </w:p>
          <w:p>
            <w:pPr>
              <w:spacing w:after="0"/>
              <w:jc w:val="both"/>
              <w:rPr>
                <w:color w:val="auto"/>
                <w:highlight w:val="none"/>
              </w:rPr>
            </w:pPr>
            <w:r>
              <w:rPr>
                <w:rFonts w:hint="eastAsia" w:ascii="宋体" w:hAnsi="宋体" w:eastAsia="宋体"/>
                <w:color w:val="auto"/>
                <w:sz w:val="21"/>
                <w:szCs w:val="21"/>
                <w:highlight w:val="none"/>
                <w:lang w:val="zh-CN"/>
              </w:rPr>
              <w:t>（各投标人在转帐或电汇时须在用途栏上写明采购项目编号）。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10</w:t>
            </w:r>
          </w:p>
        </w:tc>
        <w:tc>
          <w:tcPr>
            <w:tcW w:w="7532" w:type="dxa"/>
            <w:gridSpan w:val="4"/>
            <w:vAlign w:val="center"/>
          </w:tcPr>
          <w:p>
            <w:pPr>
              <w:spacing w:after="0"/>
              <w:jc w:val="both"/>
              <w:rPr>
                <w:rFonts w:ascii="宋体" w:hAnsi="宋体" w:eastAsia="宋体"/>
                <w:b/>
                <w:bCs/>
                <w:color w:val="auto"/>
                <w:sz w:val="21"/>
                <w:szCs w:val="21"/>
                <w:highlight w:val="none"/>
                <w:lang w:val="zh-CN"/>
              </w:rPr>
            </w:pPr>
            <w:r>
              <w:rPr>
                <w:rFonts w:hint="eastAsia" w:ascii="宋体" w:hAnsi="宋体" w:eastAsia="宋体"/>
                <w:b/>
                <w:bCs/>
                <w:color w:val="auto"/>
                <w:sz w:val="21"/>
                <w:szCs w:val="21"/>
                <w:highlight w:val="none"/>
                <w:lang w:val="zh-CN"/>
              </w:rPr>
              <w:t>投标保证金退还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zh-CN"/>
              </w:rPr>
              <w:t>）未中标的投标人的保证金在采购结果公示发出后5个工作日内退还，中标投标人的保证金在采购合同签订后5个工作日内退还。</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zh-CN"/>
              </w:rPr>
              <w:t>）为方便退还未中标的投保人的保证金，投标人应制作《投标保证金汇入情况说明》随开标文件一并递交。</w:t>
            </w:r>
          </w:p>
          <w:p>
            <w:pPr>
              <w:spacing w:after="0"/>
              <w:jc w:val="both"/>
              <w:rPr>
                <w:rFonts w:eastAsia="宋体"/>
                <w:color w:val="auto"/>
                <w:highlight w:val="none"/>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3</w:t>
            </w:r>
            <w:r>
              <w:rPr>
                <w:rFonts w:hint="eastAsia" w:ascii="宋体" w:hAnsi="宋体" w:eastAsia="宋体"/>
                <w:color w:val="auto"/>
                <w:sz w:val="21"/>
                <w:szCs w:val="21"/>
                <w:highlight w:val="none"/>
                <w:lang w:val="zh-CN"/>
              </w:rPr>
              <w:t>）投标保证金退还联系电话：</w:t>
            </w:r>
            <w:r>
              <w:rPr>
                <w:rFonts w:hint="eastAsia" w:ascii="宋体" w:hAnsi="宋体" w:eastAsia="宋体"/>
                <w:color w:val="auto"/>
                <w:sz w:val="21"/>
                <w:szCs w:val="21"/>
                <w:highlight w:val="none"/>
              </w:rPr>
              <w:t>0769-22881803。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11</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投标有效期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12</w:t>
            </w:r>
          </w:p>
        </w:tc>
        <w:tc>
          <w:tcPr>
            <w:tcW w:w="7532" w:type="dxa"/>
            <w:gridSpan w:val="4"/>
            <w:vAlign w:val="center"/>
          </w:tcPr>
          <w:p>
            <w:pPr>
              <w:spacing w:after="0"/>
              <w:jc w:val="center"/>
              <w:rPr>
                <w:rFonts w:ascii="宋体" w:hAnsi="宋体" w:eastAsia="宋体"/>
                <w:color w:val="auto"/>
                <w:sz w:val="21"/>
                <w:szCs w:val="21"/>
                <w:highlight w:val="none"/>
              </w:rPr>
            </w:pPr>
            <w:r>
              <w:rPr>
                <w:rFonts w:hint="eastAsia" w:ascii="宋体" w:hAnsi="宋体" w:eastAsia="宋体"/>
                <w:b/>
                <w:color w:val="auto"/>
                <w:sz w:val="21"/>
                <w:szCs w:val="21"/>
                <w:highlight w:val="none"/>
              </w:rPr>
              <w:t>信用信息查询渠道</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6"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信用中国</w:t>
            </w:r>
          </w:p>
        </w:tc>
        <w:tc>
          <w:tcPr>
            <w:tcW w:w="3766"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6" w:type="dxa"/>
            <w:gridSpan w:val="2"/>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https://www.creditchina.gov.cn/</w:t>
            </w:r>
          </w:p>
        </w:tc>
        <w:tc>
          <w:tcPr>
            <w:tcW w:w="3766" w:type="dxa"/>
            <w:gridSpan w:val="2"/>
            <w:vAlign w:val="center"/>
          </w:tcPr>
          <w:p>
            <w:pPr>
              <w:spacing w:after="0"/>
              <w:jc w:val="center"/>
              <w:rPr>
                <w:rFonts w:ascii="宋体" w:hAnsi="宋体" w:eastAsia="宋体"/>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13</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投标人应提交以下投标文件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9"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投标文件类型</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开标文件</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投标文件正本</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投标文件副本</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7</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电子文档</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三、开标与评标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14</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15</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综合评分法评分因素和权重分值</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见附表二。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16</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小型或微型企业、监狱企业、残疾人福利性单位投标价格折扣标准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6%。</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投标人符合须知“优惠政策”中联合体规定的投标价格折扣标准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对于联合协议或者分包意向协议约定小微企业的合同份额占到合同总金额30%以上的，报价给予</w:t>
            </w:r>
            <w:r>
              <w:rPr>
                <w:rFonts w:ascii="宋体" w:hAnsi="宋体" w:eastAsia="宋体"/>
                <w:b/>
                <w:bCs/>
                <w:color w:val="auto"/>
                <w:sz w:val="21"/>
                <w:szCs w:val="21"/>
                <w:highlight w:val="none"/>
                <w:u w:val="single"/>
              </w:rPr>
              <w:t>2%</w:t>
            </w:r>
            <w:r>
              <w:rPr>
                <w:rFonts w:hint="eastAsia" w:ascii="宋体" w:hAnsi="宋体" w:eastAsia="宋体"/>
                <w:color w:val="auto"/>
                <w:sz w:val="21"/>
                <w:szCs w:val="21"/>
                <w:highlight w:val="none"/>
              </w:rPr>
              <w:t>的扣除。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bCs/>
                <w:color w:val="auto"/>
                <w:sz w:val="21"/>
                <w:szCs w:val="21"/>
                <w:highlight w:val="none"/>
              </w:rPr>
              <w:t>投标人所投产品为获得节能产品认证或环境标志产品认证证书的价格折扣标准（相关规定详见投标人须知“优惠政策”）</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该项节能或环境标志产品折扣3%。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17"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17</w:t>
            </w:r>
          </w:p>
        </w:tc>
        <w:tc>
          <w:tcPr>
            <w:tcW w:w="7532" w:type="dxa"/>
            <w:gridSpan w:val="4"/>
            <w:shd w:val="clear" w:color="auto" w:fill="auto"/>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履约保证金（如有需要）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shd w:val="clear" w:color="auto" w:fill="auto"/>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履约保证金的数额为政府采购合同金额的10%。</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18</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中标服务费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中标服务费根据国家计委[计价格[2002]1980号]文和国家发改委[发改价格[2011]534号]文及相关规定向中标单位收取，按差额定率累进法计算，以中标通知书中确定的中标总金额作为收费的计算依据；中标服务费最低收费标准为伍仟元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（2）中标服务费以转账或现金的形式支付。采购代理机构服务费汇入账号：</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收 款 人：广东政通招标有限公司</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开户银行：广发银行股份有限公司东莞南城支行</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账　　号：9550880331235700173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820" w:hRule="atLeast"/>
        </w:trPr>
        <w:tc>
          <w:tcPr>
            <w:tcW w:w="8410" w:type="dxa"/>
            <w:gridSpan w:val="5"/>
            <w:vAlign w:val="center"/>
          </w:tcPr>
          <w:p>
            <w:pPr>
              <w:widowControl w:val="0"/>
              <w:tabs>
                <w:tab w:val="left" w:pos="907"/>
              </w:tabs>
              <w:adjustRightInd/>
              <w:snapToGrid/>
              <w:spacing w:after="0"/>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注：本表关于要采购项目的具体资料，是对投标人须知的具体补充和修改，如有矛盾，应以本资料表为准。</w:t>
            </w:r>
          </w:p>
        </w:tc>
      </w:tr>
    </w:tbl>
    <w:p>
      <w:pPr>
        <w:jc w:val="center"/>
        <w:rPr>
          <w:color w:val="auto"/>
          <w:highlight w:val="none"/>
        </w:rPr>
      </w:pPr>
      <w:r>
        <w:rPr>
          <w:rFonts w:hint="eastAsia"/>
          <w:color w:val="auto"/>
          <w:highlight w:val="none"/>
        </w:rPr>
        <w:br w:type="page"/>
      </w:r>
    </w:p>
    <w:p>
      <w:pPr>
        <w:pStyle w:val="5"/>
        <w:spacing w:after="0" w:line="240" w:lineRule="auto"/>
        <w:jc w:val="center"/>
        <w:rPr>
          <w:rFonts w:ascii="宋体" w:hAnsi="宋体" w:cs="宋体"/>
          <w:color w:val="auto"/>
          <w:szCs w:val="24"/>
          <w:highlight w:val="none"/>
        </w:rPr>
      </w:pPr>
      <w:bookmarkStart w:id="3" w:name="_Toc9572"/>
      <w:r>
        <w:rPr>
          <w:rFonts w:hint="eastAsia" w:ascii="宋体" w:hAnsi="宋体" w:cs="宋体"/>
          <w:color w:val="auto"/>
          <w:szCs w:val="24"/>
          <w:highlight w:val="none"/>
        </w:rPr>
        <w:t>附表二：商务技术评分及价格权重表</w:t>
      </w:r>
      <w:bookmarkEnd w:id="3"/>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136"/>
        <w:gridCol w:w="668"/>
        <w:gridCol w:w="6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136"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668"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6028"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val="en-US" w:eastAsia="zh-CN"/>
              </w:rPr>
              <w:t>30</w:t>
            </w:r>
            <w:r>
              <w:rPr>
                <w:rFonts w:hint="eastAsia" w:asci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690" w:type="dxa"/>
            <w:tcBorders>
              <w:left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136" w:type="dxa"/>
            <w:tcBorders>
              <w:left w:val="single" w:color="auto" w:sz="4" w:space="0"/>
              <w:right w:val="single" w:color="auto" w:sz="4" w:space="0"/>
            </w:tcBorders>
            <w:vAlign w:val="center"/>
          </w:tcPr>
          <w:p>
            <w:pPr>
              <w:pStyle w:val="31"/>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项目业绩</w:t>
            </w:r>
          </w:p>
          <w:p>
            <w:pPr>
              <w:pStyle w:val="31"/>
              <w:spacing w:line="240" w:lineRule="auto"/>
              <w:ind w:firstLine="0" w:firstLineChars="0"/>
              <w:jc w:val="center"/>
              <w:rPr>
                <w:rFonts w:ascii="宋体" w:eastAsia="宋体" w:cs="宋体"/>
                <w:color w:val="auto"/>
                <w:sz w:val="21"/>
                <w:szCs w:val="21"/>
                <w:highlight w:val="none"/>
              </w:rPr>
            </w:pPr>
          </w:p>
        </w:tc>
        <w:tc>
          <w:tcPr>
            <w:tcW w:w="668"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2</w:t>
            </w:r>
            <w:r>
              <w:rPr>
                <w:rFonts w:hint="eastAsia" w:ascii="宋体" w:eastAsia="宋体" w:cs="宋体"/>
                <w:color w:val="auto"/>
                <w:sz w:val="21"/>
                <w:szCs w:val="21"/>
                <w:highlight w:val="none"/>
                <w:lang w:val="en-US" w:eastAsia="zh-CN"/>
              </w:rPr>
              <w:t>5</w:t>
            </w:r>
          </w:p>
        </w:tc>
        <w:tc>
          <w:tcPr>
            <w:tcW w:w="602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ind w:firstLine="420" w:firstLineChars="200"/>
              <w:rPr>
                <w:rFonts w:ascii="宋体" w:eastAsia="宋体" w:cs="宋体"/>
                <w:bCs/>
                <w:color w:val="auto"/>
                <w:sz w:val="21"/>
                <w:szCs w:val="21"/>
                <w:highlight w:val="none"/>
                <w:lang w:val="pt-BR"/>
              </w:rPr>
            </w:pPr>
            <w:r>
              <w:rPr>
                <w:rFonts w:hint="eastAsia" w:ascii="宋体" w:eastAsia="宋体" w:cs="宋体"/>
                <w:bCs/>
                <w:color w:val="auto"/>
                <w:sz w:val="21"/>
                <w:szCs w:val="21"/>
                <w:highlight w:val="none"/>
                <w:lang w:val="pt-BR"/>
              </w:rPr>
              <w:t>根据投标人具有照明工程或照明养护项目业绩进行评审，每提供一个业绩合同得</w:t>
            </w:r>
            <w:r>
              <w:rPr>
                <w:rFonts w:hint="eastAsia" w:ascii="宋体" w:eastAsia="宋体" w:cs="宋体"/>
                <w:bCs/>
                <w:color w:val="auto"/>
                <w:sz w:val="21"/>
                <w:szCs w:val="21"/>
                <w:highlight w:val="none"/>
              </w:rPr>
              <w:t>5</w:t>
            </w:r>
            <w:r>
              <w:rPr>
                <w:rFonts w:hint="eastAsia" w:ascii="宋体" w:eastAsia="宋体" w:cs="宋体"/>
                <w:bCs/>
                <w:color w:val="auto"/>
                <w:sz w:val="21"/>
                <w:szCs w:val="21"/>
                <w:highlight w:val="none"/>
                <w:lang w:val="pt-BR"/>
              </w:rPr>
              <w:t>分，最高得</w:t>
            </w:r>
            <w:r>
              <w:rPr>
                <w:rFonts w:hint="eastAsia" w:ascii="宋体" w:eastAsia="宋体" w:cs="宋体"/>
                <w:bCs/>
                <w:color w:val="auto"/>
                <w:sz w:val="21"/>
                <w:szCs w:val="21"/>
                <w:highlight w:val="none"/>
                <w:lang w:val="en-US" w:eastAsia="zh-CN"/>
              </w:rPr>
              <w:t>25</w:t>
            </w:r>
            <w:r>
              <w:rPr>
                <w:rFonts w:hint="eastAsia" w:ascii="宋体" w:eastAsia="宋体" w:cs="宋体"/>
                <w:bCs/>
                <w:color w:val="auto"/>
                <w:sz w:val="21"/>
                <w:szCs w:val="21"/>
                <w:highlight w:val="none"/>
                <w:lang w:val="pt-BR"/>
              </w:rPr>
              <w:t xml:space="preserve">分。 </w:t>
            </w:r>
          </w:p>
          <w:p>
            <w:pPr>
              <w:pStyle w:val="31"/>
              <w:spacing w:line="360" w:lineRule="auto"/>
              <w:ind w:firstLine="420" w:firstLineChars="200"/>
              <w:rPr>
                <w:rFonts w:ascii="宋体" w:eastAsia="宋体" w:cs="宋体"/>
                <w:bCs/>
                <w:color w:val="auto"/>
                <w:sz w:val="21"/>
                <w:szCs w:val="21"/>
                <w:highlight w:val="none"/>
                <w:lang w:val="pt-BR"/>
              </w:rPr>
            </w:pPr>
            <w:r>
              <w:rPr>
                <w:rFonts w:hint="eastAsia" w:ascii="宋体" w:eastAsia="宋体" w:cs="宋体"/>
                <w:bCs/>
                <w:color w:val="auto"/>
                <w:sz w:val="21"/>
                <w:szCs w:val="21"/>
                <w:highlight w:val="none"/>
                <w:lang w:val="pt-BR"/>
              </w:rPr>
              <w:t>注：须提供合同复印件加盖投标人公章</w:t>
            </w:r>
            <w:r>
              <w:rPr>
                <w:rFonts w:hint="eastAsia" w:ascii="宋体" w:eastAsia="宋体" w:cs="宋体"/>
                <w:bCs/>
                <w:color w:val="auto"/>
                <w:sz w:val="21"/>
                <w:szCs w:val="21"/>
                <w:highlight w:val="none"/>
                <w:lang w:eastAsia="zh-CN"/>
              </w:rPr>
              <w:t>，</w:t>
            </w:r>
            <w:r>
              <w:rPr>
                <w:rFonts w:hint="eastAsia" w:ascii="宋体" w:eastAsia="宋体" w:cs="宋体"/>
                <w:bCs/>
                <w:color w:val="auto"/>
                <w:sz w:val="21"/>
                <w:szCs w:val="21"/>
                <w:highlight w:val="none"/>
                <w:lang w:val="en-US" w:eastAsia="zh-CN"/>
              </w:rPr>
              <w:t>否则不得分</w:t>
            </w:r>
            <w:r>
              <w:rPr>
                <w:rFonts w:hint="eastAsia" w:ascii="宋体" w:eastAsia="宋体" w:cs="宋体"/>
                <w:bCs/>
                <w:color w:val="auto"/>
                <w:sz w:val="21"/>
                <w:szCs w:val="21"/>
                <w:highlight w:val="none"/>
                <w:lang w:val="pt-B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1136"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bCs/>
                <w:color w:val="auto"/>
                <w:sz w:val="21"/>
                <w:szCs w:val="21"/>
                <w:highlight w:val="none"/>
              </w:rPr>
              <w:t>服务响应</w:t>
            </w:r>
          </w:p>
        </w:tc>
        <w:tc>
          <w:tcPr>
            <w:tcW w:w="668"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5</w:t>
            </w:r>
          </w:p>
        </w:tc>
        <w:tc>
          <w:tcPr>
            <w:tcW w:w="6028" w:type="dxa"/>
            <w:tcBorders>
              <w:top w:val="single" w:color="auto" w:sz="4" w:space="0"/>
              <w:left w:val="single" w:color="auto" w:sz="4" w:space="0"/>
              <w:bottom w:val="single" w:color="auto" w:sz="4" w:space="0"/>
              <w:right w:val="single" w:color="auto" w:sz="4" w:space="0"/>
            </w:tcBorders>
            <w:vAlign w:val="center"/>
          </w:tcPr>
          <w:p>
            <w:pPr>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根据投标人提供的服务响应时间承诺进行评分。</w:t>
            </w:r>
          </w:p>
          <w:p>
            <w:pPr>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（1）投标人承诺在接到采购人通知后1小时内到现场，得5分；</w:t>
            </w:r>
          </w:p>
          <w:p>
            <w:pPr>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（2）投标人承诺在接到采购人通知后2小时内到现场，得3分；</w:t>
            </w:r>
          </w:p>
          <w:p>
            <w:pPr>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（3）投标人承诺在接到采购人通知后3小时内到现场，得1分；</w:t>
            </w:r>
          </w:p>
          <w:p>
            <w:pPr>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（4）投标人未承诺或承诺在接到采购人通知后超过3小时到现场，不得分。</w:t>
            </w:r>
          </w:p>
          <w:p>
            <w:pPr>
              <w:pStyle w:val="31"/>
              <w:spacing w:line="360" w:lineRule="auto"/>
              <w:ind w:firstLine="420" w:firstLineChars="200"/>
              <w:rPr>
                <w:rFonts w:hint="default" w:ascii="宋体" w:eastAsia="宋体" w:cs="宋体"/>
                <w:color w:val="auto"/>
                <w:sz w:val="21"/>
                <w:szCs w:val="21"/>
                <w:highlight w:val="none"/>
                <w:lang w:val="en-US" w:eastAsia="zh-CN"/>
              </w:rPr>
            </w:pPr>
            <w:r>
              <w:rPr>
                <w:rFonts w:hint="eastAsia" w:ascii="宋体" w:eastAsia="宋体" w:cs="宋体"/>
                <w:bCs/>
                <w:color w:val="auto"/>
                <w:sz w:val="21"/>
                <w:szCs w:val="21"/>
                <w:highlight w:val="none"/>
                <w:lang w:val="en-US" w:eastAsia="zh-CN"/>
              </w:rPr>
              <w:t>注：须</w:t>
            </w:r>
            <w:r>
              <w:rPr>
                <w:rFonts w:hint="eastAsia" w:ascii="宋体" w:eastAsia="宋体" w:cs="宋体"/>
                <w:bCs/>
                <w:color w:val="auto"/>
                <w:sz w:val="21"/>
                <w:szCs w:val="21"/>
                <w:highlight w:val="none"/>
              </w:rPr>
              <w:t>提供服务承诺书并加盖投标人公章</w:t>
            </w:r>
            <w:r>
              <w:rPr>
                <w:rFonts w:hint="eastAsia" w:ascii="宋体" w:eastAsia="宋体" w:cs="宋体"/>
                <w:bCs/>
                <w:color w:val="auto"/>
                <w:sz w:val="21"/>
                <w:szCs w:val="21"/>
                <w:highlight w:val="none"/>
                <w:lang w:eastAsia="zh-CN"/>
              </w:rPr>
              <w:t>，</w:t>
            </w:r>
            <w:r>
              <w:rPr>
                <w:rFonts w:hint="eastAsia" w:ascii="宋体" w:eastAsia="宋体" w:cs="宋体"/>
                <w:bCs/>
                <w:color w:val="auto"/>
                <w:sz w:val="21"/>
                <w:szCs w:val="21"/>
                <w:highlight w:val="none"/>
                <w:lang w:val="en-US" w:eastAsia="zh-CN"/>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31"/>
              <w:spacing w:line="240" w:lineRule="auto"/>
              <w:ind w:firstLine="0" w:firstLineChars="0"/>
              <w:jc w:val="center"/>
              <w:rPr>
                <w:rFonts w:ascii="宋体" w:eastAsia="宋体" w:cs="宋体"/>
                <w:color w:val="auto"/>
                <w:sz w:val="21"/>
                <w:szCs w:val="21"/>
                <w:highlight w:val="none"/>
              </w:rPr>
            </w:pPr>
            <w:r>
              <w:rPr>
                <w:rFonts w:hint="eastAsia" w:ascii="宋体" w:eastAsia="宋体" w:cs="宋体"/>
                <w:b/>
                <w:bCs/>
                <w:color w:val="auto"/>
                <w:sz w:val="21"/>
                <w:szCs w:val="21"/>
                <w:highlight w:val="none"/>
              </w:rPr>
              <w:t>技术评审（5</w:t>
            </w:r>
            <w:r>
              <w:rPr>
                <w:rFonts w:hint="eastAsia" w:ascii="宋体" w:eastAsia="宋体" w:cs="宋体"/>
                <w:b/>
                <w:bCs/>
                <w:color w:val="auto"/>
                <w:sz w:val="21"/>
                <w:szCs w:val="21"/>
                <w:highlight w:val="none"/>
                <w:lang w:val="en-US" w:eastAsia="zh-CN"/>
              </w:rPr>
              <w:t>0</w:t>
            </w:r>
            <w:r>
              <w:rPr>
                <w:rFonts w:hint="eastAsia" w:asci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3</w:t>
            </w:r>
          </w:p>
        </w:tc>
        <w:tc>
          <w:tcPr>
            <w:tcW w:w="1136" w:type="dxa"/>
            <w:tcBorders>
              <w:top w:val="single" w:color="auto" w:sz="4" w:space="0"/>
              <w:left w:val="single" w:color="auto" w:sz="4" w:space="0"/>
              <w:bottom w:val="single" w:color="auto" w:sz="4" w:space="0"/>
              <w:right w:val="single" w:color="auto" w:sz="4" w:space="0"/>
            </w:tcBorders>
            <w:vAlign w:val="center"/>
          </w:tcPr>
          <w:p>
            <w:pPr>
              <w:pStyle w:val="31"/>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 xml:space="preserve">对项目现 </w:t>
            </w:r>
          </w:p>
          <w:p>
            <w:pPr>
              <w:pStyle w:val="31"/>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 xml:space="preserve">状的了解 </w:t>
            </w:r>
          </w:p>
          <w:p>
            <w:pPr>
              <w:pStyle w:val="31"/>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 xml:space="preserve">与认识 </w:t>
            </w:r>
          </w:p>
          <w:p>
            <w:pPr>
              <w:pStyle w:val="31"/>
              <w:spacing w:line="240" w:lineRule="auto"/>
              <w:ind w:firstLine="0" w:firstLineChars="0"/>
              <w:jc w:val="center"/>
              <w:rPr>
                <w:rFonts w:ascii="宋体" w:eastAsia="宋体" w:cs="宋体"/>
                <w:color w:val="auto"/>
                <w:sz w:val="21"/>
                <w:szCs w:val="21"/>
                <w:highlight w:val="none"/>
              </w:rPr>
            </w:pPr>
          </w:p>
        </w:tc>
        <w:tc>
          <w:tcPr>
            <w:tcW w:w="668" w:type="dxa"/>
            <w:tcBorders>
              <w:top w:val="single" w:color="auto" w:sz="4" w:space="0"/>
              <w:left w:val="single" w:color="auto" w:sz="4" w:space="0"/>
              <w:bottom w:val="single" w:color="auto" w:sz="4" w:space="0"/>
              <w:right w:val="single" w:color="auto" w:sz="4" w:space="0"/>
            </w:tcBorders>
            <w:vAlign w:val="center"/>
          </w:tcPr>
          <w:p>
            <w:pPr>
              <w:pStyle w:val="31"/>
              <w:spacing w:line="340" w:lineRule="atLeas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8</w:t>
            </w:r>
          </w:p>
        </w:tc>
        <w:tc>
          <w:tcPr>
            <w:tcW w:w="6028" w:type="dxa"/>
            <w:tcBorders>
              <w:top w:val="single" w:color="auto" w:sz="4" w:space="0"/>
              <w:left w:val="single" w:color="auto" w:sz="4" w:space="0"/>
              <w:bottom w:val="single" w:color="auto" w:sz="4" w:space="0"/>
              <w:right w:val="single" w:color="auto" w:sz="4" w:space="0"/>
            </w:tcBorders>
            <w:vAlign w:val="center"/>
          </w:tcPr>
          <w:p>
            <w:pPr>
              <w:spacing w:after="0"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 xml:space="preserve">根据投标人对项目现状的认识，基础资料调查，重点难点分析等情况进行综合评审： </w:t>
            </w:r>
            <w:bookmarkStart w:id="222" w:name="_GoBack"/>
            <w:bookmarkEnd w:id="222"/>
          </w:p>
          <w:p>
            <w:pPr>
              <w:spacing w:after="0"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 xml:space="preserve">（1）项目现状认识深刻，基础资料调查非常完整，重点难点分析到位，得8分； </w:t>
            </w:r>
          </w:p>
          <w:p>
            <w:pPr>
              <w:spacing w:after="0"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 xml:space="preserve">（2）项目现状认识较为深刻，基础资料调查较为完整，重点难点分析比较到位，得5分； </w:t>
            </w:r>
          </w:p>
          <w:p>
            <w:pPr>
              <w:spacing w:after="0"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 xml:space="preserve">（3）项目现状认识一般，基础资料调查一般完整，重点难点分析一般，得2分； </w:t>
            </w:r>
          </w:p>
          <w:p>
            <w:pPr>
              <w:spacing w:after="0"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 xml:space="preserve">（4）项目现状认识偏弱，基础资料调查不太完整，重点难点分析不到位，得1分； </w:t>
            </w:r>
          </w:p>
          <w:p>
            <w:pPr>
              <w:spacing w:after="0"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 xml:space="preserve">（5）未提供对应方案的不得分。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4</w:t>
            </w:r>
          </w:p>
        </w:tc>
        <w:tc>
          <w:tcPr>
            <w:tcW w:w="1136" w:type="dxa"/>
            <w:tcBorders>
              <w:top w:val="single" w:color="auto" w:sz="4" w:space="0"/>
              <w:left w:val="single" w:color="auto" w:sz="4" w:space="0"/>
              <w:bottom w:val="single" w:color="auto" w:sz="4" w:space="0"/>
              <w:right w:val="single" w:color="auto" w:sz="4" w:space="0"/>
            </w:tcBorders>
            <w:vAlign w:val="center"/>
          </w:tcPr>
          <w:p>
            <w:pPr>
              <w:pStyle w:val="31"/>
              <w:spacing w:line="40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 xml:space="preserve">项目实施 </w:t>
            </w:r>
          </w:p>
          <w:p>
            <w:pPr>
              <w:pStyle w:val="31"/>
              <w:spacing w:line="40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方案</w:t>
            </w:r>
          </w:p>
          <w:p>
            <w:pPr>
              <w:pStyle w:val="31"/>
              <w:spacing w:line="400" w:lineRule="exact"/>
              <w:ind w:firstLine="0" w:firstLineChars="0"/>
              <w:jc w:val="center"/>
              <w:rPr>
                <w:rFonts w:ascii="宋体" w:eastAsia="宋体" w:cs="宋体"/>
                <w:color w:val="auto"/>
                <w:sz w:val="21"/>
                <w:szCs w:val="21"/>
                <w:highlight w:val="none"/>
              </w:rPr>
            </w:pPr>
          </w:p>
        </w:tc>
        <w:tc>
          <w:tcPr>
            <w:tcW w:w="668"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12</w:t>
            </w:r>
          </w:p>
        </w:tc>
        <w:tc>
          <w:tcPr>
            <w:tcW w:w="602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 xml:space="preserve">根据投标人针对本项目包括日常维护方案、巡查检修方案、抢修预案、灯杆及箱体护理、技术资料备案和节假日预案等的方案进行综合评审： </w:t>
            </w:r>
          </w:p>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 xml:space="preserve">（1）项目实施方案全面、详细、科学可行、实操性强，得 </w:t>
            </w:r>
            <w:r>
              <w:rPr>
                <w:rFonts w:hint="eastAsia" w:ascii="宋体" w:eastAsia="宋体" w:cs="宋体"/>
                <w:color w:val="auto"/>
                <w:sz w:val="21"/>
                <w:szCs w:val="21"/>
                <w:highlight w:val="none"/>
              </w:rPr>
              <w:t>12</w:t>
            </w:r>
            <w:r>
              <w:rPr>
                <w:rFonts w:hint="eastAsia" w:ascii="宋体" w:eastAsia="宋体" w:cs="宋体"/>
                <w:color w:val="auto"/>
                <w:sz w:val="21"/>
                <w:szCs w:val="21"/>
                <w:highlight w:val="none"/>
                <w:lang w:val="zh-CN"/>
              </w:rPr>
              <w:t xml:space="preserve">分； </w:t>
            </w:r>
          </w:p>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（2）项目实施方案较为具体、科学、实操性较强，得</w:t>
            </w:r>
            <w:r>
              <w:rPr>
                <w:rFonts w:hint="eastAsia" w:ascii="宋体" w:eastAsia="宋体" w:cs="宋体"/>
                <w:color w:val="auto"/>
                <w:sz w:val="21"/>
                <w:szCs w:val="21"/>
                <w:highlight w:val="none"/>
              </w:rPr>
              <w:t>8</w:t>
            </w:r>
            <w:r>
              <w:rPr>
                <w:rFonts w:hint="eastAsia" w:ascii="宋体" w:eastAsia="宋体" w:cs="宋体"/>
                <w:color w:val="auto"/>
                <w:sz w:val="21"/>
                <w:szCs w:val="21"/>
                <w:highlight w:val="none"/>
                <w:lang w:val="zh-CN"/>
              </w:rPr>
              <w:t xml:space="preserve"> 分； </w:t>
            </w:r>
          </w:p>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（3）项目实施方案内容一般、实操性一般，得</w:t>
            </w:r>
            <w:r>
              <w:rPr>
                <w:rFonts w:hint="eastAsia" w:ascii="宋体" w:eastAsia="宋体" w:cs="宋体"/>
                <w:color w:val="auto"/>
                <w:sz w:val="21"/>
                <w:szCs w:val="21"/>
                <w:highlight w:val="none"/>
              </w:rPr>
              <w:t>4</w:t>
            </w:r>
            <w:r>
              <w:rPr>
                <w:rFonts w:hint="eastAsia" w:ascii="宋体" w:eastAsia="宋体" w:cs="宋体"/>
                <w:color w:val="auto"/>
                <w:sz w:val="21"/>
                <w:szCs w:val="21"/>
                <w:highlight w:val="none"/>
                <w:lang w:val="zh-CN"/>
              </w:rPr>
              <w:t xml:space="preserve">分； </w:t>
            </w:r>
          </w:p>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 xml:space="preserve">（4）项目实施方案内容简易、实操性差，得 </w:t>
            </w:r>
            <w:r>
              <w:rPr>
                <w:rFonts w:hint="eastAsia" w:ascii="宋体" w:eastAsia="宋体" w:cs="宋体"/>
                <w:color w:val="auto"/>
                <w:sz w:val="21"/>
                <w:szCs w:val="21"/>
                <w:highlight w:val="none"/>
              </w:rPr>
              <w:t>1</w:t>
            </w:r>
            <w:r>
              <w:rPr>
                <w:rFonts w:hint="eastAsia" w:ascii="宋体" w:eastAsia="宋体" w:cs="宋体"/>
                <w:color w:val="auto"/>
                <w:sz w:val="21"/>
                <w:szCs w:val="21"/>
                <w:highlight w:val="none"/>
                <w:lang w:val="zh-CN"/>
              </w:rPr>
              <w:t xml:space="preserve"> 分； </w:t>
            </w:r>
          </w:p>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（5）未提供对应方案的不得分。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5</w:t>
            </w:r>
          </w:p>
        </w:tc>
        <w:tc>
          <w:tcPr>
            <w:tcW w:w="1136" w:type="dxa"/>
            <w:tcBorders>
              <w:top w:val="single" w:color="auto" w:sz="4" w:space="0"/>
              <w:left w:val="single" w:color="auto" w:sz="4" w:space="0"/>
              <w:bottom w:val="single" w:color="auto" w:sz="4" w:space="0"/>
              <w:right w:val="single" w:color="auto" w:sz="4" w:space="0"/>
            </w:tcBorders>
            <w:vAlign w:val="center"/>
          </w:tcPr>
          <w:p>
            <w:pPr>
              <w:tabs>
                <w:tab w:val="left" w:pos="8610"/>
              </w:tabs>
              <w:spacing w:line="34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项目管理 </w:t>
            </w:r>
          </w:p>
          <w:p>
            <w:pPr>
              <w:tabs>
                <w:tab w:val="left" w:pos="8610"/>
              </w:tabs>
              <w:spacing w:line="34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组织架构 </w:t>
            </w:r>
          </w:p>
          <w:p>
            <w:pPr>
              <w:tabs>
                <w:tab w:val="left" w:pos="8610"/>
              </w:tabs>
              <w:spacing w:line="340" w:lineRule="exact"/>
              <w:jc w:val="center"/>
              <w:rPr>
                <w:rFonts w:ascii="宋体" w:hAnsi="宋体" w:eastAsia="宋体" w:cs="宋体"/>
                <w:color w:val="auto"/>
                <w:sz w:val="21"/>
                <w:szCs w:val="21"/>
                <w:highlight w:val="none"/>
              </w:rPr>
            </w:pPr>
          </w:p>
        </w:tc>
        <w:tc>
          <w:tcPr>
            <w:tcW w:w="668"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10</w:t>
            </w:r>
          </w:p>
        </w:tc>
        <w:tc>
          <w:tcPr>
            <w:tcW w:w="602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 xml:space="preserve">根据投标人的管理架构，分工情况，岗位责任制度，项目负责人管理经验情况，工程人员技术及专业水平情况等进行综合评审： </w:t>
            </w:r>
          </w:p>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（1）项目管理架构完善，分工明确，岗位责任制强，项目负责人管理经验丰富，配备充足的专业水平高且有相关特长的技术工程人员，能全面高效地完成本项目，综合水平优，得</w:t>
            </w:r>
            <w:r>
              <w:rPr>
                <w:rFonts w:hint="eastAsia" w:ascii="宋体" w:eastAsia="宋体" w:cs="宋体"/>
                <w:color w:val="auto"/>
                <w:sz w:val="21"/>
                <w:szCs w:val="21"/>
                <w:highlight w:val="none"/>
                <w:lang w:val="en-US" w:eastAsia="zh-CN"/>
              </w:rPr>
              <w:t>10</w:t>
            </w:r>
            <w:r>
              <w:rPr>
                <w:rFonts w:hint="eastAsia" w:ascii="宋体" w:eastAsia="宋体" w:cs="宋体"/>
                <w:color w:val="auto"/>
                <w:sz w:val="21"/>
                <w:szCs w:val="21"/>
                <w:highlight w:val="none"/>
                <w:lang w:val="zh-CN"/>
              </w:rPr>
              <w:t xml:space="preserve"> 分； </w:t>
            </w:r>
          </w:p>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（2）项目管理架构较为完善，分工较明确，项目负责人管理经验较丰富，工程人员专业水平较高，能较好地完成本项目，综合水平良，得</w:t>
            </w:r>
            <w:r>
              <w:rPr>
                <w:rFonts w:hint="eastAsia" w:ascii="宋体" w:eastAsia="宋体" w:cs="宋体"/>
                <w:color w:val="auto"/>
                <w:sz w:val="21"/>
                <w:szCs w:val="21"/>
                <w:highlight w:val="none"/>
                <w:lang w:val="en-US" w:eastAsia="zh-CN"/>
              </w:rPr>
              <w:t>6</w:t>
            </w:r>
            <w:r>
              <w:rPr>
                <w:rFonts w:hint="eastAsia" w:ascii="宋体" w:eastAsia="宋体" w:cs="宋体"/>
                <w:color w:val="auto"/>
                <w:sz w:val="21"/>
                <w:szCs w:val="21"/>
                <w:highlight w:val="none"/>
                <w:lang w:val="zh-CN"/>
              </w:rPr>
              <w:t xml:space="preserve">分； </w:t>
            </w:r>
          </w:p>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 xml:space="preserve">（3）有项目管理架构和分工，项目负责人有相关管理经验一般，工程人员熟悉本专业，能完成本项目，综合水平中，得 </w:t>
            </w:r>
            <w:r>
              <w:rPr>
                <w:rFonts w:hint="eastAsia" w:ascii="宋体" w:eastAsia="宋体" w:cs="宋体"/>
                <w:color w:val="auto"/>
                <w:sz w:val="21"/>
                <w:szCs w:val="21"/>
                <w:highlight w:val="none"/>
                <w:lang w:val="en-US" w:eastAsia="zh-CN"/>
              </w:rPr>
              <w:t>3</w:t>
            </w:r>
            <w:r>
              <w:rPr>
                <w:rFonts w:hint="eastAsia" w:ascii="宋体" w:eastAsia="宋体" w:cs="宋体"/>
                <w:color w:val="auto"/>
                <w:sz w:val="21"/>
                <w:szCs w:val="21"/>
                <w:highlight w:val="none"/>
                <w:lang w:val="zh-CN"/>
              </w:rPr>
              <w:t xml:space="preserve">分； </w:t>
            </w:r>
          </w:p>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 xml:space="preserve">（4）有项目管理架构和分工，项目负责人没有管理经验，工程人员能从事本项目服务，综合水平差，得 1 分； </w:t>
            </w:r>
          </w:p>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 xml:space="preserve">（5）未提供对应方案的不得分。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6</w:t>
            </w:r>
          </w:p>
        </w:tc>
        <w:tc>
          <w:tcPr>
            <w:tcW w:w="1136" w:type="dxa"/>
            <w:tcBorders>
              <w:top w:val="single" w:color="auto" w:sz="4" w:space="0"/>
              <w:left w:val="single" w:color="auto" w:sz="4" w:space="0"/>
              <w:bottom w:val="single" w:color="auto" w:sz="4" w:space="0"/>
              <w:right w:val="single" w:color="auto" w:sz="4" w:space="0"/>
            </w:tcBorders>
            <w:vAlign w:val="center"/>
          </w:tcPr>
          <w:p>
            <w:pPr>
              <w:tabs>
                <w:tab w:val="left" w:pos="8610"/>
              </w:tabs>
              <w:spacing w:line="34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质量保证 </w:t>
            </w:r>
          </w:p>
          <w:p>
            <w:pPr>
              <w:tabs>
                <w:tab w:val="left" w:pos="8610"/>
              </w:tabs>
              <w:spacing w:line="34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措施</w:t>
            </w:r>
          </w:p>
          <w:p>
            <w:pPr>
              <w:tabs>
                <w:tab w:val="left" w:pos="8610"/>
              </w:tabs>
              <w:spacing w:line="340" w:lineRule="exact"/>
              <w:jc w:val="center"/>
              <w:rPr>
                <w:rFonts w:ascii="宋体" w:hAnsi="宋体" w:eastAsia="宋体" w:cs="宋体"/>
                <w:color w:val="auto"/>
                <w:sz w:val="21"/>
                <w:szCs w:val="21"/>
                <w:highlight w:val="none"/>
              </w:rPr>
            </w:pPr>
          </w:p>
        </w:tc>
        <w:tc>
          <w:tcPr>
            <w:tcW w:w="668"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12</w:t>
            </w:r>
          </w:p>
        </w:tc>
        <w:tc>
          <w:tcPr>
            <w:tcW w:w="602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 xml:space="preserve">根据投标人提供养护质量保障措施方案（包括但不限于质量目标、养护质量的控制和检验手段）进行综合评审： </w:t>
            </w:r>
          </w:p>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（1）质量目标非常明确，养护质量的控制非常详细，检验手段非常科学，得</w:t>
            </w:r>
            <w:r>
              <w:rPr>
                <w:rFonts w:hint="eastAsia" w:ascii="宋体" w:eastAsia="宋体" w:cs="宋体"/>
                <w:color w:val="auto"/>
                <w:sz w:val="21"/>
                <w:szCs w:val="21"/>
                <w:highlight w:val="none"/>
              </w:rPr>
              <w:t>12</w:t>
            </w:r>
            <w:r>
              <w:rPr>
                <w:rFonts w:hint="eastAsia" w:ascii="宋体" w:eastAsia="宋体" w:cs="宋体"/>
                <w:color w:val="auto"/>
                <w:sz w:val="21"/>
                <w:szCs w:val="21"/>
                <w:highlight w:val="none"/>
                <w:lang w:val="zh-CN"/>
              </w:rPr>
              <w:t xml:space="preserve">分； </w:t>
            </w:r>
          </w:p>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（2）质量目标比较明确，养护质量的控制较为详细，检验手段比较科学，得</w:t>
            </w:r>
            <w:r>
              <w:rPr>
                <w:rFonts w:hint="eastAsia" w:ascii="宋体" w:eastAsia="宋体" w:cs="宋体"/>
                <w:color w:val="auto"/>
                <w:sz w:val="21"/>
                <w:szCs w:val="21"/>
                <w:highlight w:val="none"/>
              </w:rPr>
              <w:t>8</w:t>
            </w:r>
            <w:r>
              <w:rPr>
                <w:rFonts w:hint="eastAsia" w:ascii="宋体" w:eastAsia="宋体" w:cs="宋体"/>
                <w:color w:val="auto"/>
                <w:sz w:val="21"/>
                <w:szCs w:val="21"/>
                <w:highlight w:val="none"/>
                <w:lang w:val="zh-CN"/>
              </w:rPr>
              <w:t xml:space="preserve">分； </w:t>
            </w:r>
          </w:p>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（3）质量目标基本明确，养护质量的控制一般，检验手段一般，得</w:t>
            </w:r>
            <w:r>
              <w:rPr>
                <w:rFonts w:hint="eastAsia" w:ascii="宋体" w:eastAsia="宋体" w:cs="宋体"/>
                <w:color w:val="auto"/>
                <w:sz w:val="21"/>
                <w:szCs w:val="21"/>
                <w:highlight w:val="none"/>
              </w:rPr>
              <w:t>4</w:t>
            </w:r>
            <w:r>
              <w:rPr>
                <w:rFonts w:hint="eastAsia" w:ascii="宋体" w:eastAsia="宋体" w:cs="宋体"/>
                <w:color w:val="auto"/>
                <w:sz w:val="21"/>
                <w:szCs w:val="21"/>
                <w:highlight w:val="none"/>
                <w:lang w:val="zh-CN"/>
              </w:rPr>
              <w:t xml:space="preserve">分； </w:t>
            </w:r>
          </w:p>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（4）质量目标不明确，养护质量的控制差，检验手段不科学，得</w:t>
            </w:r>
            <w:r>
              <w:rPr>
                <w:rFonts w:hint="eastAsia" w:ascii="宋体" w:eastAsia="宋体" w:cs="宋体"/>
                <w:color w:val="auto"/>
                <w:sz w:val="21"/>
                <w:szCs w:val="21"/>
                <w:highlight w:val="none"/>
              </w:rPr>
              <w:t>1</w:t>
            </w:r>
            <w:r>
              <w:rPr>
                <w:rFonts w:hint="eastAsia" w:ascii="宋体" w:eastAsia="宋体" w:cs="宋体"/>
                <w:color w:val="auto"/>
                <w:sz w:val="21"/>
                <w:szCs w:val="21"/>
                <w:highlight w:val="none"/>
                <w:lang w:val="zh-CN"/>
              </w:rPr>
              <w:t xml:space="preserve">分； </w:t>
            </w:r>
          </w:p>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 xml:space="preserve">（5）未提供对应方案的不得分。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7</w:t>
            </w:r>
          </w:p>
        </w:tc>
        <w:tc>
          <w:tcPr>
            <w:tcW w:w="1136" w:type="dxa"/>
            <w:tcBorders>
              <w:top w:val="single" w:color="auto" w:sz="4" w:space="0"/>
              <w:left w:val="single" w:color="auto" w:sz="4" w:space="0"/>
              <w:bottom w:val="single" w:color="auto" w:sz="4" w:space="0"/>
              <w:right w:val="single" w:color="auto" w:sz="4" w:space="0"/>
            </w:tcBorders>
            <w:vAlign w:val="center"/>
          </w:tcPr>
          <w:p>
            <w:pPr>
              <w:tabs>
                <w:tab w:val="left" w:pos="8610"/>
              </w:tabs>
              <w:spacing w:line="340"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应急响应 </w:t>
            </w:r>
          </w:p>
          <w:p>
            <w:pPr>
              <w:tabs>
                <w:tab w:val="left" w:pos="8610"/>
              </w:tabs>
              <w:spacing w:line="34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方案</w:t>
            </w:r>
          </w:p>
          <w:p>
            <w:pPr>
              <w:tabs>
                <w:tab w:val="left" w:pos="8610"/>
              </w:tabs>
              <w:spacing w:line="340" w:lineRule="exact"/>
              <w:jc w:val="center"/>
              <w:rPr>
                <w:rFonts w:ascii="宋体" w:hAnsi="宋体" w:eastAsia="宋体" w:cs="宋体"/>
                <w:color w:val="auto"/>
                <w:sz w:val="21"/>
                <w:szCs w:val="21"/>
                <w:highlight w:val="none"/>
              </w:rPr>
            </w:pPr>
          </w:p>
        </w:tc>
        <w:tc>
          <w:tcPr>
            <w:tcW w:w="668"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8</w:t>
            </w:r>
          </w:p>
        </w:tc>
        <w:tc>
          <w:tcPr>
            <w:tcW w:w="602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ind w:firstLine="420" w:firstLineChars="200"/>
              <w:rPr>
                <w:rFonts w:ascii="宋体" w:eastAsia="宋体" w:cs="宋体"/>
                <w:color w:val="auto"/>
                <w:sz w:val="21"/>
                <w:szCs w:val="21"/>
                <w:highlight w:val="none"/>
                <w:lang w:val="zh-CN"/>
              </w:rPr>
            </w:pPr>
            <w:r>
              <w:rPr>
                <w:rFonts w:ascii="宋体" w:eastAsia="宋体" w:cs="宋体"/>
                <w:color w:val="auto"/>
                <w:sz w:val="21"/>
                <w:szCs w:val="21"/>
                <w:highlight w:val="none"/>
                <w:lang w:val="zh-CN"/>
              </w:rPr>
              <w:t>根据投标人</w:t>
            </w:r>
            <w:r>
              <w:rPr>
                <w:rFonts w:hint="eastAsia" w:ascii="宋体" w:eastAsia="宋体" w:cs="宋体"/>
                <w:color w:val="auto"/>
                <w:sz w:val="21"/>
                <w:szCs w:val="21"/>
                <w:highlight w:val="none"/>
              </w:rPr>
              <w:t>针对台风、暴雨等天气影响，重大接待任务，重大节假日或活动等特殊情况制定应急处置方案，包括传达机制、人员和设备调配、责任分工等进行综合评审</w:t>
            </w:r>
            <w:r>
              <w:rPr>
                <w:rFonts w:hint="eastAsia" w:ascii="宋体" w:eastAsia="宋体" w:cs="宋体"/>
                <w:color w:val="auto"/>
                <w:sz w:val="21"/>
                <w:szCs w:val="21"/>
                <w:highlight w:val="none"/>
                <w:lang w:val="zh-CN"/>
              </w:rPr>
              <w:t xml:space="preserve">： </w:t>
            </w:r>
          </w:p>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（1）应急响应方案完整全面合理、可行性强，得</w:t>
            </w:r>
            <w:r>
              <w:rPr>
                <w:rFonts w:hint="eastAsia" w:ascii="宋体" w:eastAsia="宋体" w:cs="宋体"/>
                <w:color w:val="auto"/>
                <w:sz w:val="21"/>
                <w:szCs w:val="21"/>
                <w:highlight w:val="none"/>
                <w:lang w:val="en-US" w:eastAsia="zh-CN"/>
              </w:rPr>
              <w:t>8</w:t>
            </w:r>
            <w:r>
              <w:rPr>
                <w:rFonts w:hint="eastAsia" w:ascii="宋体" w:eastAsia="宋体" w:cs="宋体"/>
                <w:color w:val="auto"/>
                <w:sz w:val="21"/>
                <w:szCs w:val="21"/>
                <w:highlight w:val="none"/>
                <w:lang w:val="zh-CN"/>
              </w:rPr>
              <w:t xml:space="preserve">分； </w:t>
            </w:r>
          </w:p>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（2）应急响应方案较为全面、可行性较强，得</w:t>
            </w:r>
            <w:r>
              <w:rPr>
                <w:rFonts w:hint="eastAsia" w:ascii="宋体" w:eastAsia="宋体" w:cs="宋体"/>
                <w:color w:val="auto"/>
                <w:sz w:val="21"/>
                <w:szCs w:val="21"/>
                <w:highlight w:val="none"/>
                <w:lang w:val="en-US" w:eastAsia="zh-CN"/>
              </w:rPr>
              <w:t>5</w:t>
            </w:r>
            <w:r>
              <w:rPr>
                <w:rFonts w:hint="eastAsia" w:ascii="宋体" w:eastAsia="宋体" w:cs="宋体"/>
                <w:color w:val="auto"/>
                <w:sz w:val="21"/>
                <w:szCs w:val="21"/>
                <w:highlight w:val="none"/>
                <w:lang w:val="zh-CN"/>
              </w:rPr>
              <w:t xml:space="preserve">分； </w:t>
            </w:r>
          </w:p>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（3）应急响应方案基本到位、可行性一般，得</w:t>
            </w:r>
            <w:r>
              <w:rPr>
                <w:rFonts w:hint="eastAsia" w:ascii="宋体" w:eastAsia="宋体" w:cs="宋体"/>
                <w:color w:val="auto"/>
                <w:sz w:val="21"/>
                <w:szCs w:val="21"/>
                <w:highlight w:val="none"/>
              </w:rPr>
              <w:t>2</w:t>
            </w:r>
            <w:r>
              <w:rPr>
                <w:rFonts w:hint="eastAsia" w:ascii="宋体" w:eastAsia="宋体" w:cs="宋体"/>
                <w:color w:val="auto"/>
                <w:sz w:val="21"/>
                <w:szCs w:val="21"/>
                <w:highlight w:val="none"/>
                <w:lang w:val="zh-CN"/>
              </w:rPr>
              <w:t xml:space="preserve">分； </w:t>
            </w:r>
          </w:p>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 xml:space="preserve">（4）应急响应方案片面，可行性差，得1分。 </w:t>
            </w:r>
          </w:p>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 xml:space="preserve">（5）未提供对应方案的不得分。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widowControl w:val="0"/>
              <w:tabs>
                <w:tab w:val="left" w:pos="907"/>
              </w:tabs>
              <w:adjustRightInd/>
              <w:snapToGrid/>
              <w:spacing w:after="0" w:line="360" w:lineRule="exact"/>
              <w:ind w:firstLine="422" w:firstLineChars="20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注：</w:t>
            </w:r>
          </w:p>
          <w:p>
            <w:pPr>
              <w:widowControl w:val="0"/>
              <w:tabs>
                <w:tab w:val="left" w:pos="907"/>
              </w:tabs>
              <w:adjustRightInd/>
              <w:snapToGrid/>
              <w:spacing w:after="0" w:line="360" w:lineRule="exact"/>
              <w:ind w:firstLine="422" w:firstLineChars="20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（1）无特殊说明外，以上评审项，同一证明文件不重复计分。</w:t>
            </w:r>
          </w:p>
          <w:p>
            <w:pPr>
              <w:widowControl w:val="0"/>
              <w:tabs>
                <w:tab w:val="left" w:pos="907"/>
              </w:tabs>
              <w:adjustRightInd/>
              <w:snapToGrid/>
              <w:spacing w:after="0" w:line="360" w:lineRule="exact"/>
              <w:ind w:firstLine="422" w:firstLineChars="20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（2）投标人根据以上评分要求提供的投标材料因模糊不清导致评标委员会无法清晰辨认进行评审的，视为无效材料。</w:t>
            </w:r>
          </w:p>
          <w:p>
            <w:pPr>
              <w:pStyle w:val="8"/>
              <w:ind w:firstLine="422" w:firstLineChars="200"/>
              <w:rPr>
                <w:rFonts w:ascii="宋体" w:eastAsia="宋体" w:cs="宋体"/>
                <w:color w:val="auto"/>
                <w:sz w:val="21"/>
                <w:szCs w:val="21"/>
                <w:highlight w:val="none"/>
              </w:rPr>
            </w:pPr>
            <w:r>
              <w:rPr>
                <w:rFonts w:hint="eastAsia" w:ascii="宋体" w:hAnsi="宋体" w:eastAsia="宋体"/>
                <w:b/>
                <w:color w:val="auto"/>
                <w:sz w:val="21"/>
                <w:szCs w:val="21"/>
                <w:highlight w:val="none"/>
              </w:rPr>
              <w:t>（3）若因疫情原因暂缓统一托收或阶段性减免社会保险费而导致无法打印社保缴费证明的需提供书面说明并加盖投标人公章。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lang w:val="zh-CN"/>
              </w:rPr>
            </w:pPr>
            <w:r>
              <w:rPr>
                <w:rFonts w:hint="eastAsia" w:ascii="宋体" w:eastAsia="宋体" w:cs="宋体"/>
                <w:color w:val="auto"/>
                <w:sz w:val="21"/>
                <w:szCs w:val="21"/>
                <w:highlight w:val="none"/>
              </w:rPr>
              <w:t>价格评审（20分）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8</w:t>
            </w:r>
          </w:p>
        </w:tc>
        <w:tc>
          <w:tcPr>
            <w:tcW w:w="7832" w:type="dxa"/>
            <w:gridSpan w:val="3"/>
            <w:tcBorders>
              <w:top w:val="single" w:color="auto" w:sz="4" w:space="0"/>
              <w:left w:val="single" w:color="auto" w:sz="4" w:space="0"/>
              <w:bottom w:val="single" w:color="auto" w:sz="4" w:space="0"/>
              <w:right w:val="single" w:color="auto" w:sz="4" w:space="0"/>
            </w:tcBorders>
            <w:vAlign w:val="center"/>
          </w:tcPr>
          <w:p>
            <w:pPr>
              <w:widowControl w:val="0"/>
              <w:tabs>
                <w:tab w:val="left" w:pos="907"/>
              </w:tabs>
              <w:adjustRightInd/>
              <w:snapToGrid/>
              <w:spacing w:after="0" w:line="360" w:lineRule="auto"/>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价格分计算方法：满足招标文件要求且投标价格最低的投标报价为评标基准价，其价格分为满分。其他投标人的价格分统一按照下列公式计算：</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投标报价得分=(评标基准价／投标报价)×价格权值</w:t>
            </w:r>
          </w:p>
        </w:tc>
      </w:tr>
    </w:tbl>
    <w:p>
      <w:pPr>
        <w:pStyle w:val="4"/>
        <w:spacing w:before="0" w:after="0" w:line="240" w:lineRule="auto"/>
        <w:rPr>
          <w:color w:val="auto"/>
          <w:sz w:val="36"/>
          <w:szCs w:val="36"/>
          <w:highlight w:val="none"/>
        </w:rPr>
      </w:pPr>
      <w:r>
        <w:rPr>
          <w:rFonts w:hint="eastAsia"/>
          <w:color w:val="auto"/>
          <w:sz w:val="28"/>
          <w:szCs w:val="28"/>
          <w:highlight w:val="none"/>
        </w:rPr>
        <w:br w:type="page"/>
      </w:r>
      <w:bookmarkStart w:id="4" w:name="_Toc31854"/>
      <w:r>
        <w:rPr>
          <w:rFonts w:hint="eastAsia"/>
          <w:color w:val="auto"/>
          <w:sz w:val="28"/>
          <w:szCs w:val="28"/>
          <w:highlight w:val="none"/>
        </w:rPr>
        <w:t>第三部分 用户需求书</w:t>
      </w:r>
      <w:bookmarkEnd w:id="4"/>
    </w:p>
    <w:p>
      <w:pPr>
        <w:spacing w:after="0" w:line="360" w:lineRule="auto"/>
        <w:rPr>
          <w:rFonts w:ascii="宋体" w:hAnsi="宋体" w:eastAsia="宋体" w:cs="宋体"/>
          <w:color w:val="auto"/>
          <w:sz w:val="24"/>
          <w:szCs w:val="24"/>
          <w:highlight w:val="none"/>
        </w:rPr>
      </w:pPr>
      <w:bookmarkStart w:id="5" w:name="_Toc3968"/>
    </w:p>
    <w:p>
      <w:pPr>
        <w:pStyle w:val="5"/>
        <w:spacing w:after="0"/>
        <w:jc w:val="center"/>
        <w:rPr>
          <w:rFonts w:ascii="宋体" w:hAnsi="宋体" w:cs="宋体"/>
          <w:color w:val="auto"/>
          <w:highlight w:val="none"/>
        </w:rPr>
      </w:pPr>
      <w:r>
        <w:rPr>
          <w:rFonts w:hint="eastAsia" w:ascii="宋体" w:hAnsi="宋体" w:cs="宋体"/>
          <w:color w:val="auto"/>
          <w:szCs w:val="24"/>
          <w:highlight w:val="none"/>
        </w:rPr>
        <w:t>用户需求明细</w:t>
      </w:r>
      <w:bookmarkEnd w:id="5"/>
    </w:p>
    <w:p>
      <w:pPr>
        <w:spacing w:after="0" w:line="360" w:lineRule="auto"/>
        <w:rPr>
          <w:rFonts w:ascii="宋体" w:hAnsi="宋体" w:eastAsia="宋体" w:cs="宋体"/>
          <w:color w:val="auto"/>
          <w:sz w:val="24"/>
          <w:szCs w:val="24"/>
          <w:highlight w:val="none"/>
        </w:rPr>
      </w:pPr>
      <w:bookmarkStart w:id="6" w:name="_Toc13112"/>
      <w:bookmarkStart w:id="7" w:name="_Toc24679"/>
      <w:bookmarkStart w:id="8" w:name="_Toc14462"/>
      <w:bookmarkStart w:id="9" w:name="_Toc31278"/>
    </w:p>
    <w:p>
      <w:pPr>
        <w:pStyle w:val="5"/>
        <w:spacing w:after="0"/>
        <w:rPr>
          <w:rFonts w:ascii="宋体" w:hAnsi="宋体" w:cs="宋体"/>
          <w:color w:val="auto"/>
          <w:highlight w:val="none"/>
        </w:rPr>
      </w:pPr>
      <w:r>
        <w:rPr>
          <w:rFonts w:hint="eastAsia" w:ascii="宋体" w:hAnsi="宋体" w:cs="宋体"/>
          <w:color w:val="auto"/>
          <w:highlight w:val="none"/>
        </w:rPr>
        <w:t>一、项目概况</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1、招标单位：东莞市麻涌镇公用事业服务中心（备注：东莞市麻涌镇公用事业服务中心受东莞市麻涌镇人民政府委托作为本项目采购单位）。</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2、项目地点：东莞市麻涌镇。</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3、本次采购的项目及范围：镇属管辖内所有路灯、夜景灯、低压配电设施及相关电线缆、箱变等的养护服务。具体维护数量及路段见附件 1：《镇路灯数量统计表》 、附件2：《镇夜景灯灯数量统计表》（该设施表数量仅供参考）。</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维护内容：主要对路灯、景观灯的维护管理以及箱变设施等维护管理，包括路灯或景观灯灯具、灯杆、灯臂、箱变、控制箱、基础、电缆、电缆管、手井等低压侧设施维护、管养、防盗、设施损坏的恢复以及完成以上工作的辅助工作等工作。具体如下：</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（1）日常维护：对照明设施、低压配电设施、低压电缆（含电缆管道）及其他电气控制设施的维护维修、损坏更换。</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（2）设施防盗：对照明设施进行巡查防盗，对被盗设施及时修复。</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（3）巡查及清洗：对养护内容进行日常巡查，对设备的运行情况及时记录，对设备表面定期清洗，及时清除城市照明设施上的乱张贴、乱涂写和乱拉挂。</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（4）喷漆翻新：每年对灯杆等其他影响观瞻的设备表面按规定定期喷漆。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（5）设备设施维护检测：定期常规检查电缆、检测箱变等配电设施。</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（6）维护工作包括但不限于以上工作内容。</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5、风险提示：在合同期内，因政府建设需要或由于政府交接等原因，需要大幅减少中标单位管养地段或提前结束合同期时，维护费用将实时结算，因此造成的经济损失，招标人不负赔偿责任。</w:t>
      </w:r>
    </w:p>
    <w:p>
      <w:pPr>
        <w:pStyle w:val="2"/>
        <w:spacing w:before="0" w:after="0" w:line="360" w:lineRule="auto"/>
        <w:ind w:left="0"/>
        <w:rPr>
          <w:color w:val="auto"/>
          <w:highlight w:val="none"/>
        </w:rPr>
      </w:pPr>
    </w:p>
    <w:p>
      <w:pPr>
        <w:pStyle w:val="5"/>
        <w:spacing w:after="0"/>
        <w:rPr>
          <w:rFonts w:ascii="宋体" w:hAnsi="宋体" w:cs="宋体"/>
          <w:color w:val="auto"/>
          <w:highlight w:val="none"/>
        </w:rPr>
      </w:pPr>
      <w:r>
        <w:rPr>
          <w:rFonts w:hint="eastAsia" w:ascii="宋体" w:hAnsi="宋体" w:cs="宋体"/>
          <w:color w:val="auto"/>
          <w:highlight w:val="none"/>
        </w:rPr>
        <w:t>二、项目规定及要求</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设施量核准工作：为做好维护工作的交接、管理工作，要求中标单位在中标通知书发出3天内组织维护管理团队与原管理团队进行交接工作，在合同签订前15个日历日内完成设施量核查工作，对有不符的提出，与招标单位核实、备案，如未提出的，以招标单位资料为准。并且在此期间，中标方维护管理团队熟悉采购人的维护范围、设施，为正式维护做好准备工作。但在此期间采购人不予支付任何费用，所需经费由中标方自行负担。</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实施过程中中标人必须根据承包合同中的各项条款，履行各项职责。如发现中标人组织措施不当、计划不落实、管理不严、实施方案中所列人员、机械设备（工具）与现场实际不符，导致养护质量达不到标准的，当月考评档次为差，情况严重的，采购人有权单方面终止合同。</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自觉接受采购人及有关部门的监督管理，每逢法定节日（含元旦、春节、五一、国庆等），必须无条件服从采购人组织的突击性任务及迎检活动，按时、按标准、按要求完成采购人所分配的工作，如在迎检活动中，由于养护工作不到位造成迎检所在项目不合格，扣减该月50%养护经费，如累计有二次迎检工作因养护不到位造成迎检所在项目不合格的，采购人有权单方面终止养护合同，并对中标人处以合同价款总额10％罚款的处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必须积极响应并接受镇级及以上领导和主管部门的监督检查，若受到镇级及以上领导和主管部门的批评，经调查认定情况属实的，视情节轻重予以罚款；造成恶劣影响的，采购人有权单方面终止合同。中标人必须随时、随地接受广大市民的监督，若受到市民的投诉，经调查认定情况属实的，视情节轻重予以罚款；造成恶劣影响的，采购人有权单方面终止合同。</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5、每逢节假日如元旦、五一、国庆、春节及镇政府要求的特别日子，采购人需要在主要路口、路段安装的灯饰，中标人应积极配合并按采购人的要求施工、管理。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其它用电设施如广告、灯饰及其它非用于路灯照明设施的用电未经采购人同意，中标人不得擅自接驳线路，一经发现，按偷电处理，除扣减中标人一个月维修经费外，并按规定对中标人予以处理，情况严重者，采购人有权单方面终止合同。若经采购人同意接驳的线路，中标人必须认真配合。</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中标人必须按国家有关安全条例的规定对各种作业采取有效的安全保障措施，确保人员、机具、设施的安全，落实安全生产措施，且应按采购人的要求，为上岗工人配置统一的工作服和反光袖套，自行解决安全作业问题。在进行养护作业时必须认真负责，并注意安全操作，如发生任何意外，中标人负责事故处理及一切费用，概与采购人无关。任何因中标方引起的纠纷或损毁事故概由中标方负责解决及承担相关民事或法律责任，发生的漏电事故一切责任及造成的损失由中标方负责。</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8、中标人应承担的养护内容，及按实际上岗人数自行到有关部门申办有关用工手续、员工劳动保险手续等手续。安排好下属人员的住宿和教育管理工作。</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9、中标人无故停止工作,采购人有权按损失程度扣减养护费,并处以中标人合同总额3％的违约金给采购人。若无故停工累计达7天，采购人有权单方面终止合同。</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★10、亮灯率不低于99%，亮灯率=（总光源数-灭灯盏数）/总光源数*100%。考核亮灯率低于要求，则超出部分每盏灯扣0.2分。</w:t>
      </w:r>
    </w:p>
    <w:p>
      <w:pPr>
        <w:pStyle w:val="2"/>
        <w:spacing w:before="0" w:after="0" w:line="360" w:lineRule="auto"/>
        <w:ind w:left="0"/>
        <w:rPr>
          <w:color w:val="auto"/>
          <w:highlight w:val="none"/>
        </w:rPr>
      </w:pPr>
    </w:p>
    <w:p>
      <w:pPr>
        <w:pStyle w:val="5"/>
        <w:spacing w:after="0"/>
        <w:rPr>
          <w:rFonts w:ascii="宋体" w:hAnsi="宋体" w:cs="宋体"/>
          <w:color w:val="auto"/>
          <w:highlight w:val="none"/>
        </w:rPr>
      </w:pPr>
      <w:r>
        <w:rPr>
          <w:rFonts w:hint="eastAsia" w:ascii="宋体" w:hAnsi="宋体" w:cs="宋体"/>
          <w:color w:val="auto"/>
          <w:highlight w:val="none"/>
        </w:rPr>
        <w:t>三、服务需求</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1、人员及相关车辆、设施配置要求：</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人员要求：中标方必须健全本维护项目实施的组织机构，派出不少于12人组成本包专职实施团队，其中项目负责人1人，安全负责人（安全员）1人，项目专职维修人员不少于10人（其中具有电工证人员不少于6人，同时具有路灯高空作业维修工职业资格证书人员不少于</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人）；以上人员须常驻服务地点专门为本项目服务。如服务过程中，投标方发现人员不足以保障路灯的正常运行，要求中标方增加到保障路灯正常运行的合理人数时，投标方须无条件同意配合</w:t>
      </w:r>
      <w:r>
        <w:rPr>
          <w:rFonts w:hint="eastAsia" w:ascii="宋体" w:hAnsi="宋体" w:eastAsia="宋体" w:cs="宋体"/>
          <w:color w:val="auto"/>
          <w:highlight w:val="none"/>
        </w:rPr>
        <w:t>。</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方项目专职实施团队成员如无特殊原因（如离职、生病不能长期工作）不得进行更换，如未得到采购人同意更换的扣除50%的履约保证金。如得到同意进行更换的人员的职称（资格）等级不低于原人员。中标方所投入的维护人员，需要通过采购人的实操考核，考核合格后方可上岗。项目实施团队成员需报采购人备案，所有人员未经采购人同意不得更换。采购人也将建立考勤制度，对项目实施团队进行考核。</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中标方必须为项目实施团队人员购买社保（养老、医疗、工伤等险种），必须附上社保证明，人员、人数必须与备案相符。如未购买社保或人员、人数不符的，每次支付维护经费时扣除20000元。</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★（2）中标方需要配备车况良好的维护车辆，配置要求如下：升空高度≥12米的高空作业车2台、货车（轻型箱式货车或轻型普通货车）2台。</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中标单位按照国家现行的标准、规范和规程进行维修、保养，根据采购人提出的技术要求，对维修养护质量负责。中标单位在维修、养护中所更换的设施须按所在位置原设施的技术指标或按采购人要求恢复原状。</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3、中标方应严格遵守国家法律、法规，中标方员工在维护工作中如有违法乱纪的行为，对他人或招标方造成损失的，中标方应承担一切经济责任和法律责任。</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因维护工作需要，如需办理交警、绿化、供电、交委、煤气等有关部门的手续，由中标方负责办理并承担相应费用。在维护中涉及道路、绿化破挖、恢复、占道、供电检测、试验等费用的由中标方负责支付，包含在维护费用内。</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实施过程中中标方必须根据承包合同中的各项条款，履行各项职责。应做好日常维护，保养记录的统计汇总，每月25日前上报下月维护计划报招标方审核，并安排好每日的维护工作(即制定每日维护计划)。在日常维修中，必须做到维修故障点维修前、后、维修现场拍照存档，建立完整的维修检修档案。其中更换电缆等隐蔽工程必须故障现场拍照并填写维修报表，经招标方批准后并在招标方监管人员在场情况下方可更换并且必须更换与原型号、规格相同的电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实行路灯、夜景灯的户籍手册，中标人要做到每盏路灯、夜景灯、每个箱变都有档案记录；中标人必须每月底将当月的养护情况书面报告甲方。每年喷漆翻新前，中标人必须将计划报甲方，以便甲方进行监督。</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7、巡查检修</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设立巡查检修小组，每天晚上巡灯，随时掌握灯具不亮或异常，杆身是否倾斜、被撞、断裂、脱焊及严重锈蚀；杆基有否下沉或变形；灯具引下线是否绝缘良好、无破皮、绝缘开裂、接线盒无破损、接线井有盖。如有以上情况，应及时处理并逐级报告。</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（2）、每年对金属电杆的接地电阻测试一次，按地电阻不大于4Ω。</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（3）、所有的路灯杆不得发生漏电事故，否则一切责任及造成的损失由中标人负责；灯杆、电箱等路灯照明设施要及时清除乱张贴、乱写画，设施表面脱漆、颜色褪变等要及时翻新，保持设施的清洁美观。</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设备设施维护检测：按供电部门有关规定，春、秋两季定期常规检查电缆、灯具、箱变各一次，重大节日（元旦、春节、五一、国庆）常规检查电缆、灯具（不包括箱变）共四次；电缆每年绝缘测试一次，同时委托具有电气试验资质的试验单位对箱变（含箱变高压进线电缆）进行预防性检测试验一次，并提交相关试验报告备案，保证符合用电规范要求。</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（5）、对以上检修的情况，做好记录存档。</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8、高杆灯的巡查检修</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（1）、随时掌握半夜及早上亮灯、熄灯情况，把高杆灯作为重要巡查项目，保证高杆灯按时亮灯、按时熄灯，发现有整座灯不亮、不熄异常故障，要及时处理，组织抢修，尽快恢复正常。</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（2）、每周对杆头配电箱检查一次，检查箱体、箱门有否受损，检查箱内各开关接头及电器是否良好，各电缆联接是否良好，发现问题及时处理并逐级报告。</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（3）、每六个月检查内部减速机构、电缆、插头、钢丝绳等设备是否良好，清除杂物。对升降机构进行升降操作和保养。清洁机构积污，加润滑油，保持减速机构和传动机构灵活及牵引钢丝绳的良好状态。</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（4）、每年对灯杆和地脚螺丝的金属防腐蚀情况进行评估，对有锈蚀的地方，根据锈蚀情况，进行有效的防锈处理；对接地电阻进行一次测试，使接地电阻不大于4Ω，确保高杆灯的可靠强度和安全运行。</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（5）、对以上检修的情况，做好记录存档。</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9、景观灯的巡查检修参考路灯执行。</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中标方在签订维护合同前，需提供投标文件中所投维护材料的采购合同报招标方备案（包括辅助材料），并在维护中严格遵守品牌承诺；如在维护工作中招标方认为中标方的材料不能满足维护工作需要，可以要求中标方更换招标方指定品牌，中标方必须无条件更换。若招标人在维护期间进行维护材料抽检时发现中标方未按照备案的维护材料进行维修更换，将按照监管措施进行处罚。维修、养护中照明设施及配件的更换必须按照原有设施及配件的品牌或招标方要求品牌进行更换，或者使用不低于原设备的技术标准、符合国家有关技术标准的设施及配件。</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发生路灯电缆烧损情况时，中标方必须更换整段烧损的电缆线。更换的电缆线按照烧损电缆类型进行更换，须使用符合国家安全标准的AA8030系列铝合金电缆或铜芯电缆，附带电缆线材料证明及施工图片报采购方备案。</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12、中标人应设立每日巡灯、节假日值班及故障抢修制度和群众投诉电话，发现问题要及时记录和检修，因各种原因被损坏或被盗的，必须在12小时内修复。修复所发生的一切相关费用全部由中标人承担。</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13、合理安排清洗计划，每季度清洗一次路灯、灯杆。未按照计划清洗的，在当月维护费用中每杆路灯扣除200元。</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服务范围内的灯杆及其他影响观瞻的设备表面翻新喷漆每年一次，未按照计划翻新喷漆的，在当月维护费用中每杆路灯扣除200元。进场服务后须开展路灯编号工作，对每条路段每杆路灯进行重新编号并在每杆灯上印刷号码，灯杆号码每年翻新喷漆一次。</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中标人应按供电部门有关规定，春、秋两季定期常规检查电缆、路灯结构安全各一次，重大节日（元旦、春节、五一、国庆）常规检查电缆共四次；电缆每年绝缘测试一次；中高杆灯升降装置每年检查及润滑保养一次。对每次的检测工作须出具检测报告并报送甲方备案，如中标人无技术条件完成检测工作的，可委托有检测资质的第三方进行检测，费用由中标人自付。上述安全检测工作中标人未按时完的，将扣除当月服务费用。</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采购人对中标人的路灯养护现场实行每月考评，按百分制打分。90分以上（含90分），按合同足额支付当月维护费用，低于90分（不含）每降低1分，扣除当月维护费的2.00%，低于80分（不含）扣除当月维护费用的50%。连续两个月或累计三次考核得分低于80分（不含），将终止合同，没收合同履约金，经济损失和法律责任由作业单位承担。</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17、如因市政建设影响部分路灯暂时不运行，必需报经过招标方审批，经招标方确认、备案。未运行的路灯及设备不计入亮灯率、灯容灯貌测评。</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18、中标方应接受社会和广大市民的监管，对群众提出的合理要求务必在24小时内实施并完成整改。城管110案件、媒体投诉必须按规定如期处理。如有延误，按监管办法扣分扣款。</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19、政府如有大型活动，中标方应积极配合招标方的相应工作。每逢法定节日及迎检活动，中标方必须无条件服从招标方组织的突击性任务，按时、按标准、按要求完成招标方所分配的工作。</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20、台风、雨季、节假日应加强巡查，做好安全措施，并有应急抢修人员随时做好准备，并制定应急预案。</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中标方有义务随时巡查辖区，并上报、制止辖区内未经招标方同意的可能损坏到路灯及设备的行为。如该行为已发生，中标方需立即修复，在修复后制作修复费用结算报招标方，由招标方协助中标方向肇事方索赔，但招标方不承诺索赔成功，如未能索赔或全额索赔的，由中标方自行承担修复费用。</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22、如有需停电检修的情况，应提前1个工作日与招标方联系备案，同意后由招标方通知相关单位如交警等。</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23、中标方需做好安全防护措施，发生路灯设施故障造成他人财产损失或人身伤害的，由中标方承担全部民事和法律责任。如出现重大安全事故，招标方有权解除合同，所有损失由中标方承担。</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24、如果出现设施故障引起大面积灭灯，中标方不能及时赶到现场或按时完成抢修，或中标方承担的养护项目施工质量不合格，招标方有权安排其他单位进行维修，维修费用将在每月的维护费中扣取。</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25、因路灯设施故障进行维修的，如因特殊情况无法在规定时间内完成的，必须采取临时照明措施。</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26、中标方必须将维护范围内路灯设施完好移交下一合同年度中标方，中标方最后一次的维护费用、履约保证金必须在与下一个合同年度中标方交接完毕后，方可领取。如因本次中标方责任造成设施损坏的，必须进行修复。</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27、考核方式：实行定期检查、不定期（时间不定、与定期时间错开），按百分制打分，定期与不定期检查的考核占比为6:4（月度考核得分=定期检查得分*60%+不定期检查得分*40%），具体内容详见附件3。</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28、考核监管：有效的过程监管是项目预期绩效顺利达成的保障，在做好监管过程制度建设的基础上，招标方将成立项目专项小组，监督中标单位的路灯维护工作。专项小组 成员由镇人大代表、主管部门工作人员等随机组成，以增加考核小组的公信力和公正性，以更好的激励中标单位提升服务质量，确保路灯养护效果的实现及财政资金绩效的有效发挥。</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29、招标方将制定维护考核标准、管理规定、维护流程，中标方必须无条件遵守。</w:t>
      </w:r>
    </w:p>
    <w:p>
      <w:pPr>
        <w:pStyle w:val="2"/>
        <w:rPr>
          <w:color w:val="auto"/>
          <w:highlight w:val="none"/>
          <w:lang w:val="en-US"/>
        </w:rPr>
      </w:pPr>
    </w:p>
    <w:p>
      <w:pPr>
        <w:pStyle w:val="5"/>
        <w:spacing w:after="0"/>
        <w:rPr>
          <w:rFonts w:ascii="宋体" w:hAnsi="宋体" w:cs="宋体"/>
          <w:color w:val="auto"/>
          <w:highlight w:val="none"/>
        </w:rPr>
      </w:pPr>
      <w:r>
        <w:rPr>
          <w:rFonts w:hint="eastAsia" w:ascii="宋体" w:hAnsi="宋体" w:cs="宋体"/>
          <w:color w:val="auto"/>
          <w:highlight w:val="none"/>
        </w:rPr>
        <w:t>四、维护材料</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服务项目涉及的所有维护材料均由中标方采购，中标方要有相应的仓库存放维修用的维护材料及配件。采购人采取每月不定期抽查方式对维护材料的库存及更换进行检查。采购人对维护用的零星材料提出质疑时，有权要求中标方提供未在招标文件中列出的零星材料的合格证或检测报告。</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维护期内，招标方可对维护所使用的产品进行质量抽检，检测单位：市质量检测中心，所需费用由中标方承担。中标方每日维修所需材料的出库必须填写出库单，招标方将进行检查。出库清单必须包含所有材料的情况。</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拟使用电缆需提供厂家近1年内（至开标日止）市级以上质量检测机构出具的第三方电缆检测报告。</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配件的更换要求：必须按照各照明工程的竣工图，要求更换原厂生产的路灯、夜景灯及照明设施配件，中标单位要有相应的配件库存，配件更换时应通知甲方派人到现场确认配件质量。甲方有权不定时随机进行抽查，如发现未按要求更换原厂配件的，每次扣一分，另除立即更换原厂配件外，当月考评为差。</w:t>
      </w:r>
    </w:p>
    <w:p>
      <w:pPr>
        <w:pStyle w:val="2"/>
        <w:spacing w:before="0" w:after="0" w:line="360" w:lineRule="auto"/>
        <w:ind w:left="0"/>
        <w:rPr>
          <w:color w:val="auto"/>
          <w:highlight w:val="none"/>
        </w:rPr>
      </w:pPr>
    </w:p>
    <w:p>
      <w:pPr>
        <w:pStyle w:val="5"/>
        <w:numPr>
          <w:ilvl w:val="0"/>
          <w:numId w:val="2"/>
        </w:numPr>
        <w:spacing w:after="0"/>
        <w:rPr>
          <w:rFonts w:ascii="宋体" w:hAnsi="宋体" w:cs="宋体"/>
          <w:color w:val="auto"/>
          <w:highlight w:val="none"/>
        </w:rPr>
      </w:pPr>
      <w:r>
        <w:rPr>
          <w:rFonts w:hint="eastAsia" w:ascii="宋体" w:hAnsi="宋体" w:cs="宋体"/>
          <w:color w:val="auto"/>
          <w:highlight w:val="none"/>
        </w:rPr>
        <w:t>项目清单</w:t>
      </w:r>
    </w:p>
    <w:p>
      <w:pPr>
        <w:spacing w:after="0"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附件1：</w:t>
      </w:r>
    </w:p>
    <w:p>
      <w:pPr>
        <w:pStyle w:val="28"/>
        <w:spacing w:after="0" w:line="360" w:lineRule="auto"/>
        <w:ind w:firstLine="0" w:firstLineChars="0"/>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路灯市场化管养路灯数量统计表一</w:t>
      </w:r>
    </w:p>
    <w:tbl>
      <w:tblPr>
        <w:tblStyle w:val="19"/>
        <w:tblW w:w="0" w:type="auto"/>
        <w:tblInd w:w="0" w:type="dxa"/>
        <w:tblLayout w:type="fixed"/>
        <w:tblCellMar>
          <w:top w:w="0" w:type="dxa"/>
          <w:left w:w="0" w:type="dxa"/>
          <w:bottom w:w="0" w:type="dxa"/>
          <w:right w:w="0" w:type="dxa"/>
        </w:tblCellMar>
      </w:tblPr>
      <w:tblGrid>
        <w:gridCol w:w="450"/>
        <w:gridCol w:w="2243"/>
        <w:gridCol w:w="1995"/>
        <w:gridCol w:w="1335"/>
        <w:gridCol w:w="1194"/>
        <w:gridCol w:w="1020"/>
      </w:tblGrid>
      <w:tr>
        <w:tblPrEx>
          <w:tblCellMar>
            <w:top w:w="0" w:type="dxa"/>
            <w:left w:w="0" w:type="dxa"/>
            <w:bottom w:w="0" w:type="dxa"/>
            <w:right w:w="0" w:type="dxa"/>
          </w:tblCellMar>
        </w:tblPrEx>
        <w:trPr>
          <w:trHeight w:val="499"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2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路名</w:t>
            </w:r>
          </w:p>
        </w:tc>
        <w:tc>
          <w:tcPr>
            <w:tcW w:w="199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灯杆（含灯具、线路）（支）</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路灯控制箱(个)</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箱变(个)</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CellMar>
            <w:top w:w="0" w:type="dxa"/>
            <w:left w:w="0" w:type="dxa"/>
            <w:bottom w:w="0" w:type="dxa"/>
            <w:right w:w="0" w:type="dxa"/>
          </w:tblCellMar>
        </w:tblPrEx>
        <w:trPr>
          <w:trHeight w:val="409"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22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9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中麻公路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麻涌大道</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277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沿江东路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新太路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创兴三、四路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公务员宿舍周边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医院横路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东太路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东环路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292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东环路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景观路灯</w:t>
            </w: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鸥涌路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文化广场、滨江公园</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西部干道（麻涌立交）</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中心大道</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383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中心大道</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景观路灯</w:t>
            </w: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太步路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大步商业路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分局创兴路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川槎工业区</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华阳村道</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水乡大道</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新沙路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新沙二横路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新基工业大道</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广深高速桥底黎滘段</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广深高速桥底川槎段</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小计</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3199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bl>
    <w:p>
      <w:pPr>
        <w:pStyle w:val="2"/>
        <w:spacing w:before="0" w:after="0" w:line="360" w:lineRule="auto"/>
        <w:ind w:left="0"/>
        <w:jc w:val="both"/>
        <w:rPr>
          <w:b/>
          <w:bCs/>
          <w:color w:val="auto"/>
          <w:highlight w:val="none"/>
        </w:rPr>
      </w:pPr>
    </w:p>
    <w:p>
      <w:pPr>
        <w:pStyle w:val="2"/>
        <w:spacing w:before="0" w:after="0" w:line="360" w:lineRule="auto"/>
        <w:ind w:left="0"/>
        <w:jc w:val="center"/>
        <w:rPr>
          <w:b/>
          <w:bCs/>
          <w:color w:val="auto"/>
          <w:highlight w:val="none"/>
        </w:rPr>
      </w:pPr>
      <w:r>
        <w:rPr>
          <w:rFonts w:hint="eastAsia"/>
          <w:b/>
          <w:bCs/>
          <w:color w:val="auto"/>
          <w:highlight w:val="none"/>
        </w:rPr>
        <w:t>路灯市场化管养路灯数量统计表二</w:t>
      </w:r>
    </w:p>
    <w:tbl>
      <w:tblPr>
        <w:tblStyle w:val="19"/>
        <w:tblW w:w="0" w:type="auto"/>
        <w:tblInd w:w="0" w:type="dxa"/>
        <w:tblLayout w:type="fixed"/>
        <w:tblCellMar>
          <w:top w:w="0" w:type="dxa"/>
          <w:left w:w="0" w:type="dxa"/>
          <w:bottom w:w="0" w:type="dxa"/>
          <w:right w:w="0" w:type="dxa"/>
        </w:tblCellMar>
      </w:tblPr>
      <w:tblGrid>
        <w:gridCol w:w="450"/>
        <w:gridCol w:w="2162"/>
        <w:gridCol w:w="2091"/>
        <w:gridCol w:w="1320"/>
        <w:gridCol w:w="1194"/>
        <w:gridCol w:w="1020"/>
      </w:tblGrid>
      <w:tr>
        <w:trPr>
          <w:trHeight w:val="51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1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路名</w:t>
            </w:r>
          </w:p>
        </w:tc>
        <w:tc>
          <w:tcPr>
            <w:tcW w:w="209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灯杆（含灯具、线路）（支）</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路灯控制箱(个)</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箱变(个)</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CellMar>
            <w:top w:w="0" w:type="dxa"/>
            <w:left w:w="0" w:type="dxa"/>
            <w:bottom w:w="0" w:type="dxa"/>
            <w:right w:w="0" w:type="dxa"/>
          </w:tblCellMar>
        </w:tblPrEx>
        <w:trPr>
          <w:trHeight w:val="409"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21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209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沿江西路</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189</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古梅路</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文武涌路</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147</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港中路</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91</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教育路</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马士基路</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八达路</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85</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西环路</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185</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建设路/振兴路</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教师楼、旧镇府</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兴南路</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241</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兴华路</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198</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景观路灯</w:t>
            </w: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中心小学路</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学院南路</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淡水河景观大道</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漳澎富民路</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漳澎规划路</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沿江西路（景观灯）</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63</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古梅路（景观灯）</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新沙一横路</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157</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规划十三路</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新沙景观大道</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49</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东太规划一路</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东环三期广场</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新港南路</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作业区中路</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05" w:hRule="atLeast"/>
        </w:trPr>
        <w:tc>
          <w:tcPr>
            <w:tcW w:w="2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小计</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2302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bl>
    <w:p>
      <w:pPr>
        <w:pStyle w:val="2"/>
        <w:spacing w:before="0" w:after="0" w:line="360" w:lineRule="auto"/>
        <w:ind w:left="0"/>
        <w:rPr>
          <w:b/>
          <w:bCs/>
          <w:color w:val="auto"/>
          <w:highlight w:val="none"/>
          <w:lang w:val="en-US"/>
        </w:rPr>
      </w:pPr>
      <w:r>
        <w:rPr>
          <w:rFonts w:hint="eastAsia"/>
          <w:b/>
          <w:bCs/>
          <w:color w:val="auto"/>
          <w:highlight w:val="none"/>
          <w:lang w:val="en-US"/>
        </w:rPr>
        <w:t>附件2：</w:t>
      </w:r>
    </w:p>
    <w:p>
      <w:pPr>
        <w:pStyle w:val="2"/>
        <w:spacing w:before="0" w:after="0" w:line="360" w:lineRule="auto"/>
        <w:ind w:left="0"/>
        <w:jc w:val="center"/>
        <w:rPr>
          <w:b/>
          <w:bCs/>
          <w:color w:val="auto"/>
          <w:highlight w:val="none"/>
          <w:lang w:val="en-US"/>
        </w:rPr>
      </w:pPr>
      <w:r>
        <w:rPr>
          <w:rFonts w:hint="eastAsia"/>
          <w:b/>
          <w:bCs/>
          <w:color w:val="auto"/>
          <w:highlight w:val="none"/>
          <w:lang w:val="en-US"/>
        </w:rPr>
        <w:t>夜景灯市场化管养数量统计表</w:t>
      </w:r>
    </w:p>
    <w:tbl>
      <w:tblPr>
        <w:tblStyle w:val="19"/>
        <w:tblW w:w="8339" w:type="dxa"/>
        <w:tblInd w:w="0" w:type="dxa"/>
        <w:tblLayout w:type="fixed"/>
        <w:tblCellMar>
          <w:top w:w="0" w:type="dxa"/>
          <w:left w:w="0" w:type="dxa"/>
          <w:bottom w:w="0" w:type="dxa"/>
          <w:right w:w="0" w:type="dxa"/>
        </w:tblCellMar>
      </w:tblPr>
      <w:tblGrid>
        <w:gridCol w:w="471"/>
        <w:gridCol w:w="1159"/>
        <w:gridCol w:w="779"/>
        <w:gridCol w:w="779"/>
        <w:gridCol w:w="779"/>
        <w:gridCol w:w="779"/>
        <w:gridCol w:w="779"/>
        <w:gridCol w:w="779"/>
        <w:gridCol w:w="779"/>
        <w:gridCol w:w="779"/>
        <w:gridCol w:w="477"/>
      </w:tblGrid>
      <w:tr>
        <w:tblPrEx>
          <w:tblCellMar>
            <w:top w:w="0" w:type="dxa"/>
            <w:left w:w="0" w:type="dxa"/>
            <w:bottom w:w="0" w:type="dxa"/>
            <w:right w:w="0" w:type="dxa"/>
          </w:tblCellMar>
        </w:tblPrEx>
        <w:trPr>
          <w:trHeight w:val="52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路名</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投光灯（含庭院灯）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个</w:t>
            </w:r>
            <w:r>
              <w:rPr>
                <w:rFonts w:hint="eastAsia" w:ascii="宋体" w:hAnsi="宋体" w:eastAsia="宋体" w:cs="宋体"/>
                <w:color w:val="auto"/>
                <w:sz w:val="21"/>
                <w:szCs w:val="21"/>
                <w:highlight w:val="none"/>
                <w:lang w:eastAsia="zh-CN"/>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线条灯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米</w:t>
            </w:r>
            <w:r>
              <w:rPr>
                <w:rFonts w:hint="eastAsia" w:ascii="宋体" w:hAnsi="宋体" w:eastAsia="宋体" w:cs="宋体"/>
                <w:color w:val="auto"/>
                <w:sz w:val="21"/>
                <w:szCs w:val="21"/>
                <w:highlight w:val="none"/>
                <w:lang w:eastAsia="zh-CN"/>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洗墙灯、点串灯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米</w:t>
            </w:r>
            <w:r>
              <w:rPr>
                <w:rFonts w:hint="eastAsia" w:ascii="宋体" w:hAnsi="宋体" w:eastAsia="宋体" w:cs="宋体"/>
                <w:color w:val="auto"/>
                <w:sz w:val="21"/>
                <w:szCs w:val="21"/>
                <w:highlight w:val="none"/>
                <w:lang w:eastAsia="zh-CN"/>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瓦楞灯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个</w:t>
            </w:r>
            <w:r>
              <w:rPr>
                <w:rFonts w:hint="eastAsia" w:ascii="宋体" w:hAnsi="宋体" w:eastAsia="宋体" w:cs="宋体"/>
                <w:color w:val="auto"/>
                <w:sz w:val="21"/>
                <w:szCs w:val="21"/>
                <w:highlight w:val="none"/>
                <w:lang w:eastAsia="zh-CN"/>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壁灯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个</w:t>
            </w:r>
            <w:r>
              <w:rPr>
                <w:rFonts w:hint="eastAsia" w:ascii="宋体" w:hAnsi="宋体" w:eastAsia="宋体" w:cs="宋体"/>
                <w:color w:val="auto"/>
                <w:sz w:val="21"/>
                <w:szCs w:val="21"/>
                <w:highlight w:val="none"/>
                <w:lang w:eastAsia="zh-CN"/>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轮廓灯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个</w:t>
            </w:r>
            <w:r>
              <w:rPr>
                <w:rFonts w:hint="eastAsia" w:ascii="宋体" w:hAnsi="宋体" w:eastAsia="宋体" w:cs="宋体"/>
                <w:color w:val="auto"/>
                <w:sz w:val="21"/>
                <w:szCs w:val="21"/>
                <w:highlight w:val="none"/>
                <w:lang w:eastAsia="zh-CN"/>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点光源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个</w:t>
            </w:r>
            <w:r>
              <w:rPr>
                <w:rFonts w:hint="eastAsia" w:ascii="宋体" w:hAnsi="宋体" w:eastAsia="宋体" w:cs="宋体"/>
                <w:color w:val="auto"/>
                <w:sz w:val="21"/>
                <w:szCs w:val="21"/>
                <w:highlight w:val="none"/>
                <w:lang w:eastAsia="zh-CN"/>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控制箱</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个</w:t>
            </w:r>
            <w:r>
              <w:rPr>
                <w:rFonts w:hint="eastAsia" w:ascii="宋体" w:hAnsi="宋体" w:eastAsia="宋体" w:cs="宋体"/>
                <w:color w:val="auto"/>
                <w:sz w:val="21"/>
                <w:szCs w:val="21"/>
                <w:highlight w:val="none"/>
                <w:lang w:eastAsia="zh-CN"/>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CellMar>
            <w:top w:w="0" w:type="dxa"/>
            <w:left w:w="0" w:type="dxa"/>
            <w:bottom w:w="0" w:type="dxa"/>
            <w:right w:w="0" w:type="dxa"/>
          </w:tblCellMar>
        </w:tblPrEx>
        <w:trPr>
          <w:trHeight w:val="52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牌坊（八个）</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2365</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282</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983</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83</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2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景观节点</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64</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251</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2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淡水河桥头堡</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866</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636</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2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雕塑节点</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139</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2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房地产小区（六个）</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1049</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1710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4482</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795</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604</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2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拈花寺</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1167.7</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707</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1912</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92</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2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麻涌大桥、中心大桥</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280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2670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2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麻涌河两岸</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1538</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5759</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1259</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2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主干道周边及建筑（含文化广场）</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1537</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11554</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1737</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462</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2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东江北干流公园</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1568</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2646</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1470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68</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2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淡水河北岸</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325</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1021</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66</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9984</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25" w:hRule="atLeast"/>
        </w:trPr>
        <w:tc>
          <w:tcPr>
            <w:tcW w:w="16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小计</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6518</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19442.7</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19358</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3531</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1568</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795</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11050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p>
        </w:tc>
      </w:tr>
    </w:tbl>
    <w:p>
      <w:pPr>
        <w:pStyle w:val="2"/>
        <w:spacing w:before="0" w:after="0" w:line="360" w:lineRule="auto"/>
        <w:ind w:left="0"/>
        <w:rPr>
          <w:b/>
          <w:bCs/>
          <w:color w:val="auto"/>
          <w:highlight w:val="none"/>
          <w:lang w:val="en-US"/>
        </w:rPr>
      </w:pPr>
    </w:p>
    <w:p>
      <w:pPr>
        <w:pStyle w:val="5"/>
        <w:spacing w:after="0"/>
        <w:rPr>
          <w:rFonts w:ascii="宋体" w:hAnsi="宋体" w:cs="宋体"/>
          <w:color w:val="auto"/>
          <w:highlight w:val="none"/>
        </w:rPr>
      </w:pPr>
      <w:r>
        <w:rPr>
          <w:rFonts w:hint="eastAsia" w:ascii="宋体" w:hAnsi="宋体" w:cs="宋体"/>
          <w:color w:val="auto"/>
          <w:highlight w:val="none"/>
        </w:rPr>
        <w:t>六、报价要求</w:t>
      </w:r>
    </w:p>
    <w:p>
      <w:pPr>
        <w:widowControl w:val="0"/>
        <w:autoSpaceDE w:val="0"/>
        <w:autoSpaceDN w:val="0"/>
        <w:adjustRightInd/>
        <w:snapToGrid/>
        <w:spacing w:after="0" w:line="360"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1、投标报价包含完成本项目所需的人工费、材料费、设备使用费、各种税费、保险费及合同实施过程中的不可预见费用等全部费用，按本次招标范围及中标价一次包干，结算时不作调整。</w:t>
      </w:r>
    </w:p>
    <w:p>
      <w:pPr>
        <w:widowControl w:val="0"/>
        <w:autoSpaceDE w:val="0"/>
        <w:autoSpaceDN w:val="0"/>
        <w:adjustRightInd/>
        <w:snapToGrid/>
        <w:spacing w:after="0" w:line="360"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2、以人民币为结算单位。</w:t>
      </w:r>
    </w:p>
    <w:p>
      <w:pPr>
        <w:pStyle w:val="2"/>
        <w:spacing w:before="0" w:after="0" w:line="360" w:lineRule="auto"/>
        <w:ind w:left="0"/>
        <w:rPr>
          <w:color w:val="auto"/>
          <w:highlight w:val="none"/>
        </w:rPr>
      </w:pPr>
    </w:p>
    <w:p>
      <w:pPr>
        <w:pStyle w:val="5"/>
        <w:spacing w:after="0"/>
        <w:rPr>
          <w:rFonts w:ascii="宋体" w:hAnsi="宋体" w:cs="宋体"/>
          <w:color w:val="auto"/>
          <w:highlight w:val="none"/>
        </w:rPr>
      </w:pPr>
      <w:r>
        <w:rPr>
          <w:rFonts w:hint="eastAsia" w:ascii="宋体" w:hAnsi="宋体" w:cs="宋体"/>
          <w:color w:val="auto"/>
          <w:highlight w:val="none"/>
        </w:rPr>
        <w:t>七、服务期</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服务期：合同签订之日起，三年服务期。（具体以时间签订合同时间为准。）</w:t>
      </w:r>
    </w:p>
    <w:p>
      <w:pPr>
        <w:pStyle w:val="7"/>
        <w:spacing w:after="0" w:line="360" w:lineRule="auto"/>
        <w:ind w:firstLine="480"/>
        <w:rPr>
          <w:rFonts w:ascii="宋体" w:hAnsi="宋体" w:eastAsia="宋体" w:cs="宋体"/>
          <w:color w:val="auto"/>
          <w:sz w:val="24"/>
          <w:highlight w:val="none"/>
        </w:rPr>
      </w:pPr>
    </w:p>
    <w:p>
      <w:pPr>
        <w:pStyle w:val="5"/>
        <w:spacing w:after="0"/>
        <w:rPr>
          <w:rFonts w:ascii="宋体" w:hAnsi="宋体" w:cs="宋体"/>
          <w:color w:val="auto"/>
          <w:highlight w:val="none"/>
        </w:rPr>
      </w:pPr>
      <w:r>
        <w:rPr>
          <w:rFonts w:hint="eastAsia" w:ascii="宋体" w:hAnsi="宋体" w:cs="宋体"/>
          <w:color w:val="auto"/>
          <w:highlight w:val="none"/>
        </w:rPr>
        <w:t>八、付款方式</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付款方式：根据每月评分结果按月支付养护费。</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根据现场实际、镇政府及相关文件要求，养护数量如有增减，中标单位必须无条件服从，养护费用根据实际养护数量将做调整，调整依据根据中标单位报价确定，因此施工单位报总价的同时，必须报灯杆、灯具、投光灯、灯带、箱变及配电箱等的单价。</w:t>
      </w:r>
    </w:p>
    <w:p>
      <w:pPr>
        <w:pStyle w:val="28"/>
        <w:spacing w:after="0" w:line="360" w:lineRule="auto"/>
        <w:ind w:firstLine="0" w:firstLineChars="0"/>
        <w:rPr>
          <w:rFonts w:ascii="宋体" w:hAnsi="宋体" w:eastAsia="宋体" w:cs="宋体"/>
          <w:b/>
          <w:color w:val="auto"/>
          <w:sz w:val="24"/>
          <w:highlight w:val="none"/>
        </w:rPr>
      </w:pPr>
    </w:p>
    <w:p>
      <w:pPr>
        <w:pStyle w:val="5"/>
        <w:spacing w:after="0"/>
        <w:rPr>
          <w:rFonts w:ascii="宋体" w:hAnsi="宋体" w:cs="宋体"/>
          <w:color w:val="auto"/>
          <w:highlight w:val="none"/>
        </w:rPr>
      </w:pPr>
      <w:r>
        <w:rPr>
          <w:rFonts w:hint="eastAsia" w:ascii="宋体" w:hAnsi="宋体" w:cs="宋体"/>
          <w:color w:val="auto"/>
          <w:highlight w:val="none"/>
        </w:rPr>
        <w:t>★九、履约保证金</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在收到中标通知书之日起十日内，向招标人提交由银行出具的履约保函或现金转账或担保机构履约担保函，履约保证金为合同价的10%。如中标人未履行或未按照合同约定履行义务的，履约保证金不予退还；如中标人完全按照合同约定履行义务的，招标人于承包合同期满之日起三个月内将履约保证金全额无息退还给中标人。</w:t>
      </w:r>
    </w:p>
    <w:p>
      <w:pPr>
        <w:spacing w:after="0" w:line="360" w:lineRule="auto"/>
        <w:rPr>
          <w:rFonts w:ascii="宋体" w:hAnsi="宋体" w:eastAsia="宋体" w:cs="宋体"/>
          <w:color w:val="auto"/>
          <w:sz w:val="24"/>
          <w:szCs w:val="24"/>
          <w:highlight w:val="none"/>
        </w:rPr>
      </w:pPr>
    </w:p>
    <w:p>
      <w:pPr>
        <w:pStyle w:val="5"/>
        <w:spacing w:after="0"/>
        <w:rPr>
          <w:rFonts w:ascii="宋体" w:hAnsi="宋体" w:cs="宋体"/>
          <w:color w:val="auto"/>
          <w:highlight w:val="none"/>
        </w:rPr>
      </w:pPr>
      <w:r>
        <w:rPr>
          <w:rFonts w:hint="eastAsia" w:ascii="宋体" w:hAnsi="宋体" w:cs="宋体"/>
          <w:color w:val="auto"/>
          <w:highlight w:val="none"/>
        </w:rPr>
        <w:t>十、框架条款</w:t>
      </w:r>
    </w:p>
    <w:p>
      <w:pPr>
        <w:spacing w:after="0" w:line="360" w:lineRule="auto"/>
        <w:ind w:firstLine="420" w:firstLineChars="200"/>
        <w:rPr>
          <w:color w:val="auto"/>
          <w:highlight w:val="none"/>
        </w:rPr>
      </w:pPr>
      <w:r>
        <w:rPr>
          <w:rFonts w:hint="eastAsia" w:ascii="宋体" w:hAnsi="宋体" w:eastAsia="宋体"/>
          <w:color w:val="auto"/>
          <w:sz w:val="21"/>
          <w:szCs w:val="21"/>
          <w:highlight w:val="none"/>
        </w:rPr>
        <w:t>为更好地激励中标单位更好的执行路灯维护任务，保质保量地完成路灯及夜景灯市场化管养，中标单位须与招标人签署一个三年期维护服务框架协议，即中标后，双方首先按招标书相关约定签署第一年服务合同，合同执行期间，招标人将加强对中标单位维护施工过程管控和绩效考核，并以此作为双方后续合作与否的重要依据。从第二个维护年度起，年度维护合同需根据中标单位上一个服务年度的工作绩效情况决定是否签署，若中标单位工作绩效通过相关部门考核，则签署下一年合同，若考核不通过则中标单位需退出该项目合作，路灯及夜景灯维护工作由招标人重新通过政府采购开展服务。基于此，为保障三年服务期内不同年度路灯养护工作的有效衔接，招标人针对本项目出具了路灯及夜景灯市场化管养考核评分表（详见附件3），并写入项目采购文件和作为合同附件。具体在路灯维护服务开展的过程中，除了对维护服务进行日常常规性的考核外，招标人将于年度养护服务</w:t>
      </w:r>
      <w:r>
        <w:rPr>
          <w:rFonts w:hint="eastAsia" w:ascii="宋体" w:hAnsi="宋体" w:eastAsia="宋体"/>
          <w:color w:val="auto"/>
          <w:sz w:val="21"/>
          <w:szCs w:val="21"/>
          <w:highlight w:val="none"/>
          <w:lang w:val="en-US" w:eastAsia="zh-CN"/>
        </w:rPr>
        <w:t>的开展</w:t>
      </w:r>
      <w:r>
        <w:rPr>
          <w:rFonts w:hint="eastAsia" w:ascii="宋体" w:hAnsi="宋体" w:eastAsia="宋体"/>
          <w:color w:val="auto"/>
          <w:sz w:val="21"/>
          <w:szCs w:val="21"/>
          <w:highlight w:val="none"/>
        </w:rPr>
        <w:t>通过自身组建团队或聘请第三方对中标单位路灯养护服务情况进行年度绩效考核（按百分制打分，考核的平均分达到90分（含）以上为及格、低于90分（不含）为不及格，考核评分表详见附件3），并依据本年度绩效考核的结果决定下一年度服务合同的签署情况，若中标单位绩效考核不及格，将依据框架协议解除与其下一年度的合作关系。</w:t>
      </w:r>
    </w:p>
    <w:p>
      <w:pPr>
        <w:rPr>
          <w:color w:val="auto"/>
          <w:highlight w:val="none"/>
        </w:rPr>
      </w:pPr>
    </w:p>
    <w:p>
      <w:pPr>
        <w:pStyle w:val="5"/>
        <w:spacing w:after="0"/>
        <w:rPr>
          <w:color w:val="auto"/>
          <w:highlight w:val="none"/>
        </w:rPr>
      </w:pPr>
      <w:r>
        <w:rPr>
          <w:rFonts w:hint="eastAsia"/>
          <w:color w:val="auto"/>
          <w:highlight w:val="none"/>
        </w:rPr>
        <w:t>十一、其他要求</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中标单位需编制路灯养护实施方案，招标方对中标单位的路灯养护实施方案进行审核及提出修改意见，经招标方审查后的路灯养护实施方案，将作为本工程承包合同的附件。路灯养护实施方案内容包含但不限于：（1）具备适合的工程师、电工、管理等人员，并向甲方提供有关人员职责名单及资质证、上岗证复印件；中标后，于进场一星期内将上述人员证书原件供招标方核验。（2）投入本项目的机械设备清单（注明名称、型号、数量），所采用的设备必须满足国家有关技术操作规程的要求；中标后，中标单位投入的机械设备在20天内要经招标方核准认定。</w:t>
      </w:r>
    </w:p>
    <w:p>
      <w:pPr>
        <w:spacing w:after="0" w:line="360" w:lineRule="auto"/>
        <w:ind w:firstLine="420" w:firstLineChars="200"/>
        <w:rPr>
          <w:rFonts w:ascii="宋体" w:hAnsi="宋体" w:eastAsia="宋体" w:cs="Times New Roman"/>
          <w:b/>
          <w:bCs/>
          <w:color w:val="auto"/>
          <w:sz w:val="21"/>
          <w:szCs w:val="21"/>
          <w:highlight w:val="none"/>
        </w:rPr>
      </w:pPr>
      <w:r>
        <w:rPr>
          <w:rFonts w:hint="eastAsia" w:ascii="宋体" w:hAnsi="宋体" w:eastAsia="宋体"/>
          <w:color w:val="auto"/>
          <w:sz w:val="21"/>
          <w:szCs w:val="21"/>
          <w:highlight w:val="none"/>
        </w:rPr>
        <w:t>2、招标单位将养护任务交给中标单位，中标单位按招标单位的管理要求和标准来组织管理养护工作，并接受招标单位的指导、监督、检查验收、考评和按章处以违约金。中标单位按中标价包工、包料、包机械设备、包质量、包安全、包巡查、包养护；按国家等相关规定，应由中标单位缴纳的各种费用已包含在中标价中，由中标单位向有关部门交付。</w:t>
      </w:r>
    </w:p>
    <w:p>
      <w:pPr>
        <w:spacing w:after="0" w:line="360" w:lineRule="auto"/>
        <w:ind w:firstLine="422" w:firstLineChars="200"/>
        <w:rPr>
          <w:rFonts w:ascii="宋体" w:hAnsi="宋体" w:eastAsia="宋体" w:cs="Times New Roman"/>
          <w:b/>
          <w:bCs/>
          <w:color w:val="auto"/>
          <w:sz w:val="21"/>
          <w:szCs w:val="21"/>
          <w:highlight w:val="none"/>
        </w:rPr>
      </w:pPr>
    </w:p>
    <w:p>
      <w:pPr>
        <w:spacing w:after="0" w:line="360" w:lineRule="auto"/>
        <w:ind w:firstLine="422" w:firstLineChars="200"/>
        <w:rPr>
          <w:rFonts w:ascii="宋体" w:hAnsi="宋体" w:cs="宋体"/>
          <w:b/>
          <w:bCs/>
          <w:color w:val="auto"/>
          <w:szCs w:val="24"/>
          <w:highlight w:val="none"/>
          <w:lang w:val="en-US"/>
        </w:rPr>
      </w:pPr>
      <w:r>
        <w:rPr>
          <w:rFonts w:hint="eastAsia" w:ascii="宋体" w:hAnsi="宋体" w:eastAsia="宋体" w:cs="Times New Roman"/>
          <w:b/>
          <w:bCs/>
          <w:color w:val="auto"/>
          <w:sz w:val="21"/>
          <w:szCs w:val="21"/>
          <w:highlight w:val="none"/>
        </w:rPr>
        <w:t>注：不满足招标文件中 “★”条款的投标文件将作无效投标处理</w:t>
      </w:r>
      <w:bookmarkEnd w:id="6"/>
      <w:bookmarkEnd w:id="7"/>
      <w:bookmarkEnd w:id="8"/>
      <w:bookmarkEnd w:id="9"/>
    </w:p>
    <w:p>
      <w:pPr>
        <w:spacing w:after="0"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附件3：</w:t>
      </w:r>
    </w:p>
    <w:p>
      <w:pPr>
        <w:spacing w:after="0" w:line="360" w:lineRule="auto"/>
        <w:jc w:val="center"/>
        <w:rPr>
          <w:color w:val="auto"/>
          <w:highlight w:val="none"/>
        </w:rPr>
      </w:pPr>
      <w:r>
        <w:rPr>
          <w:rFonts w:hint="eastAsia" w:ascii="宋体" w:hAnsi="宋体" w:eastAsia="宋体" w:cs="宋体"/>
          <w:b/>
          <w:bCs/>
          <w:color w:val="auto"/>
          <w:sz w:val="24"/>
          <w:szCs w:val="24"/>
          <w:highlight w:val="none"/>
        </w:rPr>
        <w:t>麻涌镇路灯及夜景灯市场化管养考核评分表（定期检查、不定期检查通用）</w:t>
      </w:r>
    </w:p>
    <w:p>
      <w:pPr>
        <w:pStyle w:val="2"/>
        <w:ind w:left="0"/>
        <w:rPr>
          <w:color w:val="auto"/>
          <w:highlight w:val="none"/>
          <w:lang w:val="en-US"/>
        </w:rPr>
      </w:pPr>
      <w:r>
        <w:rPr>
          <w:rFonts w:hint="eastAsia"/>
          <w:color w:val="auto"/>
          <w:highlight w:val="none"/>
          <w:lang w:val="en-US"/>
        </w:rPr>
        <w:t>考核月份：</w:t>
      </w:r>
    </w:p>
    <w:tbl>
      <w:tblPr>
        <w:tblStyle w:val="19"/>
        <w:tblW w:w="0" w:type="auto"/>
        <w:tblInd w:w="0" w:type="dxa"/>
        <w:tblLayout w:type="autofit"/>
        <w:tblCellMar>
          <w:top w:w="0" w:type="dxa"/>
          <w:left w:w="0" w:type="dxa"/>
          <w:bottom w:w="0" w:type="dxa"/>
          <w:right w:w="0" w:type="dxa"/>
        </w:tblCellMar>
      </w:tblPr>
      <w:tblGrid>
        <w:gridCol w:w="601"/>
        <w:gridCol w:w="570"/>
        <w:gridCol w:w="2981"/>
        <w:gridCol w:w="931"/>
        <w:gridCol w:w="1880"/>
        <w:gridCol w:w="560"/>
        <w:gridCol w:w="803"/>
      </w:tblGrid>
      <w:tr>
        <w:trPr>
          <w:trHeight w:val="315"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项目总分</w:t>
            </w:r>
          </w:p>
        </w:tc>
        <w:tc>
          <w:tcPr>
            <w:tcW w:w="39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检查方法及评价依据</w:t>
            </w:r>
          </w:p>
        </w:tc>
        <w:tc>
          <w:tcPr>
            <w:tcW w:w="188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扣分办法</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本期</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本期实际得分</w:t>
            </w:r>
          </w:p>
        </w:tc>
      </w:tr>
      <w:tr>
        <w:tblPrEx>
          <w:tblCellMar>
            <w:top w:w="0" w:type="dxa"/>
            <w:left w:w="0" w:type="dxa"/>
            <w:bottom w:w="0" w:type="dxa"/>
            <w:right w:w="0" w:type="dxa"/>
          </w:tblCellMar>
        </w:tblPrEx>
        <w:trPr>
          <w:trHeight w:val="26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39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应扣分</w:t>
            </w: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662"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日常管理检查</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15分</w:t>
            </w: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1、项目管理人员及团队人员架构表须上墙</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未按要求设置的，每次扣1分，扣完为止。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724"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2、管理制度（管理人员岗位职责、文明施工制度等）必须上墙</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未按要求设置的，每次扣1分，扣完为止。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5"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3、拟投入设备、材料及工具等须分区摆设</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未按要求分区摆设的，每次扣1分，扣完为止。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2157"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应建立每日巡查制度，每晚亮灯后，必须对养护范围内的所有路段全面检查一次亮灯情况并按要求填好路灯及夜景灯运行情况记录表格，同时要求对存在较大问题的路段进行拍照，每周一提交上周的巡查记录表、故障处理情况表和相关的图片等资料，记录表格如有弄虚作假，经采购人调查认定情况属实的。</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未按要求巡查或上交巡查记录资料或弄虚作假的，每处每次扣0.5分，扣完为止。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1348"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5、实行路灯、夜景灯的户籍手册，要做到每盏路灯、夜景灯、每个箱变都有档案记录；必须每月底将当月的养护情况书面报告甲方。每年喷漆翻新前，必须将计划报甲方，以便甲方进行监督。</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未建立户籍手册的，每处扣0.1分，扣完为止。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60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6、每月及时按要求上交各项记录表格</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每缺一项每次扣0.5分，扣完为止。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1158"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7、在进行养护作业时操作人员必须穿反光服、戴安全帽，维修现场设置明显警示标志，并严格遵守国家电工安全操作规程规范</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未按要求执行的每发现一次扣0.5分，扣完为止。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848"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8、操作人员须持证上岗，驾驶员要持有驾驶证，路灯及夜景灯维修人员要持有电工证和高空作业证</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发现无证上岗，每人次扣0.5分，扣完为止。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853"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9、要有随时可更换数量的灯具、灯泡、镇流器、电缆、灯杆等路灯及夜景灯配件的库存</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未按要求备料的，每次扣0.5分，扣完为止。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2509"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要配备车况良好的维护车辆，配置要求如下：升空高度≥12米的高空作业车2台、货车（轻型箱式货车或轻型普通货车）2台；要求安排专职、专业上岗人员不少于12人组成本包专职实施团队，其中项目负责人1人，安全负责人（安全员）1人，项目专职维修人员不少于10人；配备日常检查维修用的高低压维修设备等相应满足养护需求的机械设备及工具，</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未按要求配备的，每缺一项每次扣1分，每少一人每次扣1分，扣完为止。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813" w:hRule="atLeast"/>
        </w:trPr>
        <w:tc>
          <w:tcPr>
            <w:tcW w:w="601"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现场 养护</w:t>
            </w:r>
          </w:p>
        </w:tc>
        <w:tc>
          <w:tcPr>
            <w:tcW w:w="57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70分</w:t>
            </w: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1、亮灯率不低于99%，亮灯率=（总光源数-灭灯盏数）/总光源数*100%。</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未达到要求的，超出部分每盏灯扣0.2分，扣完为止。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1042"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2、应设立每日巡灯、节假日值班及故障抢修制度和群众投诉电话，发现问题要及时记录和检修，因各种原因被损坏或被盗的，必须在12小时内修复。</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未按要求及时修复的，每处每次扣0.5分，扣完为止。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868"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3、损坏或被盗的路灯及夜景灯配件必须用原相同规格、品牌和型号的配件进行更换（经采购人同意除外）</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未按要求的，每发现一例扣0.5分，扣完为止。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2180"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4、必须按采购人通知调整的时间亮灯和灭灯，要求接通知后两天内按通知时间完成调整工作，且时间误差不得超过±5分钟，需变更亮灯和关灯的时间必须征得甲方同意</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未征得甲方同意擅自更改时间或未能在接通知后两天内完成调整工作或亮灯和关灯时间不准确且超过规定要求的，每处每次扣1分，扣完为止。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1048"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5、坚决杜绝白天无序亮灯，白天确实需要开灯进行抢修的，必须征得采购人同意后才能开灯，否则当白天无序亮灯处理</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一经发现白天无序亮灯的，每处每次扣1.5分，扣完为止。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940"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6、半夜亮灯方式必须按采购人规定要求进行设置</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未按要求的，每处每次扣1分，扣完为止。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2295"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夜晚巡查发现电缆线路有故障或电缆被盗的，必须于当晚进行排查并将故障范围减到最小，线路故障必须于次日18时前修复并根据被盗情况制定方案对被盗多发路段电缆进行加固；如损坏、被盗情况非常严重或故障涉及工程量较大确实在规定时间内不能完成，经得采购人同意后在规定时间内完成修复</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未按要求及时修复的，每处每次扣2分，扣完为止。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1145"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8、维修电缆等故障施工有破坏绿化、道路或其它设施的，必须在维修好后5天内按原来标准恢复</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不按规定时间或不按原来标准恢复的，每处每次扣2分，扣完为止。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1694"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若因第三方施工单位原因造成电缆损坏引起路灯及夜景灯不亮的，采购人协助中标人协调第三方进行确认并索赔，三方明确责任后中标人必须按采购人规定时间无条件先进行修复并亮灯，然后再跟踪赔偿的事宜（赔偿所得归中标人所有）</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未按要求及时修复的，每处每次扣2分，扣完为止。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945"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10、每天24小时有人值班，发生任何事故和故障的，接通知后必须在1小时内到达现场并进行现场处理</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未按要求的，每次扣0.5分，扣完为止。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660"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11、若因养护不到位受到市民投诉，经调查认定情况属实的</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每次扣0.5分，扣完为止。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910"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12、如有发生电缆、变压器被盗或损坏和发生交通事故路灯及夜景灯被撞坏等重大事件，应立即报告采购人</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未按要求及时报告的，每次扣0.5分，扣完为止。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5"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13、每一条灯杆无论何时不能带电</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发现漏电的，每条灯杆每次扣3分，扣完为止。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2280"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钠灯灯罩和LED灯具要求每年10月底前至少全面清洗一次，若日常检查中发现某些灯罩太脏影响路灯及夜景灯照射效果时，必须在发现后两天内对该部分灯罩进行清洗；日常检查中发现有灯罩破损的（不含质保期未满且由于质量原因引起的LED灯具），必须在发现后两天内对该部分灯罩进行维修或更换</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未按要求及时完成清洗或维修更换的，每个灯罩每次扣0.2分，扣完为止。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170"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路灯及夜景灯灯杆必须每季度清洗一次，分别在每个季度最后一个月月底前完成；新装路灯及夜景灯安装完成后当年以内按损坏部分进行局部翻新，其余的路灯及夜景灯杆必须每年全面翻新一次，在12月31日前完成；灯杆翻新在镇中心区部分由于街道车辆较多可采用油漆方式进行，其余外围路段必须采用喷漆方式进行，所采用油漆颜色要与原来灯杆颜色一致，且经长期日照也不会明显变色，灯杆翻新前必须先清洁灯杆，将脱漆部分或凹凸不平部位处理平滑，生锈部位去除锈迹，然后再进行油漆或喷漆处理；翻新后必须达到表面光滑均匀不流坠，灯杆颜色整体协调美观</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未按要求及时完成清洗、翻新和编号的，每支灯杆每次扣0.2分，扣完为止。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1155"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16、日常检查中发现灯杆出现脱漆或颜色明显褪变等现象的必须在5天内完成喷漆翻新</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未按要求及时完成翻新的，每支灯杆每次扣0.2分，扣完为止。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1425"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17、新移交的路灯及夜景灯必须马上进行编号一次，每年灯杆翻新后必须重新编号一次，在12月31日前完成；若平时发现路灯及夜景灯编号模糊不清等情况下必须在5天内重新编号</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未按要求及时完成编号的，每支灯杆每次扣0.1分，扣完为止。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1185"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18、所有照明配备设施要保持完好（灯具、灯杆、电缆、管道、基础、箱变和配电箱、检查井等）</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发现有不完好且在两天内不能及时修复的，每处扣0.5分，扣完为止。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rPr>
          <w:trHeight w:val="1415"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19、如发生交通事故对本项目养护范围内的路灯及夜景灯或其相关设施造成损坏的，必须在事故发生后1小时内到达现场进行处理，并在事故发生后10天内按原标准进行修复或更换</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未按要求及时修复的，每处每次扣3分，扣完为止。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1410"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20、必须在每年10月底前对路灯及夜景灯电缆全面进行一次绝缘测试，记录相关数据并提交采购人确认备案，对不符合要求电缆进行维修整改，以减少电缆短路事故的发生。</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未按要求对路灯及夜景灯电缆进行检测或维修的,每一个回路每次扣0.2分，扣完为止。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1155"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21、未经同意灯杆上不得悬挂广告牌或跨公路横额广告，一经发现必须在24小时内清除（经采购方同意除外）</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未按要求及时发现及清除的，每处每次扣0.1分，扣完为止。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1215"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22、除路灯及夜景灯外，其它用电如广告、灯饰及其它照明设施的用电未经采购人同意，中标人不得擅自接驳线路，若被人偷接线路不能在一个星期内及时发现的</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未经同意擅自接电或未及时发现偷接电情况的，每次扣1分，扣完为止。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1475"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23、配件的更换要求：必须按照要求更换原厂生产的路灯及夜景灯、夜景灯及照明设施配件，中标人要有相应的配件库存，配件更换时应通知甲方派人到现场确认配件质量，甲方有权不定时随机进行抽查。</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未按要求更换原厂配件的，每次扣1分，扣完为止。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1700"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24、实施过程中中标方必须根据承包合同中的各项条款，履行各项职责。应做好日常维护，保养记录的统计汇总，每月25日前上报下月维护计划报招标方审核，并安排好每日的维护工作(即制定每日维护计划)</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未按要求上报下月维护计划，每次扣2分，扣完为止。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rPr>
          <w:trHeight w:val="2840"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25、设备设施维护检测：按供电部门有关规定，春、秋两季定期常规检查电缆、灯具、箱变各一次，重大节日（元旦、春节、五一、国庆）常规检查电缆、灯具（不包括箱变）共四次；电缆每年绝缘测试一次，同时委托具有电气试验资质的试验单位对箱变（含箱变高压进线电缆）进行预防性检测试验一次，并提交相关试验报告备案，保证符合用电规范要求，并做好记录存档。</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未按要求完成的，每处每次扣1分，发现漏电的，每处每次扣3分，扣完为止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1955"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26、设立巡查检修小组，随时掌握半夜及早上亮灯、熄灯情况，把高杆灯作为重要巡查项目，保证高杆灯按时亮灯、按时熄灯，发现有整座灯不亮、不熄异常故障，要及时处理，组织抢修，24小时内恢复正常，并做好记录存档。</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未按要求完成的，每次扣0.5分，扣完为止。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1430"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27、每周对杆头配电箱检查一次，检查箱体、箱门有否受损，检查箱内各开关接头及电器是否良好，各电缆联接是否良好，发现问题及时处理并逐级报告，并做好记录存档。</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未按要求完成的，每处每次扣1分，发现漏电的，每处每次扣3分，扣完为止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1640"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28、每六个月（即年中、年末）检查内部减速机构、电缆、插头、钢丝绳等设备是否良好，清除杂物。对升降机构进行升降操作和保养。清洁机构积污，加润滑油，保持减速机构和传动机构灵活及牵引钢丝绳的良好状态，并做好记录存档。</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未按要求完成的，每处每次扣2分，发现漏电的，每处每次扣3分，扣完为止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rPr>
          <w:trHeight w:val="1700" w:hRule="atLeast"/>
        </w:trPr>
        <w:tc>
          <w:tcPr>
            <w:tcW w:w="601"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29、每年10月份对灯杆和地脚螺丝的金属防腐蚀情况进行评估，对有锈蚀的地方，根据锈蚀情况，进行有效的防锈处理；对接地电阻进行一次测试，使接地电阻不大于4Ω，确保高杆灯的可靠强度和安全运行，并做好记录存档。</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未按要求完成的，每处每次扣2分，发现漏电的，每处每次扣3分，扣完为止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870"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配电箱及箱变检查</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15分</w:t>
            </w: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1、箱变或配电箱外要有清晰明了的危险警示和投诉电话号码标识</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未按要求设置的，每处扣0.5分，扣完为止。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5"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2、箱变或配电箱的箱门要锁好</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没有锁好的，每个门扣0.5分，扣完为止。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965"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3、要求每一个配电箱的箱壳无论何时都不能带电</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一经发现有带电的，每个箱扣3分，扣完为止。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9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4、配电箱或箱变每月必须清扫一次，保持清洁干燥</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未按要求执行的，每处每次扣0.5分，扣完为止。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120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5、低压配电箱出现故障必须在8小时内修复，箱变的变压器和高压电缆被盗或被人为破坏出现故障等必须在采购人规定时间内进行修复</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未按要求及时修复的，每处每次扣2分，扣完为止。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905"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6、每月至少对配电箱或箱变内外进行一次仔细检查和电流电压测试并附记录</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未按要求执行的，每处每次扣0.2分，扣完为止。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87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7、箱变周的杂草要求每月至少清理一次，消除用电安全隐患</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未按要求及时清理的，每处每次扣0.5分，扣完为止。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141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8、警示标识、箱变箱体、围栏、配电箱箱体每年必须油漆翻新一次，在12月31日前完成；配电箱或箱变内时间控制器每两年全部更换一次</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未按要求及时翻新和更换的，每处每次扣0.5分，扣完为止。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7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合计</w:t>
            </w:r>
          </w:p>
        </w:tc>
        <w:tc>
          <w:tcPr>
            <w:tcW w:w="6922"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100分</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675"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636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定期检查得分（实际得分*60%）</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rPr>
                <w:rFonts w:ascii="宋体" w:hAnsi="宋体" w:eastAsia="宋体" w:cs="宋体"/>
                <w:color w:val="auto"/>
                <w:sz w:val="21"/>
                <w:szCs w:val="21"/>
                <w:highlight w:val="none"/>
              </w:rPr>
            </w:pPr>
          </w:p>
        </w:tc>
      </w:tr>
      <w:tr>
        <w:trPr>
          <w:trHeight w:val="675"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p>
        </w:tc>
        <w:tc>
          <w:tcPr>
            <w:tcW w:w="636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不定期检查得分（实际得分*40%）</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915"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w:t>
            </w:r>
          </w:p>
        </w:tc>
        <w:tc>
          <w:tcPr>
            <w:tcW w:w="636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月度考核得分（满分100分）=定期检查得分*60%+不定期抽查得分*40%</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300" w:hRule="atLeast"/>
        </w:trPr>
        <w:tc>
          <w:tcPr>
            <w:tcW w:w="4152" w:type="dxa"/>
            <w:gridSpan w:val="3"/>
            <w:vMerge w:val="restart"/>
            <w:tcBorders>
              <w:top w:val="single" w:color="000000" w:sz="8" w:space="0"/>
              <w:left w:val="single" w:color="000000" w:sz="8" w:space="0"/>
              <w:bottom w:val="single" w:color="000000" w:sz="8" w:space="0"/>
              <w:right w:val="nil"/>
            </w:tcBorders>
            <w:shd w:val="clear" w:color="auto" w:fill="auto"/>
            <w:tcMar>
              <w:top w:w="10" w:type="dxa"/>
              <w:left w:w="10" w:type="dxa"/>
              <w:right w:w="10" w:type="dxa"/>
            </w:tcMar>
            <w:vAlign w:val="center"/>
          </w:tcPr>
          <w:p>
            <w:pPr>
              <w:spacing w:after="0"/>
              <w:textAlignment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养护单位：</w:t>
            </w:r>
            <w:r>
              <w:rPr>
                <w:rFonts w:hint="eastAsia" w:ascii="宋体" w:hAnsi="宋体" w:eastAsia="宋体" w:cs="宋体"/>
                <w:b/>
                <w:color w:val="auto"/>
                <w:sz w:val="21"/>
                <w:szCs w:val="21"/>
                <w:highlight w:val="none"/>
              </w:rPr>
              <w:br w:type="textWrapping"/>
            </w:r>
            <w:r>
              <w:rPr>
                <w:rFonts w:hint="eastAsia" w:ascii="宋体" w:hAnsi="宋体" w:eastAsia="宋体" w:cs="宋体"/>
                <w:b/>
                <w:color w:val="auto"/>
                <w:sz w:val="21"/>
                <w:szCs w:val="21"/>
                <w:highlight w:val="none"/>
              </w:rPr>
              <w:br w:type="textWrapping"/>
            </w:r>
            <w:r>
              <w:rPr>
                <w:rFonts w:hint="eastAsia" w:ascii="宋体" w:hAnsi="宋体" w:eastAsia="宋体" w:cs="宋体"/>
                <w:b/>
                <w:color w:val="auto"/>
                <w:sz w:val="21"/>
                <w:szCs w:val="21"/>
                <w:highlight w:val="none"/>
              </w:rPr>
              <w:br w:type="textWrapping"/>
            </w:r>
            <w:r>
              <w:rPr>
                <w:rFonts w:hint="eastAsia" w:ascii="宋体" w:hAnsi="宋体" w:eastAsia="宋体" w:cs="宋体"/>
                <w:b/>
                <w:color w:val="auto"/>
                <w:sz w:val="21"/>
                <w:szCs w:val="21"/>
                <w:highlight w:val="none"/>
              </w:rPr>
              <w:br w:type="textWrapping"/>
            </w:r>
            <w:r>
              <w:rPr>
                <w:rFonts w:hint="eastAsia" w:ascii="宋体" w:hAnsi="宋体" w:eastAsia="宋体" w:cs="宋体"/>
                <w:b/>
                <w:color w:val="auto"/>
                <w:sz w:val="21"/>
                <w:szCs w:val="21"/>
                <w:highlight w:val="none"/>
              </w:rPr>
              <w:t>签名：</w:t>
            </w:r>
            <w:r>
              <w:rPr>
                <w:rFonts w:hint="eastAsia" w:ascii="宋体" w:hAnsi="宋体" w:eastAsia="宋体" w:cs="宋体"/>
                <w:b/>
                <w:color w:val="auto"/>
                <w:sz w:val="21"/>
                <w:szCs w:val="21"/>
                <w:highlight w:val="none"/>
              </w:rPr>
              <w:br w:type="textWrapping"/>
            </w:r>
            <w:r>
              <w:rPr>
                <w:rFonts w:hint="eastAsia" w:ascii="宋体" w:hAnsi="宋体" w:eastAsia="宋体" w:cs="宋体"/>
                <w:b/>
                <w:color w:val="auto"/>
                <w:sz w:val="21"/>
                <w:szCs w:val="21"/>
                <w:highlight w:val="none"/>
              </w:rPr>
              <w:br w:type="textWrapping"/>
            </w:r>
            <w:r>
              <w:rPr>
                <w:rFonts w:hint="eastAsia" w:ascii="宋体" w:hAnsi="宋体" w:eastAsia="宋体" w:cs="宋体"/>
                <w:b/>
                <w:color w:val="auto"/>
                <w:sz w:val="21"/>
                <w:szCs w:val="21"/>
                <w:highlight w:val="none"/>
              </w:rPr>
              <w:t>年   月  日</w:t>
            </w:r>
          </w:p>
        </w:tc>
        <w:tc>
          <w:tcPr>
            <w:tcW w:w="4174" w:type="dxa"/>
            <w:gridSpan w:val="4"/>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spacing w:after="0"/>
              <w:textAlignment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检查人：</w:t>
            </w:r>
            <w:r>
              <w:rPr>
                <w:rFonts w:hint="eastAsia" w:ascii="宋体" w:hAnsi="宋体" w:eastAsia="宋体" w:cs="宋体"/>
                <w:b/>
                <w:color w:val="auto"/>
                <w:sz w:val="21"/>
                <w:szCs w:val="21"/>
                <w:highlight w:val="none"/>
              </w:rPr>
              <w:br w:type="textWrapping"/>
            </w:r>
            <w:r>
              <w:rPr>
                <w:rFonts w:hint="eastAsia" w:ascii="宋体" w:hAnsi="宋体" w:eastAsia="宋体" w:cs="宋体"/>
                <w:b/>
                <w:color w:val="auto"/>
                <w:sz w:val="21"/>
                <w:szCs w:val="21"/>
                <w:highlight w:val="none"/>
              </w:rPr>
              <w:br w:type="textWrapping"/>
            </w:r>
            <w:r>
              <w:rPr>
                <w:rFonts w:hint="eastAsia" w:ascii="宋体" w:hAnsi="宋体" w:eastAsia="宋体" w:cs="宋体"/>
                <w:b/>
                <w:color w:val="auto"/>
                <w:sz w:val="21"/>
                <w:szCs w:val="21"/>
                <w:highlight w:val="none"/>
              </w:rPr>
              <w:br w:type="textWrapping"/>
            </w:r>
            <w:r>
              <w:rPr>
                <w:rFonts w:hint="eastAsia" w:ascii="宋体" w:hAnsi="宋体" w:eastAsia="宋体" w:cs="宋体"/>
                <w:b/>
                <w:color w:val="auto"/>
                <w:sz w:val="21"/>
                <w:szCs w:val="21"/>
                <w:highlight w:val="none"/>
              </w:rPr>
              <w:br w:type="textWrapping"/>
            </w:r>
            <w:r>
              <w:rPr>
                <w:rFonts w:hint="eastAsia" w:ascii="宋体" w:hAnsi="宋体" w:eastAsia="宋体" w:cs="宋体"/>
                <w:b/>
                <w:color w:val="auto"/>
                <w:sz w:val="21"/>
                <w:szCs w:val="21"/>
                <w:highlight w:val="none"/>
              </w:rPr>
              <w:t>签名：</w:t>
            </w:r>
            <w:r>
              <w:rPr>
                <w:rFonts w:hint="eastAsia" w:ascii="宋体" w:hAnsi="宋体" w:eastAsia="宋体" w:cs="宋体"/>
                <w:b/>
                <w:color w:val="auto"/>
                <w:sz w:val="21"/>
                <w:szCs w:val="21"/>
                <w:highlight w:val="none"/>
              </w:rPr>
              <w:br w:type="textWrapping"/>
            </w:r>
            <w:r>
              <w:rPr>
                <w:rFonts w:hint="eastAsia" w:ascii="宋体" w:hAnsi="宋体" w:eastAsia="宋体" w:cs="宋体"/>
                <w:b/>
                <w:color w:val="auto"/>
                <w:sz w:val="21"/>
                <w:szCs w:val="21"/>
                <w:highlight w:val="none"/>
              </w:rPr>
              <w:br w:type="textWrapping"/>
            </w:r>
            <w:r>
              <w:rPr>
                <w:rFonts w:hint="eastAsia" w:ascii="宋体" w:hAnsi="宋体" w:eastAsia="宋体" w:cs="宋体"/>
                <w:b/>
                <w:color w:val="auto"/>
                <w:sz w:val="21"/>
                <w:szCs w:val="21"/>
                <w:highlight w:val="none"/>
              </w:rPr>
              <w:t>年   月   日</w:t>
            </w:r>
          </w:p>
        </w:tc>
      </w:tr>
      <w:tr>
        <w:tblPrEx>
          <w:tblCellMar>
            <w:top w:w="0" w:type="dxa"/>
            <w:left w:w="0" w:type="dxa"/>
            <w:bottom w:w="0" w:type="dxa"/>
            <w:right w:w="0" w:type="dxa"/>
          </w:tblCellMar>
        </w:tblPrEx>
        <w:trPr>
          <w:trHeight w:val="285" w:hRule="atLeast"/>
        </w:trPr>
        <w:tc>
          <w:tcPr>
            <w:tcW w:w="4152" w:type="dxa"/>
            <w:gridSpan w:val="3"/>
            <w:vMerge w:val="continue"/>
            <w:tcBorders>
              <w:top w:val="single" w:color="000000" w:sz="8" w:space="0"/>
              <w:left w:val="single" w:color="000000" w:sz="8" w:space="0"/>
              <w:bottom w:val="single" w:color="000000" w:sz="8" w:space="0"/>
              <w:right w:val="nil"/>
            </w:tcBorders>
            <w:shd w:val="clear" w:color="auto" w:fill="auto"/>
            <w:tcMar>
              <w:top w:w="10" w:type="dxa"/>
              <w:left w:w="10" w:type="dxa"/>
              <w:right w:w="10" w:type="dxa"/>
            </w:tcMar>
            <w:vAlign w:val="center"/>
          </w:tcPr>
          <w:p>
            <w:pPr>
              <w:spacing w:after="0"/>
              <w:rPr>
                <w:rFonts w:ascii="宋体" w:hAnsi="宋体" w:eastAsia="宋体" w:cs="宋体"/>
                <w:b/>
                <w:color w:val="auto"/>
                <w:sz w:val="21"/>
                <w:szCs w:val="21"/>
                <w:highlight w:val="none"/>
              </w:rPr>
            </w:pPr>
          </w:p>
        </w:tc>
        <w:tc>
          <w:tcPr>
            <w:tcW w:w="4174"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spacing w:after="0"/>
              <w:rPr>
                <w:rFonts w:ascii="宋体" w:hAnsi="宋体" w:eastAsia="宋体" w:cs="宋体"/>
                <w:b/>
                <w:color w:val="auto"/>
                <w:sz w:val="21"/>
                <w:szCs w:val="21"/>
                <w:highlight w:val="none"/>
              </w:rPr>
            </w:pPr>
          </w:p>
        </w:tc>
      </w:tr>
      <w:tr>
        <w:tblPrEx>
          <w:tblCellMar>
            <w:top w:w="0" w:type="dxa"/>
            <w:left w:w="0" w:type="dxa"/>
            <w:bottom w:w="0" w:type="dxa"/>
            <w:right w:w="0" w:type="dxa"/>
          </w:tblCellMar>
        </w:tblPrEx>
        <w:trPr>
          <w:trHeight w:val="272" w:hRule="atLeast"/>
        </w:trPr>
        <w:tc>
          <w:tcPr>
            <w:tcW w:w="4152" w:type="dxa"/>
            <w:gridSpan w:val="3"/>
            <w:vMerge w:val="continue"/>
            <w:tcBorders>
              <w:top w:val="single" w:color="000000" w:sz="8" w:space="0"/>
              <w:left w:val="single" w:color="000000" w:sz="8" w:space="0"/>
              <w:bottom w:val="single" w:color="000000" w:sz="8" w:space="0"/>
              <w:right w:val="nil"/>
            </w:tcBorders>
            <w:shd w:val="clear" w:color="auto" w:fill="auto"/>
            <w:tcMar>
              <w:top w:w="10" w:type="dxa"/>
              <w:left w:w="10" w:type="dxa"/>
              <w:right w:w="10" w:type="dxa"/>
            </w:tcMar>
            <w:vAlign w:val="center"/>
          </w:tcPr>
          <w:p>
            <w:pPr>
              <w:spacing w:after="0"/>
              <w:rPr>
                <w:rFonts w:ascii="宋体" w:hAnsi="宋体" w:eastAsia="宋体" w:cs="宋体"/>
                <w:b/>
                <w:color w:val="auto"/>
                <w:sz w:val="21"/>
                <w:szCs w:val="21"/>
                <w:highlight w:val="none"/>
              </w:rPr>
            </w:pPr>
          </w:p>
        </w:tc>
        <w:tc>
          <w:tcPr>
            <w:tcW w:w="4174"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spacing w:after="0"/>
              <w:rPr>
                <w:rFonts w:ascii="宋体" w:hAnsi="宋体" w:eastAsia="宋体" w:cs="宋体"/>
                <w:b/>
                <w:color w:val="auto"/>
                <w:sz w:val="21"/>
                <w:szCs w:val="21"/>
                <w:highlight w:val="none"/>
              </w:rPr>
            </w:pPr>
          </w:p>
        </w:tc>
      </w:tr>
      <w:tr>
        <w:tblPrEx>
          <w:tblCellMar>
            <w:top w:w="0" w:type="dxa"/>
            <w:left w:w="0" w:type="dxa"/>
            <w:bottom w:w="0" w:type="dxa"/>
            <w:right w:w="0" w:type="dxa"/>
          </w:tblCellMar>
        </w:tblPrEx>
        <w:trPr>
          <w:trHeight w:val="285" w:hRule="atLeast"/>
        </w:trPr>
        <w:tc>
          <w:tcPr>
            <w:tcW w:w="4152" w:type="dxa"/>
            <w:gridSpan w:val="3"/>
            <w:vMerge w:val="continue"/>
            <w:tcBorders>
              <w:top w:val="single" w:color="000000" w:sz="8" w:space="0"/>
              <w:left w:val="single" w:color="000000" w:sz="8" w:space="0"/>
              <w:bottom w:val="single" w:color="000000" w:sz="8" w:space="0"/>
              <w:right w:val="nil"/>
            </w:tcBorders>
            <w:shd w:val="clear" w:color="auto" w:fill="auto"/>
            <w:tcMar>
              <w:top w:w="10" w:type="dxa"/>
              <w:left w:w="10" w:type="dxa"/>
              <w:right w:w="10" w:type="dxa"/>
            </w:tcMar>
            <w:vAlign w:val="center"/>
          </w:tcPr>
          <w:p>
            <w:pPr>
              <w:spacing w:after="0"/>
              <w:rPr>
                <w:rFonts w:ascii="宋体" w:hAnsi="宋体" w:eastAsia="宋体" w:cs="宋体"/>
                <w:b/>
                <w:color w:val="auto"/>
                <w:sz w:val="21"/>
                <w:szCs w:val="21"/>
                <w:highlight w:val="none"/>
              </w:rPr>
            </w:pPr>
          </w:p>
        </w:tc>
        <w:tc>
          <w:tcPr>
            <w:tcW w:w="4174"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spacing w:after="0"/>
              <w:rPr>
                <w:rFonts w:ascii="宋体" w:hAnsi="宋体" w:eastAsia="宋体" w:cs="宋体"/>
                <w:b/>
                <w:color w:val="auto"/>
                <w:sz w:val="21"/>
                <w:szCs w:val="21"/>
                <w:highlight w:val="none"/>
              </w:rPr>
            </w:pPr>
          </w:p>
        </w:tc>
      </w:tr>
      <w:tr>
        <w:tblPrEx>
          <w:tblCellMar>
            <w:top w:w="0" w:type="dxa"/>
            <w:left w:w="0" w:type="dxa"/>
            <w:bottom w:w="0" w:type="dxa"/>
            <w:right w:w="0" w:type="dxa"/>
          </w:tblCellMar>
        </w:tblPrEx>
        <w:trPr>
          <w:trHeight w:val="272" w:hRule="atLeast"/>
        </w:trPr>
        <w:tc>
          <w:tcPr>
            <w:tcW w:w="4152" w:type="dxa"/>
            <w:gridSpan w:val="3"/>
            <w:vMerge w:val="continue"/>
            <w:tcBorders>
              <w:top w:val="single" w:color="000000" w:sz="8" w:space="0"/>
              <w:left w:val="single" w:color="000000" w:sz="8" w:space="0"/>
              <w:bottom w:val="single" w:color="000000" w:sz="8" w:space="0"/>
              <w:right w:val="nil"/>
            </w:tcBorders>
            <w:shd w:val="clear" w:color="auto" w:fill="auto"/>
            <w:tcMar>
              <w:top w:w="10" w:type="dxa"/>
              <w:left w:w="10" w:type="dxa"/>
              <w:right w:w="10" w:type="dxa"/>
            </w:tcMar>
            <w:vAlign w:val="center"/>
          </w:tcPr>
          <w:p>
            <w:pPr>
              <w:spacing w:after="0"/>
              <w:rPr>
                <w:rFonts w:ascii="宋体" w:hAnsi="宋体" w:eastAsia="宋体" w:cs="宋体"/>
                <w:b/>
                <w:color w:val="auto"/>
                <w:sz w:val="21"/>
                <w:szCs w:val="21"/>
                <w:highlight w:val="none"/>
              </w:rPr>
            </w:pPr>
          </w:p>
        </w:tc>
        <w:tc>
          <w:tcPr>
            <w:tcW w:w="4174"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spacing w:after="0"/>
              <w:rPr>
                <w:rFonts w:ascii="宋体" w:hAnsi="宋体" w:eastAsia="宋体" w:cs="宋体"/>
                <w:b/>
                <w:color w:val="auto"/>
                <w:sz w:val="21"/>
                <w:szCs w:val="21"/>
                <w:highlight w:val="none"/>
              </w:rPr>
            </w:pPr>
          </w:p>
        </w:tc>
      </w:tr>
      <w:tr>
        <w:tblPrEx>
          <w:tblCellMar>
            <w:top w:w="0" w:type="dxa"/>
            <w:left w:w="0" w:type="dxa"/>
            <w:bottom w:w="0" w:type="dxa"/>
            <w:right w:w="0" w:type="dxa"/>
          </w:tblCellMar>
        </w:tblPrEx>
        <w:trPr>
          <w:trHeight w:val="330" w:hRule="atLeast"/>
        </w:trPr>
        <w:tc>
          <w:tcPr>
            <w:tcW w:w="4152" w:type="dxa"/>
            <w:gridSpan w:val="3"/>
            <w:vMerge w:val="continue"/>
            <w:tcBorders>
              <w:top w:val="single" w:color="000000" w:sz="8" w:space="0"/>
              <w:left w:val="single" w:color="000000" w:sz="8" w:space="0"/>
              <w:bottom w:val="single" w:color="000000" w:sz="8" w:space="0"/>
              <w:right w:val="nil"/>
            </w:tcBorders>
            <w:shd w:val="clear" w:color="auto" w:fill="auto"/>
            <w:tcMar>
              <w:top w:w="10" w:type="dxa"/>
              <w:left w:w="10" w:type="dxa"/>
              <w:right w:w="10" w:type="dxa"/>
            </w:tcMar>
            <w:vAlign w:val="center"/>
          </w:tcPr>
          <w:p>
            <w:pPr>
              <w:spacing w:after="0"/>
              <w:rPr>
                <w:rFonts w:ascii="宋体" w:hAnsi="宋体" w:eastAsia="宋体" w:cs="宋体"/>
                <w:b/>
                <w:color w:val="auto"/>
                <w:sz w:val="21"/>
                <w:szCs w:val="21"/>
                <w:highlight w:val="none"/>
              </w:rPr>
            </w:pPr>
          </w:p>
        </w:tc>
        <w:tc>
          <w:tcPr>
            <w:tcW w:w="4174"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spacing w:after="0"/>
              <w:rPr>
                <w:rFonts w:ascii="宋体" w:hAnsi="宋体" w:eastAsia="宋体" w:cs="宋体"/>
                <w:b/>
                <w:color w:val="auto"/>
                <w:sz w:val="21"/>
                <w:szCs w:val="21"/>
                <w:highlight w:val="none"/>
              </w:rPr>
            </w:pPr>
          </w:p>
        </w:tc>
      </w:tr>
      <w:tr>
        <w:tblPrEx>
          <w:tblCellMar>
            <w:top w:w="0" w:type="dxa"/>
            <w:left w:w="0" w:type="dxa"/>
            <w:bottom w:w="0" w:type="dxa"/>
            <w:right w:w="0" w:type="dxa"/>
          </w:tblCellMar>
        </w:tblPrEx>
        <w:trPr>
          <w:trHeight w:val="330" w:hRule="atLeast"/>
        </w:trPr>
        <w:tc>
          <w:tcPr>
            <w:tcW w:w="4152" w:type="dxa"/>
            <w:gridSpan w:val="3"/>
            <w:vMerge w:val="continue"/>
            <w:tcBorders>
              <w:top w:val="single" w:color="000000" w:sz="8" w:space="0"/>
              <w:left w:val="single" w:color="000000" w:sz="8" w:space="0"/>
              <w:bottom w:val="single" w:color="000000" w:sz="8" w:space="0"/>
              <w:right w:val="nil"/>
            </w:tcBorders>
            <w:shd w:val="clear" w:color="auto" w:fill="auto"/>
            <w:tcMar>
              <w:top w:w="10" w:type="dxa"/>
              <w:left w:w="10" w:type="dxa"/>
              <w:right w:w="10" w:type="dxa"/>
            </w:tcMar>
            <w:vAlign w:val="center"/>
          </w:tcPr>
          <w:p>
            <w:pPr>
              <w:spacing w:after="0"/>
              <w:rPr>
                <w:rFonts w:ascii="宋体" w:hAnsi="宋体" w:eastAsia="宋体" w:cs="宋体"/>
                <w:b/>
                <w:color w:val="auto"/>
                <w:sz w:val="21"/>
                <w:szCs w:val="21"/>
                <w:highlight w:val="none"/>
              </w:rPr>
            </w:pPr>
          </w:p>
        </w:tc>
        <w:tc>
          <w:tcPr>
            <w:tcW w:w="4174"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spacing w:after="0"/>
              <w:rPr>
                <w:rFonts w:ascii="宋体" w:hAnsi="宋体" w:eastAsia="宋体" w:cs="宋体"/>
                <w:b/>
                <w:color w:val="auto"/>
                <w:sz w:val="21"/>
                <w:szCs w:val="21"/>
                <w:highlight w:val="none"/>
              </w:rPr>
            </w:pPr>
          </w:p>
        </w:tc>
      </w:tr>
    </w:tbl>
    <w:p>
      <w:pPr>
        <w:spacing w:line="420" w:lineRule="atLeast"/>
        <w:ind w:right="-968" w:rightChars="-44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考核时间：     年    月    日</w:t>
      </w:r>
    </w:p>
    <w:p>
      <w:pPr>
        <w:spacing w:after="0" w:line="360" w:lineRule="auto"/>
        <w:ind w:firstLine="420" w:firstLineChars="200"/>
        <w:rPr>
          <w:rFonts w:ascii="宋体" w:hAnsi="宋体" w:eastAsia="宋体"/>
          <w:color w:val="auto"/>
          <w:sz w:val="21"/>
          <w:szCs w:val="21"/>
          <w:highlight w:val="none"/>
        </w:rPr>
      </w:pPr>
    </w:p>
    <w:p>
      <w:pPr>
        <w:pStyle w:val="2"/>
        <w:spacing w:before="0" w:after="0" w:line="360" w:lineRule="auto"/>
        <w:ind w:left="0" w:firstLine="442" w:firstLineChars="200"/>
        <w:rPr>
          <w:color w:val="auto"/>
          <w:highlight w:val="none"/>
          <w:lang w:val="en-US"/>
        </w:rPr>
      </w:pPr>
      <w:r>
        <w:rPr>
          <w:rFonts w:hint="eastAsia"/>
          <w:b/>
          <w:color w:val="auto"/>
          <w:sz w:val="22"/>
          <w:highlight w:val="none"/>
          <w:lang w:val="en-US"/>
        </w:rPr>
        <w:t>注：</w:t>
      </w:r>
      <w:r>
        <w:rPr>
          <w:rFonts w:hint="eastAsia"/>
          <w:b/>
          <w:color w:val="auto"/>
          <w:sz w:val="22"/>
          <w:highlight w:val="none"/>
        </w:rPr>
        <w:t>实行定</w:t>
      </w:r>
      <w:r>
        <w:rPr>
          <w:rFonts w:hint="eastAsia"/>
          <w:b/>
          <w:color w:val="auto"/>
          <w:sz w:val="22"/>
          <w:highlight w:val="none"/>
          <w:lang w:val="en-US"/>
        </w:rPr>
        <w:t>期</w:t>
      </w:r>
      <w:r>
        <w:rPr>
          <w:rFonts w:hint="eastAsia"/>
          <w:b/>
          <w:color w:val="auto"/>
          <w:sz w:val="22"/>
          <w:highlight w:val="none"/>
        </w:rPr>
        <w:t>检查、不定</w:t>
      </w:r>
      <w:r>
        <w:rPr>
          <w:rFonts w:hint="eastAsia"/>
          <w:b/>
          <w:color w:val="auto"/>
          <w:sz w:val="22"/>
          <w:highlight w:val="none"/>
          <w:lang w:val="en-US"/>
        </w:rPr>
        <w:t>期</w:t>
      </w:r>
      <w:r>
        <w:rPr>
          <w:rFonts w:hint="eastAsia"/>
          <w:b/>
          <w:color w:val="auto"/>
          <w:sz w:val="22"/>
          <w:highlight w:val="none"/>
        </w:rPr>
        <w:t>（</w:t>
      </w:r>
      <w:r>
        <w:rPr>
          <w:rFonts w:hint="eastAsia"/>
          <w:b/>
          <w:color w:val="auto"/>
          <w:sz w:val="22"/>
          <w:highlight w:val="none"/>
          <w:lang w:val="en-US"/>
        </w:rPr>
        <w:t>时间不定、与定期时间错开</w:t>
      </w:r>
      <w:r>
        <w:rPr>
          <w:rFonts w:hint="eastAsia"/>
          <w:b/>
          <w:color w:val="auto"/>
          <w:sz w:val="22"/>
          <w:highlight w:val="none"/>
        </w:rPr>
        <w:t>），按百分制打分，</w:t>
      </w:r>
      <w:r>
        <w:rPr>
          <w:rFonts w:hint="eastAsia"/>
          <w:b/>
          <w:color w:val="auto"/>
          <w:sz w:val="22"/>
          <w:highlight w:val="none"/>
          <w:lang w:val="en-US"/>
        </w:rPr>
        <w:t>定期与不定期检查的考核占比为6:4（月度考核得分=定期检查得分*60%+不定期检查得分*40%）</w:t>
      </w:r>
    </w:p>
    <w:p>
      <w:pPr>
        <w:pStyle w:val="4"/>
        <w:spacing w:before="0" w:after="0" w:line="240" w:lineRule="auto"/>
        <w:rPr>
          <w:color w:val="auto"/>
          <w:sz w:val="24"/>
          <w:szCs w:val="24"/>
          <w:highlight w:val="none"/>
        </w:rPr>
      </w:pPr>
      <w:r>
        <w:rPr>
          <w:rFonts w:hint="eastAsia" w:ascii="宋体" w:hAnsi="宋体" w:eastAsia="宋体" w:cs="宋体"/>
          <w:bCs w:val="0"/>
          <w:color w:val="auto"/>
          <w:sz w:val="22"/>
          <w:szCs w:val="22"/>
          <w:highlight w:val="none"/>
          <w:lang w:val="zh-CN" w:bidi="zh-CN"/>
        </w:rPr>
        <w:t>按百分制打分。综合得分90分以上（含90分），按合同足额支付当月维护费用，低于90分（不含）每降低1分，扣除当月维护费的2.00%，低于80分（不含）扣除当月维护费用的50%。连续两个月或累计三次考核得分低于80分（不含），将终止合同，没收合同履约金，经济损失和法律责任由作业单位承担。</w:t>
      </w:r>
      <w:r>
        <w:rPr>
          <w:rFonts w:hint="eastAsia"/>
          <w:color w:val="auto"/>
          <w:sz w:val="24"/>
          <w:szCs w:val="24"/>
          <w:highlight w:val="none"/>
        </w:rPr>
        <w:br w:type="page"/>
      </w:r>
      <w:bookmarkStart w:id="10" w:name="_Toc2479"/>
      <w:r>
        <w:rPr>
          <w:rFonts w:hint="eastAsia"/>
          <w:color w:val="auto"/>
          <w:sz w:val="28"/>
          <w:szCs w:val="28"/>
          <w:highlight w:val="none"/>
        </w:rPr>
        <w:t>第四部分 投标人须知</w:t>
      </w:r>
      <w:bookmarkEnd w:id="10"/>
    </w:p>
    <w:p>
      <w:pPr>
        <w:pStyle w:val="5"/>
        <w:numPr>
          <w:ilvl w:val="0"/>
          <w:numId w:val="3"/>
        </w:numPr>
        <w:spacing w:after="0" w:line="480" w:lineRule="auto"/>
        <w:jc w:val="center"/>
        <w:rPr>
          <w:rFonts w:ascii="宋体" w:hAnsi="宋体"/>
          <w:color w:val="auto"/>
          <w:highlight w:val="none"/>
        </w:rPr>
      </w:pPr>
      <w:bookmarkStart w:id="11" w:name="_Toc19746"/>
      <w:r>
        <w:rPr>
          <w:rFonts w:hint="eastAsia" w:ascii="宋体" w:hAnsi="宋体"/>
          <w:color w:val="auto"/>
          <w:highlight w:val="none"/>
        </w:rPr>
        <w:t>说明</w:t>
      </w:r>
      <w:bookmarkEnd w:id="11"/>
    </w:p>
    <w:p>
      <w:pPr>
        <w:pStyle w:val="6"/>
        <w:widowControl w:val="0"/>
        <w:overflowPunct w:val="0"/>
        <w:spacing w:before="0" w:after="0" w:line="240" w:lineRule="auto"/>
        <w:rPr>
          <w:rFonts w:ascii="宋体" w:hAnsi="宋体" w:eastAsia="宋体"/>
          <w:color w:val="auto"/>
          <w:sz w:val="21"/>
          <w:szCs w:val="21"/>
          <w:highlight w:val="none"/>
        </w:rPr>
      </w:pPr>
      <w:bookmarkStart w:id="12" w:name="_Toc18488"/>
      <w:r>
        <w:rPr>
          <w:rFonts w:hint="eastAsia" w:ascii="宋体" w:hAnsi="宋体" w:eastAsia="宋体"/>
          <w:color w:val="auto"/>
          <w:sz w:val="21"/>
          <w:szCs w:val="21"/>
          <w:highlight w:val="none"/>
        </w:rPr>
        <w:t>1.适用范围</w:t>
      </w:r>
      <w:bookmarkEnd w:id="12"/>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招标范围：见本文件《用户需求书》</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13" w:name="_Toc13400"/>
      <w:r>
        <w:rPr>
          <w:rFonts w:hint="eastAsia" w:ascii="宋体" w:hAnsi="宋体" w:eastAsia="宋体"/>
          <w:color w:val="auto"/>
          <w:sz w:val="21"/>
          <w:szCs w:val="21"/>
          <w:highlight w:val="none"/>
        </w:rPr>
        <w:t>2.</w:t>
      </w:r>
      <w:bookmarkStart w:id="14" w:name="_Toc382049092"/>
      <w:bookmarkStart w:id="15" w:name="_Toc1530"/>
      <w:bookmarkStart w:id="16" w:name="_Toc303084246"/>
      <w:bookmarkStart w:id="17" w:name="_Toc298847174"/>
      <w:r>
        <w:rPr>
          <w:rFonts w:hint="eastAsia" w:ascii="宋体" w:hAnsi="宋体" w:eastAsia="宋体"/>
          <w:color w:val="auto"/>
          <w:sz w:val="21"/>
          <w:szCs w:val="21"/>
          <w:highlight w:val="none"/>
        </w:rPr>
        <w:t>定义</w:t>
      </w:r>
      <w:bookmarkEnd w:id="13"/>
      <w:bookmarkEnd w:id="14"/>
      <w:bookmarkEnd w:id="15"/>
      <w:bookmarkEnd w:id="16"/>
      <w:bookmarkEnd w:id="17"/>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是指依法进行政府采购的国家机关、事业单位</w:t>
      </w:r>
      <w:r>
        <w:rPr>
          <w:rFonts w:hint="eastAsia" w:ascii="宋体" w:hAnsi="宋体" w:eastAsia="宋体"/>
          <w:color w:val="auto"/>
          <w:sz w:val="21"/>
          <w:szCs w:val="21"/>
          <w:highlight w:val="none"/>
        </w:rPr>
        <w:t>等</w:t>
      </w:r>
      <w:r>
        <w:rPr>
          <w:rFonts w:ascii="宋体" w:hAnsi="宋体" w:eastAsia="宋体"/>
          <w:color w:val="auto"/>
          <w:sz w:val="21"/>
          <w:szCs w:val="21"/>
          <w:highlight w:val="none"/>
        </w:rPr>
        <w:t>团体组织</w:t>
      </w:r>
      <w:r>
        <w:rPr>
          <w:rFonts w:hint="eastAsia" w:ascii="宋体" w:hAnsi="宋体" w:eastAsia="宋体"/>
          <w:color w:val="auto"/>
          <w:sz w:val="21"/>
          <w:szCs w:val="21"/>
          <w:highlight w:val="none"/>
        </w:rPr>
        <w:t>。</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投标人：响应招标并且符合招标文件规定资格条件和参加投标竞争的法人、其他组织或者自然人。</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法人：法人是依法在国内进行注册并具有民事权利能力和民事行为能力，依法独立享有民事权利和承担民事义务的组织。</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中标人：指经评标委员会评审推荐、采购人确认的获得本项目中标资格的投标人。</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采购代理机构：广东政通招标有限公司。</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评标委员会：评标委员会是依据《中华人民共和国政府采购法》及其实施条例、《政府采购货物和服务招标投标管理办法》等组建的专门负责本次招标其评标工作的临时性机构。</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合同：指由本次招标所产生的合同或合约文件。</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公章：</w:t>
      </w:r>
      <w:r>
        <w:rPr>
          <w:rFonts w:ascii="宋体" w:hAnsi="宋体" w:eastAsia="宋体"/>
          <w:color w:val="auto"/>
          <w:sz w:val="21"/>
          <w:szCs w:val="21"/>
          <w:highlight w:val="none"/>
        </w:rPr>
        <w:t>公章是</w:t>
      </w:r>
      <w:r>
        <w:rPr>
          <w:rFonts w:ascii="宋体" w:hAnsi="宋体" w:eastAsia="宋体"/>
          <w:iCs/>
          <w:color w:val="auto"/>
          <w:sz w:val="21"/>
          <w:szCs w:val="21"/>
          <w:highlight w:val="none"/>
        </w:rPr>
        <w:t>指</w:t>
      </w:r>
      <w:r>
        <w:rPr>
          <w:rFonts w:hint="eastAsia" w:ascii="宋体" w:hAnsi="宋体" w:eastAsia="宋体"/>
          <w:iCs/>
          <w:color w:val="auto"/>
          <w:sz w:val="21"/>
          <w:szCs w:val="21"/>
          <w:highlight w:val="none"/>
        </w:rPr>
        <w:t>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eastAsia="宋体"/>
          <w:color w:val="auto"/>
          <w:sz w:val="21"/>
          <w:szCs w:val="21"/>
          <w:highlight w:val="none"/>
        </w:rPr>
        <w:t>）</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时间</w:t>
      </w:r>
      <w:r>
        <w:rPr>
          <w:rFonts w:hint="eastAsia" w:ascii="宋体" w:hAnsi="宋体" w:eastAsia="宋体"/>
          <w:iCs/>
          <w:color w:val="auto"/>
          <w:sz w:val="21"/>
          <w:szCs w:val="21"/>
          <w:highlight w:val="none"/>
        </w:rPr>
        <w:t>：本文件规定按日计算期间的，开始当天不计入，从次日开始计算。期限的最后一日是国家法定节假日的，顺延到节假日后的次日为期限的最后一日。</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18" w:name="_Toc3780"/>
      <w:r>
        <w:rPr>
          <w:rFonts w:hint="eastAsia" w:ascii="宋体" w:hAnsi="宋体" w:eastAsia="宋体"/>
          <w:color w:val="auto"/>
          <w:sz w:val="21"/>
          <w:szCs w:val="21"/>
          <w:highlight w:val="none"/>
        </w:rPr>
        <w:t>3.货物和服务</w:t>
      </w:r>
      <w:bookmarkEnd w:id="18"/>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货物</w:t>
      </w:r>
      <w:r>
        <w:rPr>
          <w:rFonts w:ascii="宋体" w:hAnsi="宋体" w:eastAsia="宋体"/>
          <w:color w:val="auto"/>
          <w:sz w:val="21"/>
          <w:szCs w:val="21"/>
          <w:highlight w:val="none"/>
        </w:rPr>
        <w:t>是指各种形态和种类的物品，包括原材料、燃料、设备、产品等</w:t>
      </w:r>
      <w:r>
        <w:rPr>
          <w:rFonts w:hint="eastAsia" w:ascii="宋体" w:hAnsi="宋体" w:eastAsia="宋体"/>
          <w:color w:val="auto"/>
          <w:sz w:val="21"/>
          <w:szCs w:val="21"/>
          <w:highlight w:val="none"/>
        </w:rPr>
        <w:t>。</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服务是指</w:t>
      </w:r>
      <w:r>
        <w:rPr>
          <w:rFonts w:ascii="宋体" w:hAnsi="宋体" w:eastAsia="宋体"/>
          <w:color w:val="auto"/>
          <w:sz w:val="21"/>
          <w:szCs w:val="21"/>
          <w:highlight w:val="none"/>
        </w:rPr>
        <w:t>除货物和工程以外的其他政府采购对象</w:t>
      </w:r>
      <w:r>
        <w:rPr>
          <w:rFonts w:hint="eastAsia" w:ascii="宋体" w:hAnsi="宋体" w:eastAsia="宋体"/>
          <w:color w:val="auto"/>
          <w:sz w:val="21"/>
          <w:szCs w:val="21"/>
          <w:highlight w:val="none"/>
        </w:rPr>
        <w:t>。</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19" w:name="_Toc15945"/>
      <w:r>
        <w:rPr>
          <w:rFonts w:hint="eastAsia" w:ascii="宋体" w:hAnsi="宋体" w:eastAsia="宋体"/>
          <w:color w:val="auto"/>
          <w:sz w:val="21"/>
          <w:szCs w:val="21"/>
          <w:highlight w:val="none"/>
        </w:rPr>
        <w:t>4.投标费用</w:t>
      </w:r>
      <w:bookmarkEnd w:id="19"/>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投标人应承担所有与编写投标文件和参加投标有关的自身的所有费用，不论投标的结果如何，采购代理机构和采购人在任何情况下均无义务和责任承担这些费用。</w:t>
      </w:r>
    </w:p>
    <w:p>
      <w:pPr>
        <w:widowControl w:val="0"/>
        <w:adjustRightInd/>
        <w:snapToGrid/>
        <w:spacing w:after="0" w:line="360" w:lineRule="exact"/>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20" w:name="_Toc25040"/>
      <w:r>
        <w:rPr>
          <w:rFonts w:hint="eastAsia" w:ascii="宋体" w:hAnsi="宋体" w:eastAsia="宋体"/>
          <w:color w:val="auto"/>
          <w:sz w:val="21"/>
          <w:szCs w:val="21"/>
          <w:highlight w:val="none"/>
        </w:rPr>
        <w:t>5.知识产权</w:t>
      </w:r>
      <w:bookmarkEnd w:id="20"/>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采购人享有本项目实施过程中产生的知识成果及知识产权。</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投标人如欲在项目实施过程中采用自有知识成果，需在投标文件中声明，并提供相关知识产权证明文件。使用该知识成果后，投标人需提供开发接口和开发手册等技术文档。</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采购货物为计算机办公设备时，投标人提供的产品必须是预装正版操作系统软件的计算机产品。</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投标人提供的服务、货物经认定存在侵权行为的，其投标无效，并上报相关监管部门。</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21" w:name="_Toc21930"/>
      <w:r>
        <w:rPr>
          <w:rFonts w:hint="eastAsia" w:ascii="宋体" w:hAnsi="宋体" w:eastAsia="宋体"/>
          <w:color w:val="auto"/>
          <w:sz w:val="21"/>
          <w:szCs w:val="21"/>
          <w:highlight w:val="none"/>
        </w:rPr>
        <w:t>6.关于联合体投标</w:t>
      </w:r>
      <w:bookmarkEnd w:id="21"/>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对接受联合体投标的项目：两个以上的自然人、法人或者其他组织可以组成一个联合体，以一个投标人的身份共同参加政府采购。</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以联合体形式参与项目的供应商在领购招标文件时，应提供所有联合体组成成员的营业执照复印件，并加盖各联合体组成成员的公章。</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联合体各方均应当符合《政府采购法》第二十二条规定的条件。</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采购人根据采购项目的特殊要求规定投标人特定条件的，联合体各方中至少应当有一方符合采购人规定的特定条件。</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联合体各方之间应当签订共同投标协议并</w:t>
      </w:r>
      <w:r>
        <w:rPr>
          <w:rFonts w:ascii="宋体" w:hAnsi="宋体" w:eastAsia="宋体"/>
          <w:color w:val="auto"/>
          <w:sz w:val="21"/>
          <w:szCs w:val="21"/>
          <w:highlight w:val="none"/>
        </w:rPr>
        <w:t>在投标文件内提交</w:t>
      </w:r>
      <w:r>
        <w:rPr>
          <w:rFonts w:hint="eastAsia" w:ascii="宋体" w:hAnsi="宋体" w:eastAsia="宋体"/>
          <w:color w:val="auto"/>
          <w:sz w:val="21"/>
          <w:szCs w:val="21"/>
          <w:highlight w:val="none"/>
        </w:rPr>
        <w:t>，明确约定联合体各方承担的工作和相应的责任。联合体各方签订共同投标协议后，不得再以自己名义单独在同一项目中投标，也不得组成新的联合体参加同一项目投标。</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供应商为联合体的，可以由联合体中的任意一方交纳保证金，其交纳的保证金对联合体各方均具有约束力。</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联合体中有同类资质的投标人按照联合体分工承担相同工作的，应当按照资质等级较低的供应商确定资质等级。</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以联合体形式参加政府采购活动，联合体各方均为中小企业的，联合体视同中小企业。其中，联合体各方均为小微企业的，联合体视同小微企业。双方均应提供《中小企业声明函》。</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除联合体协议明确授权盖章单位外，联合体投标时投标文件中所有要求盖章的地方均须加盖联合体所有组成成员的公章，否则该处盖章无效。</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联合体进行评分时，业绩、奖项等的认定和评分根据共同投标协议约定的各方承担的工作和相应责任，确定一方打分，不累加打分；评审标准不明确或难以明确以哪一方计算评分情况时，则按主体方情况评分。</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22" w:name="_Toc16571"/>
      <w:r>
        <w:rPr>
          <w:rFonts w:hint="eastAsia" w:ascii="宋体" w:hAnsi="宋体" w:eastAsia="宋体"/>
          <w:color w:val="auto"/>
          <w:sz w:val="21"/>
          <w:szCs w:val="21"/>
          <w:highlight w:val="none"/>
        </w:rPr>
        <w:t>7.关于分支机构投标</w:t>
      </w:r>
      <w:bookmarkEnd w:id="22"/>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bookmarkStart w:id="23" w:name="EB389f116341dd4693875bc7987e7327f3"/>
    </w:p>
    <w:p>
      <w:pPr>
        <w:widowControl w:val="0"/>
        <w:numPr>
          <w:ilvl w:val="1"/>
          <w:numId w:val="4"/>
        </w:numPr>
        <w:adjustRightInd/>
        <w:snapToGrid/>
        <w:spacing w:after="0"/>
        <w:jc w:val="both"/>
        <w:rPr>
          <w:rFonts w:ascii="宋体" w:hAnsi="宋体" w:eastAsia="宋体"/>
          <w:color w:val="auto"/>
          <w:sz w:val="21"/>
          <w:szCs w:val="21"/>
          <w:highlight w:val="none"/>
        </w:rPr>
      </w:pPr>
      <w:r>
        <w:rPr>
          <w:rFonts w:ascii="宋体" w:hAnsi="宋体" w:eastAsia="宋体"/>
          <w:color w:val="auto"/>
          <w:sz w:val="21"/>
          <w:szCs w:val="21"/>
          <w:highlight w:val="none"/>
        </w:rPr>
        <w:t>对可接受</w:t>
      </w:r>
      <w:r>
        <w:rPr>
          <w:rFonts w:hint="eastAsia" w:ascii="宋体" w:hAnsi="宋体" w:eastAsia="宋体"/>
          <w:color w:val="auto"/>
          <w:sz w:val="21"/>
          <w:szCs w:val="21"/>
          <w:highlight w:val="none"/>
        </w:rPr>
        <w:t>分支机构</w:t>
      </w:r>
      <w:r>
        <w:rPr>
          <w:rFonts w:ascii="宋体" w:hAnsi="宋体" w:eastAsia="宋体"/>
          <w:color w:val="auto"/>
          <w:sz w:val="21"/>
          <w:szCs w:val="21"/>
          <w:highlight w:val="none"/>
        </w:rPr>
        <w:t>投标的项目，</w:t>
      </w:r>
      <w:r>
        <w:rPr>
          <w:rFonts w:hint="eastAsia" w:ascii="宋体" w:hAnsi="宋体" w:eastAsia="宋体"/>
          <w:color w:val="auto"/>
          <w:sz w:val="21"/>
          <w:szCs w:val="21"/>
          <w:highlight w:val="none"/>
        </w:rPr>
        <w:t>分支机构</w:t>
      </w:r>
      <w:r>
        <w:rPr>
          <w:rFonts w:ascii="宋体" w:hAnsi="宋体" w:eastAsia="宋体"/>
          <w:color w:val="auto"/>
          <w:sz w:val="21"/>
          <w:szCs w:val="21"/>
          <w:highlight w:val="none"/>
        </w:rPr>
        <w:t>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23"/>
    </w:p>
    <w:p>
      <w:pPr>
        <w:rPr>
          <w:color w:val="auto"/>
          <w:highlight w:val="none"/>
        </w:rPr>
      </w:pPr>
    </w:p>
    <w:p>
      <w:pPr>
        <w:pStyle w:val="5"/>
        <w:numPr>
          <w:ilvl w:val="0"/>
          <w:numId w:val="3"/>
        </w:numPr>
        <w:spacing w:after="0" w:line="480" w:lineRule="auto"/>
        <w:jc w:val="center"/>
        <w:rPr>
          <w:rFonts w:ascii="宋体" w:hAnsi="宋体"/>
          <w:color w:val="auto"/>
          <w:highlight w:val="none"/>
        </w:rPr>
      </w:pPr>
      <w:bookmarkStart w:id="24" w:name="_Toc17879"/>
      <w:r>
        <w:rPr>
          <w:rFonts w:hint="eastAsia" w:ascii="宋体" w:hAnsi="宋体"/>
          <w:color w:val="auto"/>
          <w:highlight w:val="none"/>
        </w:rPr>
        <w:t>招标文件</w:t>
      </w:r>
      <w:bookmarkEnd w:id="24"/>
    </w:p>
    <w:p>
      <w:pPr>
        <w:pStyle w:val="6"/>
        <w:widowControl w:val="0"/>
        <w:overflowPunct w:val="0"/>
        <w:spacing w:before="0" w:after="0" w:line="240" w:lineRule="auto"/>
        <w:rPr>
          <w:rFonts w:ascii="宋体" w:hAnsi="宋体" w:eastAsia="宋体"/>
          <w:color w:val="auto"/>
          <w:sz w:val="21"/>
          <w:szCs w:val="21"/>
          <w:highlight w:val="none"/>
        </w:rPr>
      </w:pPr>
      <w:bookmarkStart w:id="25" w:name="_Toc21771"/>
      <w:r>
        <w:rPr>
          <w:rFonts w:hint="eastAsia" w:ascii="宋体" w:hAnsi="宋体" w:eastAsia="宋体"/>
          <w:color w:val="auto"/>
          <w:sz w:val="21"/>
          <w:szCs w:val="21"/>
          <w:highlight w:val="none"/>
        </w:rPr>
        <w:t>8.招标文件的组成</w:t>
      </w:r>
      <w:bookmarkEnd w:id="25"/>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（1）投标邀请书；</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（2）投标资料表；</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（3）用户需求书；</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（4）投标人须知；</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（5）合同文本参考格式；</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（6）投标文件参考格式；</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（7）在招标过程中由采购代理机构发出的澄清更正文件等。</w:t>
      </w:r>
    </w:p>
    <w:p>
      <w:pPr>
        <w:spacing w:after="0"/>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26" w:name="_Toc14217"/>
      <w:r>
        <w:rPr>
          <w:rFonts w:hint="eastAsia" w:ascii="宋体" w:hAnsi="宋体" w:eastAsia="宋体"/>
          <w:color w:val="auto"/>
          <w:sz w:val="21"/>
          <w:szCs w:val="21"/>
          <w:highlight w:val="none"/>
        </w:rPr>
        <w:t>9.招标文件的澄清或修改</w:t>
      </w:r>
      <w:bookmarkEnd w:id="26"/>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采购人或者采购代理机构可以对已发出的招标文件、资格预审文件、投标邀请书进行必要的澄清或者修改。澄清或者修改的内容为招标文件、资格预审文件、投标邀请书的组成部分，</w:t>
      </w:r>
      <w:r>
        <w:rPr>
          <w:rFonts w:ascii="宋体" w:hAnsi="宋体" w:eastAsia="宋体"/>
          <w:color w:val="auto"/>
          <w:sz w:val="21"/>
          <w:szCs w:val="21"/>
          <w:highlight w:val="none"/>
        </w:rPr>
        <w:t>具有约束作用</w:t>
      </w:r>
      <w:r>
        <w:rPr>
          <w:rFonts w:hint="eastAsia" w:ascii="宋体" w:hAnsi="宋体" w:eastAsia="宋体"/>
          <w:color w:val="auto"/>
          <w:sz w:val="21"/>
          <w:szCs w:val="21"/>
          <w:highlight w:val="none"/>
        </w:rPr>
        <w:t>。</w:t>
      </w:r>
      <w:r>
        <w:rPr>
          <w:rFonts w:ascii="宋体" w:hAnsi="宋体" w:eastAsia="宋体"/>
          <w:color w:val="auto"/>
          <w:sz w:val="21"/>
          <w:szCs w:val="21"/>
          <w:highlight w:val="none"/>
        </w:rPr>
        <w:t>当招标文件、招标文件的澄清</w:t>
      </w:r>
      <w:r>
        <w:rPr>
          <w:rFonts w:hint="eastAsia" w:ascii="宋体" w:hAnsi="宋体" w:eastAsia="宋体"/>
          <w:color w:val="auto"/>
          <w:sz w:val="21"/>
          <w:szCs w:val="21"/>
          <w:highlight w:val="none"/>
        </w:rPr>
        <w:t>或</w:t>
      </w:r>
      <w:r>
        <w:rPr>
          <w:rFonts w:ascii="宋体" w:hAnsi="宋体" w:eastAsia="宋体"/>
          <w:color w:val="auto"/>
          <w:sz w:val="21"/>
          <w:szCs w:val="21"/>
          <w:highlight w:val="none"/>
        </w:rPr>
        <w:t>修改等在同一内容的表述上不一致时，以最后发出的书面文件</w:t>
      </w:r>
      <w:r>
        <w:rPr>
          <w:rFonts w:hint="eastAsia" w:ascii="宋体" w:hAnsi="宋体" w:eastAsia="宋体"/>
          <w:color w:val="auto"/>
          <w:sz w:val="21"/>
          <w:szCs w:val="21"/>
          <w:highlight w:val="none"/>
        </w:rPr>
        <w:t>及公告</w:t>
      </w:r>
      <w:r>
        <w:rPr>
          <w:rFonts w:ascii="宋体" w:hAnsi="宋体" w:eastAsia="宋体"/>
          <w:color w:val="auto"/>
          <w:sz w:val="21"/>
          <w:szCs w:val="21"/>
          <w:highlight w:val="none"/>
        </w:rPr>
        <w:t>为准。</w:t>
      </w:r>
    </w:p>
    <w:p>
      <w:pPr>
        <w:widowControl w:val="0"/>
        <w:numPr>
          <w:ilvl w:val="1"/>
          <w:numId w:val="4"/>
        </w:numPr>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招标期间，投标人有义务上网查看，公告一经上网发布，即视为送达。因投标人未及时上网查看而造成的所有后果，由投标人自行承担。</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5"/>
        <w:numPr>
          <w:ilvl w:val="0"/>
          <w:numId w:val="3"/>
        </w:numPr>
        <w:spacing w:after="0" w:line="480" w:lineRule="auto"/>
        <w:jc w:val="center"/>
        <w:rPr>
          <w:rFonts w:ascii="宋体" w:hAnsi="宋体"/>
          <w:color w:val="auto"/>
          <w:highlight w:val="none"/>
        </w:rPr>
      </w:pPr>
      <w:bookmarkStart w:id="27" w:name="_Toc23726"/>
      <w:r>
        <w:rPr>
          <w:rFonts w:hint="eastAsia" w:ascii="宋体" w:hAnsi="宋体"/>
          <w:color w:val="auto"/>
          <w:highlight w:val="none"/>
        </w:rPr>
        <w:t>投标文件的编制</w:t>
      </w:r>
      <w:bookmarkEnd w:id="27"/>
    </w:p>
    <w:p>
      <w:pPr>
        <w:pStyle w:val="6"/>
        <w:widowControl w:val="0"/>
        <w:overflowPunct w:val="0"/>
        <w:spacing w:before="0" w:after="0" w:line="240" w:lineRule="auto"/>
        <w:rPr>
          <w:rFonts w:ascii="宋体" w:hAnsi="宋体" w:eastAsia="宋体"/>
          <w:color w:val="auto"/>
          <w:sz w:val="21"/>
          <w:szCs w:val="21"/>
          <w:highlight w:val="none"/>
        </w:rPr>
      </w:pPr>
      <w:bookmarkStart w:id="28" w:name="_Toc20623"/>
      <w:r>
        <w:rPr>
          <w:rFonts w:hint="eastAsia" w:ascii="宋体" w:hAnsi="宋体" w:eastAsia="宋体"/>
          <w:color w:val="auto"/>
          <w:sz w:val="21"/>
          <w:szCs w:val="21"/>
          <w:highlight w:val="none"/>
        </w:rPr>
        <w:t>10.投标文件的语言及度量衡单位</w:t>
      </w:r>
      <w:bookmarkEnd w:id="28"/>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除非招标文件在技术规格中另有规定，投标人在投标文件中及其与采购代理机构和采购人所有往来文件中的所有</w:t>
      </w:r>
      <w:r>
        <w:rPr>
          <w:rFonts w:ascii="宋体" w:hAnsi="宋体" w:eastAsia="宋体"/>
          <w:color w:val="auto"/>
          <w:sz w:val="21"/>
          <w:szCs w:val="21"/>
          <w:highlight w:val="none"/>
        </w:rPr>
        <w:t>计量单位</w:t>
      </w:r>
      <w:r>
        <w:rPr>
          <w:rFonts w:hint="eastAsia" w:ascii="宋体" w:hAnsi="宋体" w:eastAsia="宋体"/>
          <w:color w:val="auto"/>
          <w:sz w:val="21"/>
          <w:szCs w:val="21"/>
          <w:highlight w:val="none"/>
        </w:rPr>
        <w:t>均应采用中华人民共和国法定计量单位</w:t>
      </w:r>
      <w:r>
        <w:rPr>
          <w:rFonts w:ascii="宋体" w:hAnsi="宋体" w:eastAsia="宋体"/>
          <w:color w:val="auto"/>
          <w:sz w:val="21"/>
          <w:szCs w:val="21"/>
          <w:highlight w:val="none"/>
        </w:rPr>
        <w:t>。</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29" w:name="_Toc307934854"/>
      <w:bookmarkStart w:id="30" w:name="_Toc382049103"/>
      <w:bookmarkStart w:id="31" w:name="_Toc28866"/>
      <w:bookmarkStart w:id="32" w:name="_Toc12145"/>
      <w:bookmarkStart w:id="33" w:name="_Toc303084256"/>
      <w:r>
        <w:rPr>
          <w:rFonts w:hint="eastAsia" w:ascii="宋体" w:hAnsi="宋体" w:eastAsia="宋体"/>
          <w:color w:val="auto"/>
          <w:sz w:val="21"/>
          <w:szCs w:val="21"/>
          <w:highlight w:val="none"/>
        </w:rPr>
        <w:t>11.</w:t>
      </w:r>
      <w:r>
        <w:rPr>
          <w:rFonts w:ascii="宋体" w:hAnsi="宋体" w:eastAsia="宋体"/>
          <w:color w:val="auto"/>
          <w:sz w:val="21"/>
          <w:szCs w:val="21"/>
          <w:highlight w:val="none"/>
        </w:rPr>
        <w:t>投标文件的组成</w:t>
      </w:r>
      <w:bookmarkEnd w:id="29"/>
      <w:bookmarkEnd w:id="30"/>
      <w:bookmarkEnd w:id="31"/>
      <w:bookmarkEnd w:id="32"/>
      <w:bookmarkEnd w:id="33"/>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包括但不限于招标文件附件格式中要求提供的表格。</w:t>
      </w:r>
    </w:p>
    <w:p>
      <w:pPr>
        <w:widowControl w:val="0"/>
        <w:numPr>
          <w:ilvl w:val="1"/>
          <w:numId w:val="4"/>
        </w:numPr>
        <w:adjustRightInd/>
        <w:snapToGrid/>
        <w:spacing w:after="0" w:line="360" w:lineRule="exact"/>
        <w:jc w:val="both"/>
        <w:rPr>
          <w:color w:val="auto"/>
          <w:highlight w:val="none"/>
        </w:rPr>
      </w:pPr>
      <w:r>
        <w:rPr>
          <w:rFonts w:hint="eastAsia" w:ascii="宋体" w:hAnsi="宋体" w:eastAsia="宋体"/>
          <w:color w:val="auto"/>
          <w:sz w:val="21"/>
          <w:szCs w:val="21"/>
          <w:highlight w:val="none"/>
        </w:rPr>
        <w:t>上述文件须按顺序装订成册，并编制投标文件目录。除上述文件资料外投标人还须按投标人须知的要求制作“开标文件”。“开标文件”作为投标文件的一部分，但须单独密封。</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34" w:name="_Toc30189"/>
      <w:r>
        <w:rPr>
          <w:rFonts w:hint="eastAsia" w:ascii="宋体" w:hAnsi="宋体" w:eastAsia="宋体"/>
          <w:color w:val="auto"/>
          <w:sz w:val="21"/>
          <w:szCs w:val="21"/>
          <w:highlight w:val="none"/>
        </w:rPr>
        <w:t>12.投标文件编制</w:t>
      </w:r>
      <w:bookmarkEnd w:id="34"/>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bookmarkStart w:id="35" w:name="_Toc303084258"/>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投标人应按招标文件的规定以及附件要求的内容和格式完整地填写</w:t>
      </w:r>
      <w:r>
        <w:rPr>
          <w:rFonts w:ascii="宋体" w:hAnsi="宋体" w:eastAsia="宋体"/>
          <w:color w:val="auto"/>
          <w:sz w:val="21"/>
          <w:szCs w:val="21"/>
          <w:highlight w:val="none"/>
        </w:rPr>
        <w:t>（表格可以按同样格式扩展）</w:t>
      </w:r>
      <w:r>
        <w:rPr>
          <w:rFonts w:hint="eastAsia" w:ascii="宋体" w:hAnsi="宋体" w:eastAsia="宋体"/>
          <w:color w:val="auto"/>
          <w:sz w:val="21"/>
          <w:szCs w:val="21"/>
          <w:highlight w:val="none"/>
        </w:rPr>
        <w:t>和提供资料，投标人必须对投标文件所提供的全部材料的真实性承担法律责任，并无条件接受采购人或采购代理机构及政府采购监督管理部门等对其中任何资料进行核实的要求。</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因投标文件编制存在歧义对投标人产生负面影响的，投标人自行承担后果。</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投标单位名称与投标人公章不一致，若投标单位名称已进行变更，应在投标文件中提供相应的证明材料并加盖公章，否则投标文件无效。</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投标文件密封、标记及内容与本项目采购信息不符，导致无法分辨所投项目为本项目的，投标文件无效。</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投标文件若出现以下内容，经评标委员会认定有可能间接影响评审秩序，其投标无效：</w:t>
      </w:r>
    </w:p>
    <w:p>
      <w:pPr>
        <w:pStyle w:val="28"/>
        <w:widowControl w:val="0"/>
        <w:adjustRightInd/>
        <w:snapToGrid/>
        <w:spacing w:after="0" w:line="360" w:lineRule="exact"/>
        <w:ind w:firstLine="0" w:firstLineChars="0"/>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（1）投标文件内出现无官方证明文件的行业地域排名或</w:t>
      </w:r>
      <w:r>
        <w:rPr>
          <w:rFonts w:ascii="宋体" w:hAnsi="宋体" w:eastAsia="宋体"/>
          <w:color w:val="auto"/>
          <w:sz w:val="21"/>
          <w:szCs w:val="21"/>
          <w:highlight w:val="none"/>
        </w:rPr>
        <w:t>使用“国家级”、“最高级”、“最佳”等用语</w:t>
      </w:r>
      <w:r>
        <w:rPr>
          <w:rFonts w:hint="eastAsia" w:ascii="宋体" w:hAnsi="宋体" w:eastAsia="宋体"/>
          <w:color w:val="auto"/>
          <w:sz w:val="21"/>
          <w:szCs w:val="21"/>
          <w:highlight w:val="none"/>
        </w:rPr>
        <w:t>字眼的。</w:t>
      </w:r>
    </w:p>
    <w:p>
      <w:pPr>
        <w:pStyle w:val="28"/>
        <w:widowControl w:val="0"/>
        <w:adjustRightInd/>
        <w:snapToGrid/>
        <w:spacing w:after="0" w:line="360" w:lineRule="exact"/>
        <w:ind w:firstLine="0" w:firstLineChars="0"/>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（2）投标文件内出现恶意诋毁、</w:t>
      </w:r>
      <w:r>
        <w:rPr>
          <w:rFonts w:ascii="宋体" w:hAnsi="宋体" w:eastAsia="宋体"/>
          <w:color w:val="auto"/>
          <w:sz w:val="21"/>
          <w:szCs w:val="21"/>
          <w:highlight w:val="none"/>
        </w:rPr>
        <w:t>贬低其他生产经营者的商品或者服务</w:t>
      </w:r>
      <w:r>
        <w:rPr>
          <w:rFonts w:hint="eastAsia" w:ascii="宋体" w:hAnsi="宋体" w:eastAsia="宋体"/>
          <w:color w:val="auto"/>
          <w:sz w:val="21"/>
          <w:szCs w:val="21"/>
          <w:highlight w:val="none"/>
        </w:rPr>
        <w:t>的内容。</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有下列情形之一的，视为投标人串通投标，其投标无效：</w:t>
      </w:r>
    </w:p>
    <w:bookmarkEnd w:id="35"/>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（一）不同投标人的投标文件由同一单位或者个人编制；</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（二）不同投标人委托同一单位或者个人办理投标事宜；</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（三）不同投标人的投标文件载明的项目管理成员或者联系人员为同一人；</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（四）不同投标人的投标文件异常一致或者投标报价呈规律性差异；</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（五）不同投标人的投标文件相互混装；</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（六）不同投标人的投标保证金从同一单位或者个人的账户转出。</w:t>
      </w:r>
    </w:p>
    <w:p>
      <w:pPr>
        <w:widowControl w:val="0"/>
        <w:adjustRightInd/>
        <w:snapToGrid/>
        <w:spacing w:after="0" w:line="360" w:lineRule="exact"/>
        <w:jc w:val="both"/>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36" w:name="_Toc259"/>
      <w:r>
        <w:rPr>
          <w:rFonts w:hint="eastAsia" w:ascii="宋体" w:hAnsi="宋体" w:eastAsia="宋体"/>
          <w:color w:val="auto"/>
          <w:sz w:val="21"/>
          <w:szCs w:val="21"/>
          <w:highlight w:val="none"/>
        </w:rPr>
        <w:t>13.投标报价说明</w:t>
      </w:r>
      <w:bookmarkEnd w:id="36"/>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本次招标，投标人应按用户需求中的要求进行投标报价，少报无效。</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投标人所提供的货物或服务均以人民币（或相关费率）报价。</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投标报价应包含完成本次招标所有服务内容的费用，包含各种税务费及合同实施过程中的全部费用和售后服务费等。</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中标后开出的所有发票必须与中标人的名称一致。</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37" w:name="_Toc27724"/>
      <w:r>
        <w:rPr>
          <w:rFonts w:hint="eastAsia" w:ascii="宋体" w:hAnsi="宋体" w:eastAsia="宋体"/>
          <w:color w:val="auto"/>
          <w:sz w:val="21"/>
          <w:szCs w:val="21"/>
          <w:highlight w:val="none"/>
        </w:rPr>
        <w:t>14.投标人所提供的服务或货物的证明文件</w:t>
      </w:r>
      <w:bookmarkEnd w:id="37"/>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bookmarkStart w:id="38" w:name="_Hlt107925638"/>
      <w:bookmarkEnd w:id="38"/>
      <w:bookmarkStart w:id="39" w:name="_Hlt107925668"/>
      <w:bookmarkEnd w:id="39"/>
      <w:r>
        <w:rPr>
          <w:rFonts w:hint="eastAsia" w:ascii="宋体" w:hAnsi="宋体" w:eastAsia="宋体"/>
          <w:color w:val="auto"/>
          <w:sz w:val="21"/>
          <w:szCs w:val="21"/>
          <w:highlight w:val="none"/>
        </w:rPr>
        <w:t>证明服务或货物的文件，它可以是文字资料、图纸和数据包括但不限于：服务主要内容、标准、质量、人员资质、计划安排、报告审核等的详细说明；对招标文件第三部分《用户需求书》中规定的要求进行详细应答和说明。</w:t>
      </w:r>
    </w:p>
    <w:p>
      <w:pPr>
        <w:pStyle w:val="28"/>
        <w:widowControl w:val="0"/>
        <w:adjustRightInd/>
        <w:snapToGrid/>
        <w:spacing w:after="0" w:line="360" w:lineRule="exact"/>
        <w:ind w:left="425" w:firstLine="0" w:firstLineChars="0"/>
        <w:jc w:val="both"/>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40" w:name="_Toc19520"/>
      <w:r>
        <w:rPr>
          <w:rFonts w:hint="eastAsia" w:ascii="宋体" w:hAnsi="宋体" w:eastAsia="宋体"/>
          <w:color w:val="auto"/>
          <w:sz w:val="21"/>
          <w:szCs w:val="21"/>
          <w:highlight w:val="none"/>
        </w:rPr>
        <w:t>15.★投标有效期</w:t>
      </w:r>
      <w:bookmarkEnd w:id="40"/>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投标文件应根据投标人须知的规定在投标截止日后的90天内保持有效。</w:t>
      </w:r>
    </w:p>
    <w:p>
      <w:pPr>
        <w:widowControl w:val="0"/>
        <w:adjustRightInd/>
        <w:snapToGrid/>
        <w:spacing w:after="0" w:line="360" w:lineRule="exact"/>
        <w:ind w:left="567"/>
        <w:jc w:val="both"/>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41" w:name="_Toc12456"/>
      <w:r>
        <w:rPr>
          <w:rFonts w:hint="eastAsia" w:ascii="宋体" w:hAnsi="宋体" w:eastAsia="宋体"/>
          <w:color w:val="auto"/>
          <w:sz w:val="21"/>
          <w:szCs w:val="21"/>
          <w:highlight w:val="none"/>
        </w:rPr>
        <w:t>16.★投标保证金</w:t>
      </w:r>
      <w:bookmarkEnd w:id="41"/>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bookmarkStart w:id="42" w:name="_Ref179619405"/>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投标人应按投标资料表中规定数额及法律规定的时间按相应包号保证金金额要求一次性提交投标保证金，以多次汇入达到招标文件要求金额的投标保证金无效。</w:t>
      </w:r>
      <w:bookmarkEnd w:id="42"/>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投标保证金金额与招标文件要求金额保持一致（详见投标资料表）。</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投标保证金有效期与投标有效期保持一致。</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投标人应一次性缴交招标文件规定数额的投标保证金，投标人与交款人名称必须一致，非投标人缴纳的投标保证金无效。</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采用银行转账、电汇方式提交的,付至采购代理机构指定账户上。 (详见投标人资料表)</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担保。是指由担保机构为供应商交纳投标保证金向采购人或者采购代理机构提供的保证担保。供应商在投标有效期内撤回投标文件或中标后不签订政府采购合同的，由担保机构按照担保函的约定履行支付投标保证金的责任。（投标担保格式详见附件《政府采购投标担保函》）</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采用《政府采购投标担保函》提交的，应符合下列规定：</w:t>
      </w:r>
    </w:p>
    <w:p>
      <w:pPr>
        <w:spacing w:after="0"/>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①投标担保函有效期应与投标有效期一致；</w:t>
      </w:r>
    </w:p>
    <w:p>
      <w:pPr>
        <w:spacing w:after="0"/>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②投标担保金额应与本项目的投标保证金一致；</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保证金不接受现金方式（包括以存现方式）提交，未按要求提交投标保证金的将导致废标。</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未中标的投标人的保证金在采购结果公示发出后5个工作日内退还，中标投标人的保证金在采购合同签订后5个工作日内退还。</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为方便退还未中标的投保人的保证金，投标人应制作《投标保证金汇入情况说明》随开标文件一并递交。</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有下列情形之一的，投标保证金将不予退还：</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（1）投标人在提交响应文件截止时间后撤回响应文件的；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（2）投标人在响应文件中提供虚假材料的；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（3）除因不可抗力或谈判文件、询价通知书认可的情形以外，中标单位不与采购人签订合同的；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（4）投标人与采购人、其他供应商或者采购代理机构恶意串通的；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（5）招标文件规定的其他情形。</w:t>
      </w:r>
    </w:p>
    <w:p>
      <w:pPr>
        <w:rPr>
          <w:color w:val="auto"/>
          <w:highlight w:val="none"/>
        </w:rPr>
      </w:pPr>
    </w:p>
    <w:p>
      <w:pPr>
        <w:pStyle w:val="5"/>
        <w:numPr>
          <w:ilvl w:val="0"/>
          <w:numId w:val="3"/>
        </w:numPr>
        <w:spacing w:after="0" w:line="480" w:lineRule="auto"/>
        <w:jc w:val="center"/>
        <w:rPr>
          <w:rFonts w:ascii="宋体" w:hAnsi="宋体"/>
          <w:color w:val="auto"/>
          <w:highlight w:val="none"/>
        </w:rPr>
      </w:pPr>
      <w:bookmarkStart w:id="43" w:name="_Toc31124"/>
      <w:r>
        <w:rPr>
          <w:rFonts w:hint="eastAsia" w:ascii="宋体" w:hAnsi="宋体"/>
          <w:color w:val="auto"/>
          <w:highlight w:val="none"/>
        </w:rPr>
        <w:t>投标文件的递交</w:t>
      </w:r>
      <w:bookmarkEnd w:id="43"/>
    </w:p>
    <w:p>
      <w:pPr>
        <w:pStyle w:val="6"/>
        <w:widowControl w:val="0"/>
        <w:overflowPunct w:val="0"/>
        <w:spacing w:before="0" w:after="0" w:line="240" w:lineRule="auto"/>
        <w:rPr>
          <w:rFonts w:ascii="宋体" w:hAnsi="宋体" w:eastAsia="宋体"/>
          <w:color w:val="auto"/>
          <w:sz w:val="21"/>
          <w:szCs w:val="21"/>
          <w:highlight w:val="none"/>
        </w:rPr>
      </w:pPr>
      <w:bookmarkStart w:id="44" w:name="_Toc24997"/>
      <w:bookmarkStart w:id="45" w:name="_Toc29590"/>
      <w:bookmarkStart w:id="46" w:name="_Toc382049111"/>
      <w:bookmarkStart w:id="47" w:name="_Toc303084264"/>
      <w:r>
        <w:rPr>
          <w:rFonts w:hint="eastAsia" w:ascii="宋体" w:hAnsi="宋体" w:eastAsia="宋体"/>
          <w:color w:val="auto"/>
          <w:sz w:val="21"/>
          <w:szCs w:val="21"/>
          <w:highlight w:val="none"/>
        </w:rPr>
        <w:t>17.</w:t>
      </w:r>
      <w:r>
        <w:rPr>
          <w:rFonts w:ascii="宋体" w:hAnsi="宋体" w:eastAsia="宋体"/>
          <w:color w:val="auto"/>
          <w:sz w:val="21"/>
          <w:szCs w:val="21"/>
          <w:highlight w:val="none"/>
        </w:rPr>
        <w:t>投标文件的</w:t>
      </w:r>
      <w:r>
        <w:rPr>
          <w:rFonts w:hint="eastAsia" w:ascii="宋体" w:hAnsi="宋体" w:eastAsia="宋体"/>
          <w:color w:val="auto"/>
          <w:sz w:val="21"/>
          <w:szCs w:val="21"/>
          <w:highlight w:val="none"/>
        </w:rPr>
        <w:t>装订，签署，</w:t>
      </w:r>
      <w:r>
        <w:rPr>
          <w:rFonts w:ascii="宋体" w:hAnsi="宋体" w:eastAsia="宋体"/>
          <w:color w:val="auto"/>
          <w:sz w:val="21"/>
          <w:szCs w:val="21"/>
          <w:highlight w:val="none"/>
        </w:rPr>
        <w:t>密封和标记</w:t>
      </w:r>
      <w:bookmarkEnd w:id="44"/>
      <w:bookmarkEnd w:id="45"/>
      <w:bookmarkEnd w:id="46"/>
      <w:bookmarkEnd w:id="47"/>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为方便评标委员会对投标文件进行评审</w:t>
      </w:r>
      <w:r>
        <w:rPr>
          <w:rFonts w:ascii="宋体" w:hAnsi="宋体" w:eastAsia="宋体"/>
          <w:color w:val="auto"/>
          <w:sz w:val="21"/>
          <w:szCs w:val="21"/>
          <w:highlight w:val="none"/>
        </w:rPr>
        <w:t>，</w:t>
      </w:r>
      <w:r>
        <w:rPr>
          <w:rFonts w:hint="eastAsia" w:ascii="宋体" w:hAnsi="宋体" w:eastAsia="宋体"/>
          <w:color w:val="auto"/>
          <w:sz w:val="21"/>
          <w:szCs w:val="21"/>
          <w:highlight w:val="none"/>
        </w:rPr>
        <w:t>建议投标人对投标文件进行装订，</w:t>
      </w:r>
      <w:r>
        <w:rPr>
          <w:rFonts w:ascii="宋体" w:hAnsi="宋体" w:eastAsia="宋体"/>
          <w:color w:val="auto"/>
          <w:sz w:val="21"/>
          <w:szCs w:val="21"/>
          <w:highlight w:val="none"/>
        </w:rPr>
        <w:t>对未经装订的投标文件可能发生的文件缺</w:t>
      </w:r>
      <w:r>
        <w:rPr>
          <w:rFonts w:hint="eastAsia" w:ascii="宋体" w:hAnsi="宋体" w:eastAsia="宋体"/>
          <w:color w:val="auto"/>
          <w:sz w:val="21"/>
          <w:szCs w:val="21"/>
          <w:highlight w:val="none"/>
        </w:rPr>
        <w:t>损</w:t>
      </w:r>
      <w:r>
        <w:rPr>
          <w:rFonts w:ascii="宋体" w:hAnsi="宋体" w:eastAsia="宋体"/>
          <w:color w:val="auto"/>
          <w:sz w:val="21"/>
          <w:szCs w:val="21"/>
          <w:highlight w:val="none"/>
        </w:rPr>
        <w:t>，由此产生的后果由投标人承担。</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正本均须用不褪色墨水书写或打印。投标文件的副本可采用投标文件的正本复印件，每套</w:t>
      </w: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应当标</w:t>
      </w:r>
      <w:r>
        <w:rPr>
          <w:rFonts w:ascii="宋体" w:hAnsi="宋体" w:eastAsia="宋体"/>
          <w:color w:val="auto"/>
          <w:sz w:val="21"/>
          <w:szCs w:val="21"/>
          <w:highlight w:val="none"/>
        </w:rPr>
        <w:t>明“正本”</w:t>
      </w:r>
      <w:r>
        <w:rPr>
          <w:rFonts w:hint="eastAsia" w:ascii="宋体" w:hAnsi="宋体" w:eastAsia="宋体"/>
          <w:color w:val="auto"/>
          <w:sz w:val="21"/>
          <w:szCs w:val="21"/>
          <w:highlight w:val="none"/>
        </w:rPr>
        <w:t>、</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的字样</w:t>
      </w:r>
      <w:r>
        <w:rPr>
          <w:rFonts w:ascii="宋体" w:hAnsi="宋体" w:eastAsia="宋体"/>
          <w:color w:val="auto"/>
          <w:sz w:val="21"/>
          <w:szCs w:val="21"/>
          <w:highlight w:val="none"/>
        </w:rPr>
        <w:t>。</w:t>
      </w:r>
      <w:r>
        <w:rPr>
          <w:rFonts w:hint="eastAsia" w:ascii="宋体" w:hAnsi="宋体" w:eastAsia="宋体"/>
          <w:color w:val="auto"/>
          <w:sz w:val="21"/>
          <w:szCs w:val="21"/>
          <w:highlight w:val="none"/>
        </w:rPr>
        <w:t>投标文件的【正本】及所有【副本】的封面及骑缝均须加盖投标人公章（文件每页盖章等同于盖骑缝章）。若</w:t>
      </w:r>
      <w:r>
        <w:rPr>
          <w:rFonts w:ascii="宋体" w:hAnsi="宋体" w:eastAsia="宋体"/>
          <w:color w:val="auto"/>
          <w:sz w:val="21"/>
          <w:szCs w:val="21"/>
          <w:highlight w:val="none"/>
        </w:rPr>
        <w:t>正本</w:t>
      </w:r>
      <w:r>
        <w:rPr>
          <w:rFonts w:hint="eastAsia" w:ascii="宋体" w:hAnsi="宋体" w:eastAsia="宋体"/>
          <w:color w:val="auto"/>
          <w:sz w:val="21"/>
          <w:szCs w:val="21"/>
          <w:highlight w:val="none"/>
        </w:rPr>
        <w:t>与</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不符，以</w:t>
      </w:r>
      <w:r>
        <w:rPr>
          <w:rFonts w:ascii="宋体" w:hAnsi="宋体" w:eastAsia="宋体"/>
          <w:color w:val="auto"/>
          <w:sz w:val="21"/>
          <w:szCs w:val="21"/>
          <w:highlight w:val="none"/>
        </w:rPr>
        <w:t>正本为准。</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联合体投标文件的【正本】及【副本】的封面及骑缝均须加盖所有联合体组成成员的公章。（文件每页盖章等同于盖骑缝章）</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建议投标人将投标文件正本和所有的副本分开密封装在单独的信封中，且在信封上标明“正本”“副本”字样。然后再将所有信封封装在一个外层信封中。电子文件与正本密封包装，随正本提交。</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电子文件内容包括：由投标人自行制作的与正本文件一致的所有文件。电子文件</w:t>
      </w:r>
      <w:r>
        <w:rPr>
          <w:rFonts w:hint="eastAsia" w:ascii="宋体" w:hAnsi="宋体" w:eastAsia="宋体"/>
          <w:color w:val="auto"/>
          <w:sz w:val="21"/>
          <w:szCs w:val="21"/>
          <w:highlight w:val="none"/>
        </w:rPr>
        <w:t>由</w:t>
      </w:r>
      <w:r>
        <w:rPr>
          <w:rFonts w:ascii="宋体" w:hAnsi="宋体" w:eastAsia="宋体"/>
          <w:color w:val="auto"/>
          <w:sz w:val="21"/>
          <w:szCs w:val="21"/>
          <w:highlight w:val="none"/>
        </w:rPr>
        <w:t>光盘</w:t>
      </w:r>
      <w:r>
        <w:rPr>
          <w:rFonts w:hint="eastAsia" w:ascii="宋体" w:hAnsi="宋体" w:eastAsia="宋体"/>
          <w:color w:val="auto"/>
          <w:sz w:val="21"/>
          <w:szCs w:val="21"/>
          <w:highlight w:val="none"/>
        </w:rPr>
        <w:t>或U盘</w:t>
      </w:r>
      <w:r>
        <w:rPr>
          <w:rFonts w:ascii="宋体" w:hAnsi="宋体" w:eastAsia="宋体"/>
          <w:color w:val="auto"/>
          <w:sz w:val="21"/>
          <w:szCs w:val="21"/>
          <w:highlight w:val="none"/>
        </w:rPr>
        <w:t>储存</w:t>
      </w:r>
      <w:r>
        <w:rPr>
          <w:rFonts w:hint="eastAsia" w:ascii="宋体" w:hAnsi="宋体" w:eastAsia="宋体"/>
          <w:color w:val="auto"/>
          <w:sz w:val="21"/>
          <w:szCs w:val="21"/>
          <w:highlight w:val="none"/>
        </w:rPr>
        <w:t>，并注明投标人名称及项目名称、采购项目编号，随投标文件一同密封提交。</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除投标人对错误处修改外，全套投标文件应无涂改或行间插字和增删。如有修改，修改处</w:t>
      </w:r>
      <w:r>
        <w:rPr>
          <w:rFonts w:hint="eastAsia" w:ascii="宋体" w:hAnsi="宋体" w:eastAsia="宋体"/>
          <w:color w:val="auto"/>
          <w:sz w:val="21"/>
          <w:szCs w:val="21"/>
          <w:highlight w:val="none"/>
        </w:rPr>
        <w:t>须由法定代表人或其正式授权代表在旁边签字及盖章</w:t>
      </w:r>
      <w:r>
        <w:rPr>
          <w:rFonts w:ascii="宋体" w:hAnsi="宋体" w:eastAsia="宋体"/>
          <w:color w:val="auto"/>
          <w:sz w:val="21"/>
          <w:szCs w:val="21"/>
          <w:highlight w:val="none"/>
        </w:rPr>
        <w:t>。</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开标唱标，投标人应将开标一览表和授权委托书单独密封提交，并在信封上标明“开标文件”字样。开标文件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开标文件”份数及签章等要求与投标文件正本相同（1份）。</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所有的信封均应注明： </w:t>
      </w:r>
    </w:p>
    <w:p>
      <w:pPr>
        <w:widowControl w:val="0"/>
        <w:numPr>
          <w:ilvl w:val="0"/>
          <w:numId w:val="5"/>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收件人：广东政通招标有限公司</w:t>
      </w:r>
    </w:p>
    <w:p>
      <w:pPr>
        <w:widowControl w:val="0"/>
        <w:numPr>
          <w:ilvl w:val="0"/>
          <w:numId w:val="5"/>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w:t>
      </w:r>
    </w:p>
    <w:p>
      <w:pPr>
        <w:widowControl w:val="0"/>
        <w:numPr>
          <w:ilvl w:val="0"/>
          <w:numId w:val="5"/>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p>
      <w:pPr>
        <w:widowControl w:val="0"/>
        <w:numPr>
          <w:ilvl w:val="0"/>
          <w:numId w:val="5"/>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采购项目编号：</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采购代理机构将拒绝接收出现以下情况的投标文件：</w:t>
      </w:r>
    </w:p>
    <w:p>
      <w:pPr>
        <w:widowControl w:val="0"/>
        <w:numPr>
          <w:ilvl w:val="0"/>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采用透明包装进行密封或未进行密封的投标文件；</w:t>
      </w:r>
    </w:p>
    <w:p>
      <w:pPr>
        <w:widowControl w:val="0"/>
        <w:numPr>
          <w:ilvl w:val="0"/>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密封破损导致投标文件内容直接或间接泄露的投标文件；</w:t>
      </w:r>
    </w:p>
    <w:p>
      <w:pPr>
        <w:widowControl w:val="0"/>
        <w:numPr>
          <w:ilvl w:val="0"/>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密封信封上项目编号错误的投标文件；</w:t>
      </w:r>
    </w:p>
    <w:p>
      <w:pPr>
        <w:widowControl w:val="0"/>
        <w:numPr>
          <w:ilvl w:val="0"/>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未在规定时间内领购文件的投标人的投标文件；</w:t>
      </w:r>
    </w:p>
    <w:p>
      <w:pPr>
        <w:widowControl w:val="0"/>
        <w:numPr>
          <w:ilvl w:val="0"/>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项目名称出现严重歧义或未标注所投项目信息导致无法分辨所投项目为本项目的投标文件；</w:t>
      </w:r>
    </w:p>
    <w:p>
      <w:pPr>
        <w:widowControl w:val="0"/>
        <w:numPr>
          <w:ilvl w:val="0"/>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采用传真、电传的投标文件；</w:t>
      </w:r>
    </w:p>
    <w:p>
      <w:pPr>
        <w:widowControl w:val="0"/>
        <w:numPr>
          <w:ilvl w:val="0"/>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招标文件规定的其他情形。</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采购代理机构对所有投标文件的误投或提前启封概不负责。</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投标人同时参加几个包投标时必须按招标文件要求按包号分别制作投标文件，分别密封递交。</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递交的投标文件中所提供的通讯方式应保持联络畅通，因联系不上而导致的所有后果由投标人自行承担。</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48" w:name="_Toc8628"/>
      <w:r>
        <w:rPr>
          <w:rFonts w:hint="eastAsia" w:ascii="宋体" w:hAnsi="宋体" w:eastAsia="宋体"/>
          <w:color w:val="auto"/>
          <w:sz w:val="21"/>
          <w:szCs w:val="21"/>
          <w:highlight w:val="none"/>
        </w:rPr>
        <w:t>18.迟交的投标文件</w:t>
      </w:r>
      <w:bookmarkEnd w:id="48"/>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投标人在投标截止时间之后提交的投标文件，采购代理机构将拒绝接收</w:t>
      </w:r>
      <w:r>
        <w:rPr>
          <w:rFonts w:ascii="宋体" w:hAnsi="宋体" w:eastAsia="宋体"/>
          <w:color w:val="auto"/>
          <w:sz w:val="21"/>
          <w:szCs w:val="21"/>
          <w:highlight w:val="none"/>
        </w:rPr>
        <w:t>。</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有违反其他法律规定情形的，采购代理机构将拒绝接收。</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49" w:name="_Toc13212"/>
      <w:r>
        <w:rPr>
          <w:rFonts w:hint="eastAsia" w:ascii="宋体" w:hAnsi="宋体" w:eastAsia="宋体"/>
          <w:color w:val="auto"/>
          <w:sz w:val="21"/>
          <w:szCs w:val="21"/>
          <w:highlight w:val="none"/>
        </w:rPr>
        <w:t>19.投标样品（如需提交）</w:t>
      </w:r>
      <w:bookmarkEnd w:id="49"/>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如有必要，采购代理机构可以要求投标人提供本服务项目涉及的部分设备或产品样品，投标人在投标时应提交《样品清单》。</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为方便评标，投标人在提供样品时，应在所提供的样品表面显著位置标注投标人的名称、包号、样品名称、招标文件规定的服务或货物编号。</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50" w:name="_Toc5900"/>
      <w:bookmarkStart w:id="51" w:name="_Toc382049112"/>
      <w:bookmarkStart w:id="52" w:name="_Toc303084265"/>
      <w:bookmarkStart w:id="53" w:name="_Toc9777"/>
      <w:r>
        <w:rPr>
          <w:rFonts w:hint="eastAsia" w:ascii="宋体" w:hAnsi="宋体" w:eastAsia="宋体"/>
          <w:color w:val="auto"/>
          <w:sz w:val="21"/>
          <w:szCs w:val="21"/>
          <w:highlight w:val="none"/>
        </w:rPr>
        <w:t>20.投标截止期</w:t>
      </w:r>
      <w:bookmarkEnd w:id="50"/>
      <w:bookmarkEnd w:id="51"/>
      <w:bookmarkEnd w:id="52"/>
      <w:bookmarkEnd w:id="53"/>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投标人应在招标文件规定的截止日期和时间内，将投标文件送达到指定地点。</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可按本须知规定以</w:t>
      </w:r>
      <w:r>
        <w:rPr>
          <w:rFonts w:hint="eastAsia" w:ascii="宋体" w:hAnsi="宋体" w:eastAsia="宋体"/>
          <w:color w:val="auto"/>
          <w:sz w:val="21"/>
          <w:szCs w:val="21"/>
          <w:highlight w:val="none"/>
        </w:rPr>
        <w:t>澄清或</w:t>
      </w:r>
      <w:r>
        <w:rPr>
          <w:rFonts w:ascii="宋体" w:hAnsi="宋体" w:eastAsia="宋体"/>
          <w:color w:val="auto"/>
          <w:sz w:val="21"/>
          <w:szCs w:val="21"/>
          <w:highlight w:val="none"/>
        </w:rPr>
        <w:t>修改通知的方式，酌情延长</w:t>
      </w:r>
      <w:r>
        <w:rPr>
          <w:rFonts w:hint="eastAsia" w:ascii="宋体" w:hAnsi="宋体" w:eastAsia="宋体"/>
          <w:color w:val="auto"/>
          <w:sz w:val="21"/>
          <w:szCs w:val="21"/>
          <w:highlight w:val="none"/>
        </w:rPr>
        <w:t>递</w:t>
      </w:r>
      <w:r>
        <w:rPr>
          <w:rFonts w:ascii="宋体" w:hAnsi="宋体" w:eastAsia="宋体"/>
          <w:color w:val="auto"/>
          <w:sz w:val="21"/>
          <w:szCs w:val="21"/>
          <w:highlight w:val="none"/>
        </w:rPr>
        <w:t>交投标文件的截止时间。在此情况下，投标人的所有权利和义务以及投标人受制约的截止时间，均以延长后新的投标截止时间为准。</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54" w:name="_Toc6003"/>
      <w:r>
        <w:rPr>
          <w:rFonts w:hint="eastAsia" w:ascii="宋体" w:hAnsi="宋体" w:eastAsia="宋体"/>
          <w:color w:val="auto"/>
          <w:sz w:val="21"/>
          <w:szCs w:val="21"/>
          <w:highlight w:val="none"/>
        </w:rPr>
        <w:t>21.投标文件的补充、修改与撤回</w:t>
      </w:r>
      <w:bookmarkEnd w:id="54"/>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投标人在提交投标文件截止时间前，可以对所提交的投标文件进行补充、修改或撤回，并以纸质版形式通知采购代理机构。在提交投标文件截止时间之后，投标人不得对其投标文件做出任何的补充和修改。</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投标文件一经递交不予退还。</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在提交投标文件截止时间至投标有效期满之前，投标人不得撤回其投标，否则其投标保证金将不予退还。</w:t>
      </w:r>
    </w:p>
    <w:p>
      <w:pPr>
        <w:pStyle w:val="2"/>
        <w:rPr>
          <w:color w:val="auto"/>
          <w:highlight w:val="none"/>
        </w:rPr>
      </w:pPr>
    </w:p>
    <w:p>
      <w:pPr>
        <w:pStyle w:val="5"/>
        <w:numPr>
          <w:ilvl w:val="0"/>
          <w:numId w:val="3"/>
        </w:numPr>
        <w:spacing w:after="0" w:line="480" w:lineRule="auto"/>
        <w:jc w:val="center"/>
        <w:rPr>
          <w:rFonts w:ascii="宋体" w:hAnsi="宋体"/>
          <w:color w:val="auto"/>
          <w:highlight w:val="none"/>
        </w:rPr>
      </w:pPr>
      <w:bookmarkStart w:id="55" w:name="_Toc29574"/>
      <w:r>
        <w:rPr>
          <w:rFonts w:hint="eastAsia" w:ascii="宋体" w:hAnsi="宋体"/>
          <w:color w:val="auto"/>
          <w:highlight w:val="none"/>
        </w:rPr>
        <w:t>开标与评标</w:t>
      </w:r>
      <w:bookmarkEnd w:id="55"/>
    </w:p>
    <w:p>
      <w:pPr>
        <w:pStyle w:val="6"/>
        <w:widowControl w:val="0"/>
        <w:overflowPunct w:val="0"/>
        <w:spacing w:before="0" w:after="0" w:line="240" w:lineRule="auto"/>
        <w:rPr>
          <w:rFonts w:ascii="宋体" w:hAnsi="宋体" w:eastAsia="宋体"/>
          <w:color w:val="auto"/>
          <w:sz w:val="21"/>
          <w:szCs w:val="21"/>
          <w:highlight w:val="none"/>
        </w:rPr>
      </w:pPr>
      <w:bookmarkStart w:id="56" w:name="_Toc28458"/>
      <w:r>
        <w:rPr>
          <w:rFonts w:hint="eastAsia" w:ascii="宋体" w:hAnsi="宋体" w:eastAsia="宋体"/>
          <w:color w:val="auto"/>
          <w:sz w:val="21"/>
          <w:szCs w:val="21"/>
          <w:highlight w:val="none"/>
        </w:rPr>
        <w:t>22.开标</w:t>
      </w:r>
      <w:bookmarkEnd w:id="56"/>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采购代理机构按</w:t>
      </w:r>
      <w:r>
        <w:rPr>
          <w:rFonts w:ascii="宋体" w:hAnsi="宋体" w:eastAsia="宋体"/>
          <w:color w:val="auto"/>
          <w:sz w:val="21"/>
          <w:szCs w:val="21"/>
          <w:highlight w:val="none"/>
        </w:rPr>
        <w:t>本</w:t>
      </w:r>
      <w:r>
        <w:rPr>
          <w:rFonts w:hint="eastAsia" w:ascii="宋体" w:hAnsi="宋体" w:eastAsia="宋体"/>
          <w:color w:val="auto"/>
          <w:sz w:val="21"/>
          <w:szCs w:val="21"/>
          <w:highlight w:val="none"/>
        </w:rPr>
        <w:t>招标文件</w:t>
      </w:r>
      <w:r>
        <w:rPr>
          <w:rFonts w:ascii="宋体" w:hAnsi="宋体" w:eastAsia="宋体"/>
          <w:color w:val="auto"/>
          <w:sz w:val="21"/>
          <w:szCs w:val="21"/>
          <w:highlight w:val="none"/>
        </w:rPr>
        <w:t>所规定的时间和地点公开开标，并邀请所有投标人</w:t>
      </w:r>
      <w:r>
        <w:rPr>
          <w:rFonts w:hint="eastAsia" w:ascii="宋体" w:hAnsi="宋体" w:eastAsia="宋体"/>
          <w:color w:val="auto"/>
          <w:sz w:val="21"/>
          <w:szCs w:val="21"/>
          <w:highlight w:val="none"/>
        </w:rPr>
        <w:t>代表</w:t>
      </w:r>
      <w:r>
        <w:rPr>
          <w:rFonts w:ascii="宋体" w:hAnsi="宋体" w:eastAsia="宋体"/>
          <w:color w:val="auto"/>
          <w:sz w:val="21"/>
          <w:szCs w:val="21"/>
          <w:highlight w:val="none"/>
        </w:rPr>
        <w:t>参加。</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开标程序：</w:t>
      </w:r>
    </w:p>
    <w:p>
      <w:pPr>
        <w:widowControl w:val="0"/>
        <w:numPr>
          <w:ilvl w:val="2"/>
          <w:numId w:val="4"/>
        </w:numPr>
        <w:tabs>
          <w:tab w:val="left" w:pos="567"/>
          <w:tab w:val="clear" w:pos="794"/>
        </w:tabs>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开标</w:t>
      </w:r>
      <w:r>
        <w:rPr>
          <w:rFonts w:hint="eastAsia" w:ascii="宋体" w:hAnsi="宋体" w:eastAsia="宋体"/>
          <w:color w:val="auto"/>
          <w:sz w:val="21"/>
          <w:szCs w:val="21"/>
          <w:highlight w:val="none"/>
        </w:rPr>
        <w:t>会</w:t>
      </w:r>
      <w:r>
        <w:rPr>
          <w:rFonts w:ascii="宋体" w:hAnsi="宋体" w:eastAsia="宋体"/>
          <w:color w:val="auto"/>
          <w:sz w:val="21"/>
          <w:szCs w:val="21"/>
          <w:highlight w:val="none"/>
        </w:rPr>
        <w:t>由</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主持</w:t>
      </w:r>
      <w:r>
        <w:rPr>
          <w:rFonts w:hint="eastAsia" w:ascii="宋体" w:hAnsi="宋体" w:eastAsia="宋体"/>
          <w:color w:val="auto"/>
          <w:sz w:val="21"/>
          <w:szCs w:val="21"/>
          <w:highlight w:val="none"/>
        </w:rPr>
        <w:t>，投标人的法定代表人或其授权代表携带有效身份证明准时参加开标会并签名报到。</w:t>
      </w:r>
    </w:p>
    <w:p>
      <w:pPr>
        <w:widowControl w:val="0"/>
        <w:numPr>
          <w:ilvl w:val="2"/>
          <w:numId w:val="4"/>
        </w:numPr>
        <w:tabs>
          <w:tab w:val="left" w:pos="567"/>
          <w:tab w:val="clear" w:pos="794"/>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开标时，由投标人或者其推选的代表检查投标文件的密封情况；经确认无误后，由采购人或者采购代理机构工作人员当众拆封，宣布投标人名称、投标价格和招标文件规定的需要宣布的其他内容；</w:t>
      </w:r>
    </w:p>
    <w:p>
      <w:pPr>
        <w:widowControl w:val="0"/>
        <w:numPr>
          <w:ilvl w:val="2"/>
          <w:numId w:val="4"/>
        </w:numPr>
        <w:tabs>
          <w:tab w:val="left" w:pos="567"/>
          <w:tab w:val="clear" w:pos="794"/>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投标人未参加开标的，视同认可开标结果。</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合格投标人不足3家的，不得开标；</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开标过程应当由采购人或者采购代理机构负责记录，由参加开标的各投标人代表和相关工作人员签字确认。</w:t>
      </w:r>
    </w:p>
    <w:p>
      <w:pPr>
        <w:widowControl w:val="0"/>
        <w:adjustRightInd/>
        <w:snapToGrid/>
        <w:spacing w:after="0" w:line="360" w:lineRule="exact"/>
        <w:ind w:left="567"/>
        <w:jc w:val="both"/>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57" w:name="_Toc5524"/>
      <w:r>
        <w:rPr>
          <w:rFonts w:hint="eastAsia" w:ascii="宋体" w:hAnsi="宋体" w:eastAsia="宋体"/>
          <w:color w:val="auto"/>
          <w:sz w:val="21"/>
          <w:szCs w:val="21"/>
          <w:highlight w:val="none"/>
        </w:rPr>
        <w:t>23.评标委员会及评标方法</w:t>
      </w:r>
      <w:bookmarkEnd w:id="57"/>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评标委员会根据招标项目的特点进行组建，并负责评标工作。</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评审方法：本次招标的评审方法采用综合评分法。</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定标原则：在最大限度</w:t>
      </w:r>
      <w:r>
        <w:rPr>
          <w:rFonts w:ascii="宋体" w:hAnsi="宋体" w:eastAsia="宋体"/>
          <w:color w:val="auto"/>
          <w:sz w:val="21"/>
          <w:szCs w:val="21"/>
          <w:highlight w:val="none"/>
        </w:rPr>
        <w:t>满足招标文件</w:t>
      </w:r>
      <w:r>
        <w:rPr>
          <w:rFonts w:hint="eastAsia" w:ascii="宋体" w:hAnsi="宋体" w:eastAsia="宋体"/>
          <w:color w:val="auto"/>
          <w:sz w:val="21"/>
          <w:szCs w:val="21"/>
          <w:highlight w:val="none"/>
        </w:rPr>
        <w:t>实质性要求前提下，按照招标文件规定的各项评价因素进行量化打分，以评标总得分最高的投标人作为中标候选人或中标人。</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评标委员会对投标文件的评审内容，分为商务评议、技术评议和价格评议。评审流程包括符合性检查、澄清问题、比较与评价、推荐中标候选人或确定中标人、编写评标报告等步骤。</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通过资格性和符合性审查的有效供应商方有资格提交最终报价及进入综合评审。磋商文件中要求供应商提供的相关资质证书证明材料因国家政策变动导致新旧证书名称不一致，旧证书未取消且新旧证书具有同等效力的，供应商提供新证书与提供在有效期内的旧证书给予同等认可。</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58" w:name="_Toc15231"/>
      <w:r>
        <w:rPr>
          <w:rFonts w:hint="eastAsia" w:ascii="宋体" w:hAnsi="宋体" w:eastAsia="宋体"/>
          <w:color w:val="auto"/>
          <w:sz w:val="21"/>
          <w:szCs w:val="21"/>
          <w:highlight w:val="none"/>
        </w:rPr>
        <w:t>24.评审原则及评标过程的保密</w:t>
      </w:r>
      <w:bookmarkEnd w:id="58"/>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评审的基本原则：评标委员会将依据《中华人民共和国政府采购法》及国家和地方政府有关法规的规定，遵循“客观、公正、审慎”的原则进行评审工作。</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从公开开标到签订合同，凡与审查、澄清、评审和投标有关的资料以及定标意见相关的事项，均不得向投标人及与评标无关的其他人透露。</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任何单位和个人不得非法干预、影响评标的过程和结果。</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59" w:name="_Toc3762"/>
      <w:r>
        <w:rPr>
          <w:rFonts w:hint="eastAsia" w:ascii="宋体" w:hAnsi="宋体" w:eastAsia="宋体"/>
          <w:color w:val="auto"/>
          <w:sz w:val="21"/>
          <w:szCs w:val="21"/>
          <w:highlight w:val="none"/>
        </w:rPr>
        <w:t>25.投标文件的初审</w:t>
      </w:r>
      <w:bookmarkEnd w:id="59"/>
    </w:p>
    <w:p>
      <w:pPr>
        <w:pStyle w:val="28"/>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开标结束后，采购人或者采购代理机构将依法对投标人的资格进行审查。资格审查时，投标人存在不符合资格性检查所要求事项情况的，投标无效。未通过资格审查的投标人不进入符合性审查的评审，</w:t>
      </w:r>
      <w:r>
        <w:rPr>
          <w:rFonts w:hint="eastAsia" w:ascii="宋体" w:hAnsi="宋体" w:eastAsia="宋体"/>
          <w:b/>
          <w:color w:val="auto"/>
          <w:sz w:val="21"/>
          <w:szCs w:val="21"/>
          <w:highlight w:val="none"/>
        </w:rPr>
        <w:t>资格性检查中发现下列情形之一的，其投标作无效处理：</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1) 资格瑕疵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资格证明文件未提供或不符合招标文件要求的；②资格证明文件有效期过期的；③《营业执照》复印件（加盖公章）或《事业单位法人证书》复印件（加盖公章）或其他主体证书复印件（加盖公章）未提供或有效期过期的；④提供的资质材料模糊不清导致无法辨认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 投标保证金瑕疵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包括但不限于：①投标人未按招标文件要求提交投标保证金；②提交方式、提交时间、提交金额不符合招标文件要求；③投标保证金有效期不符合招标文件要求。</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eastAsia="宋体"/>
          <w:b/>
          <w:color w:val="auto"/>
          <w:sz w:val="21"/>
          <w:szCs w:val="21"/>
          <w:highlight w:val="none"/>
        </w:rPr>
        <w:t>发现下列情况之一的，其投标将作无效处理</w:t>
      </w:r>
      <w:r>
        <w:rPr>
          <w:rFonts w:hint="eastAsia" w:ascii="宋体" w:hAnsi="宋体" w:eastAsia="宋体"/>
          <w:color w:val="auto"/>
          <w:sz w:val="21"/>
          <w:szCs w:val="21"/>
          <w:highlight w:val="none"/>
        </w:rPr>
        <w:t>：</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1) 投标文件的有效性、完整性瑕疵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 技术响应瑕疵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规格偏离表》未提供的；⑤将一个包中的内容拆开投标的；⑥投标人对同一货物或服务投标时，投标方案不唯一；⑦明显不符合技术规格、技术标准要求的；⑧其他未实质性响应招标文件技术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3) 商务响应瑕疵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采购人不能接受的条件的；⑥其他未实质性响应招标文件商务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4）投标报价瑕疵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5）违规行为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6)法律法规及招标文件中规定的其它情形。</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根据项目情况，评标委员会有权决定招标文件中“可能导致废标”或“可能导致其投标被拒绝”等具体条款是否实施“废标”或“投标被拒绝”，但对同一条款的裁决应适用于每个投标人。</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对于投标文件中不构成实质性偏差的不正规、不一致或不规则，评标委员会可以接受，但这种接受不能损害或影响任何投标人的相对排序。</w:t>
      </w:r>
    </w:p>
    <w:p>
      <w:pPr>
        <w:widowControl w:val="0"/>
        <w:numPr>
          <w:ilvl w:val="1"/>
          <w:numId w:val="4"/>
        </w:numPr>
        <w:adjustRightInd/>
        <w:snapToGrid/>
        <w:spacing w:after="0" w:line="360" w:lineRule="exact"/>
        <w:jc w:val="both"/>
        <w:rPr>
          <w:color w:val="auto"/>
          <w:highlight w:val="none"/>
        </w:rPr>
      </w:pPr>
      <w:r>
        <w:rPr>
          <w:rFonts w:hint="eastAsia" w:ascii="宋体" w:hAnsi="宋体" w:eastAsia="宋体"/>
          <w:color w:val="auto"/>
          <w:sz w:val="21"/>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60" w:name="_Toc21742"/>
      <w:r>
        <w:rPr>
          <w:rFonts w:hint="eastAsia" w:ascii="宋体" w:hAnsi="宋体" w:eastAsia="宋体"/>
          <w:color w:val="auto"/>
          <w:sz w:val="21"/>
          <w:szCs w:val="21"/>
          <w:highlight w:val="none"/>
        </w:rPr>
        <w:t>26.商务、技术、价格评审（具体评审项目详见投标资料表）</w:t>
      </w:r>
      <w:bookmarkEnd w:id="60"/>
    </w:p>
    <w:p>
      <w:pPr>
        <w:pStyle w:val="28"/>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对通过符合性检查的投标人进行商务技术综合评议，针对投标文件对招标文件的响应情况对各个投标人进行商务和技术评分</w:t>
      </w:r>
      <w:r>
        <w:rPr>
          <w:rFonts w:hint="eastAsia" w:ascii="宋体" w:hAnsi="宋体" w:eastAsia="宋体"/>
          <w:color w:val="auto"/>
          <w:sz w:val="21"/>
          <w:szCs w:val="21"/>
          <w:highlight w:val="none"/>
        </w:rPr>
        <w:t xml:space="preserve">。 </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投标文件报价出现前后不一致的，评标委员会按照下列规定修正：</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投标文件中开标一览表（报价表）内容与投标文件中相应内容不一致的，以开标一览表（报价表）为准；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大写金额和小写金额不一致的，以大写金额为准；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单价金额小数点或者百分比有明显错位的，以开标一览表的总价为准，并修改单价；</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总价金额与按单价汇总金额不一致的，以单价金额计算结果为准。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同时出现两种以上不一致的，按照前款规定的顺序修正。修正后的报价按照经投标人确认后产生约束力，投标人不确认的，其投标无效。</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61" w:name="_Toc22192"/>
      <w:r>
        <w:rPr>
          <w:rFonts w:hint="eastAsia" w:ascii="宋体" w:hAnsi="宋体" w:eastAsia="宋体"/>
          <w:color w:val="auto"/>
          <w:sz w:val="21"/>
          <w:szCs w:val="21"/>
          <w:highlight w:val="none"/>
        </w:rPr>
        <w:t>27.优惠政策</w:t>
      </w:r>
      <w:bookmarkEnd w:id="61"/>
    </w:p>
    <w:p>
      <w:pPr>
        <w:pStyle w:val="28"/>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对小型或微型企业、监狱企业、残疾人福利性单位投标的扶持：</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财政部、工业和信息化部制定了《政府采购促进中小企业发展管理办法》（财库〔2020〕46号）的规定，对小型或微型企业产品的价格给予一定比例扣除，用扣除后的价格参与评审。（参加政府采购活动的中小企业应按照招标文件中投标文件格式提出《中小企业声明函》）残疾人福利性单位、监狱企业（注：参加政府采购活动的监狱企业必须提供由省级以上监狱管理局、戒毒管理局(含新疆生产建设兵团)出具的监狱企业证明文件）视同小型、微型企业。</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投标人为小型或微型企业且投标产品含小型或微型企业产品时，其对应产品价格的扣除详见投标资料表。</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在货物采购项目中，供应商提供的货物既有中小企业制造货物，也有大型企业制造货物的，不享受“财政部 工业和信息化部关于印发《政府采购促进中小企业发展管理办法》的通知（财库〔2020〕46号）”规定的中小企业扶持政策。</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投标人同时为小型、微型企业、监狱企业、残疾人福利性单位任两种或以上情况的，评审中只享受一次价格扣除，不重复进行价格扣除。</w:t>
      </w:r>
    </w:p>
    <w:p>
      <w:pPr>
        <w:widowControl w:val="0"/>
        <w:numPr>
          <w:ilvl w:val="1"/>
          <w:numId w:val="4"/>
        </w:numPr>
        <w:tabs>
          <w:tab w:val="left" w:pos="907"/>
        </w:tabs>
        <w:adjustRightInd/>
        <w:snapToGrid/>
        <w:spacing w:after="0" w:line="360" w:lineRule="exact"/>
        <w:jc w:val="both"/>
        <w:rPr>
          <w:rFonts w:ascii="宋体" w:hAnsi="宋体" w:eastAsia="宋体"/>
          <w:b/>
          <w:bCs/>
          <w:color w:val="auto"/>
          <w:sz w:val="21"/>
          <w:szCs w:val="21"/>
          <w:highlight w:val="none"/>
          <w:u w:val="single"/>
        </w:rPr>
      </w:pPr>
      <w:r>
        <w:rPr>
          <w:rFonts w:hint="eastAsia" w:ascii="宋体" w:hAnsi="宋体" w:eastAsia="宋体"/>
          <w:b/>
          <w:bCs/>
          <w:color w:val="auto"/>
          <w:sz w:val="21"/>
          <w:szCs w:val="21"/>
          <w:highlight w:val="none"/>
          <w:u w:val="single"/>
        </w:rPr>
        <w:t>中标、成交供应商享受本办法（财库〔2020〕46号）规定的中小企业扶持政策的，采购代理机构将随中标、成交结果公开中标、成交供应商的《中小企业声明函》。各供应商不得提供虚假声明，提供虚假声明取消中标、成交资格，并追究其法律责任。</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符合享受政府采购支持政策的残疾人福利性单位划分标准（根据财政部 民政部 中国残疾人联合会关于促进残疾人就业政府采购政策的通知(财库[2017]141号)）：</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（1）安置的残疾人占本单位在职职工人数的比例不低于25%（含25%），并且安置的残疾人人数不少于10人（含10人）；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（2）依法与安置的每位残疾人签订了一年以上（含一年）的劳动合同或服务协议；</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（3）为安置的每位残疾人按月足额缴纳了基本养老保险、基本医疗保险、失业保险、工伤保险和生育保险等社会保险费；</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（4）通过银行等金融机构向安置的每位残疾人，按月支付了不低于单位所在区县适用的经省级人民政府批准的月最低工资标准的工资；</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（5）提供本单位制造的货物、承担的工程或者服务（以下简称产品），或者提供其他残疾人福利性单位制造的货物（不包括使用非残疾人福利性单位注册商标的货物）。</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对节能产品或环境标志产品的扶持：</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根据《关于调整优化节能产品、环境标志产品政府采购执行机制的通知》（财库〔2019〕9号）及《转发财政部 发展改革委 生态环境部 市场监管总局关于调整优化节能产品 环境标志产品政府采购执行机制的通知》（粤财采购函〔2019〕1号）的规定，对提供节能产品或环境标志产品的投标单位的价格给予一定比例扣除（扣除比例详见投标资料表）。</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提供节能产品或环境标志产品的投标人其产品应符合以下规定：</w:t>
      </w:r>
    </w:p>
    <w:p>
      <w:pPr>
        <w:widowControl w:val="0"/>
        <w:numPr>
          <w:ilvl w:val="0"/>
          <w:numId w:val="7"/>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所投产品属于《节能产品政府采购品目清单》或《环境标志产品政府采购品目清单》的，投标人应如实填写《节能产品或环境标志产品列价表》并提供在有效期内的“节能产品认证证书”或“环境标志产品认证证书”。</w:t>
      </w:r>
    </w:p>
    <w:p>
      <w:pPr>
        <w:widowControl w:val="0"/>
        <w:numPr>
          <w:ilvl w:val="0"/>
          <w:numId w:val="7"/>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所投节能产品或环境标志产品其认证证书的认证机构应属于《市场监管总局关于发布参与实施政府采购节能产品、环境标志产品认证机构名录的公告（2019年第16号）》公告中所公示的认证机构，若投标人所提供的产品认证证书其认证机构不属于以上公示中的机构，则视为无效认证，不给予价格扣除优惠。</w:t>
      </w:r>
    </w:p>
    <w:p>
      <w:pPr>
        <w:widowControl w:val="0"/>
        <w:numPr>
          <w:ilvl w:val="0"/>
          <w:numId w:val="7"/>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若用户需求中含有《节能产品政府采购品目清单》中的政府强制采购产品，投标人应根据要求提供所对应的节能产品，否则做投标无效处理。</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62" w:name="_Toc316375620"/>
      <w:bookmarkStart w:id="63" w:name="_Toc382049120"/>
      <w:bookmarkStart w:id="64" w:name="_Toc20328"/>
      <w:bookmarkStart w:id="65" w:name="_Toc22591"/>
      <w:r>
        <w:rPr>
          <w:rFonts w:hint="eastAsia" w:ascii="宋体" w:hAnsi="宋体" w:eastAsia="宋体"/>
          <w:color w:val="auto"/>
          <w:sz w:val="21"/>
          <w:szCs w:val="21"/>
          <w:highlight w:val="none"/>
        </w:rPr>
        <w:t>28.纪律和</w:t>
      </w:r>
      <w:r>
        <w:rPr>
          <w:rFonts w:ascii="宋体" w:hAnsi="宋体" w:eastAsia="宋体"/>
          <w:color w:val="auto"/>
          <w:sz w:val="21"/>
          <w:szCs w:val="21"/>
          <w:highlight w:val="none"/>
        </w:rPr>
        <w:t>保密</w:t>
      </w:r>
      <w:bookmarkEnd w:id="62"/>
      <w:r>
        <w:rPr>
          <w:rFonts w:hint="eastAsia" w:ascii="宋体" w:hAnsi="宋体" w:eastAsia="宋体"/>
          <w:color w:val="auto"/>
          <w:sz w:val="21"/>
          <w:szCs w:val="21"/>
          <w:highlight w:val="none"/>
        </w:rPr>
        <w:t>事项</w:t>
      </w:r>
      <w:bookmarkEnd w:id="63"/>
      <w:bookmarkEnd w:id="64"/>
      <w:bookmarkEnd w:id="65"/>
    </w:p>
    <w:p>
      <w:pPr>
        <w:pStyle w:val="28"/>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投标人不得串通作弊，以不正当的手段妨碍、排挤其他投标人，扰乱招标市场，破坏公平竞争原则。否则将按相关法律规定严肃处理。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5"/>
        <w:numPr>
          <w:ilvl w:val="0"/>
          <w:numId w:val="3"/>
        </w:numPr>
        <w:spacing w:after="0" w:line="480" w:lineRule="auto"/>
        <w:jc w:val="center"/>
        <w:rPr>
          <w:rFonts w:ascii="宋体" w:hAnsi="宋体"/>
          <w:color w:val="auto"/>
          <w:highlight w:val="none"/>
        </w:rPr>
      </w:pPr>
      <w:bookmarkStart w:id="66" w:name="_Toc29310"/>
      <w:r>
        <w:rPr>
          <w:rFonts w:hint="eastAsia" w:ascii="宋体" w:hAnsi="宋体"/>
          <w:color w:val="auto"/>
          <w:highlight w:val="none"/>
        </w:rPr>
        <w:t>授予合同</w:t>
      </w:r>
      <w:bookmarkEnd w:id="66"/>
    </w:p>
    <w:p>
      <w:pPr>
        <w:pStyle w:val="6"/>
        <w:widowControl w:val="0"/>
        <w:overflowPunct w:val="0"/>
        <w:spacing w:before="0" w:after="0" w:line="240" w:lineRule="auto"/>
        <w:rPr>
          <w:rFonts w:ascii="宋体" w:hAnsi="宋体" w:eastAsia="宋体"/>
          <w:color w:val="auto"/>
          <w:sz w:val="21"/>
          <w:szCs w:val="21"/>
          <w:highlight w:val="none"/>
        </w:rPr>
      </w:pPr>
      <w:bookmarkStart w:id="67" w:name="_Toc508284011"/>
      <w:bookmarkStart w:id="68" w:name="_Toc27817"/>
      <w:r>
        <w:rPr>
          <w:rFonts w:hint="eastAsia" w:ascii="宋体" w:hAnsi="宋体" w:eastAsia="宋体"/>
          <w:color w:val="auto"/>
          <w:sz w:val="21"/>
          <w:szCs w:val="21"/>
          <w:highlight w:val="none"/>
        </w:rPr>
        <w:t>29.</w:t>
      </w:r>
      <w:r>
        <w:rPr>
          <w:rFonts w:ascii="宋体" w:hAnsi="宋体" w:eastAsia="宋体"/>
          <w:color w:val="auto"/>
          <w:sz w:val="21"/>
          <w:szCs w:val="21"/>
          <w:highlight w:val="none"/>
        </w:rPr>
        <w:t>合同授予标准</w:t>
      </w:r>
      <w:bookmarkEnd w:id="67"/>
      <w:bookmarkEnd w:id="68"/>
    </w:p>
    <w:p>
      <w:pPr>
        <w:pStyle w:val="28"/>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根据评标委员会的评审结果，采购人按照评审报告推荐的中标候选人中按顺序依法确定中标人</w:t>
      </w:r>
      <w:r>
        <w:rPr>
          <w:rFonts w:ascii="宋体" w:hAnsi="宋体" w:eastAsia="宋体"/>
          <w:color w:val="auto"/>
          <w:sz w:val="21"/>
          <w:szCs w:val="21"/>
          <w:highlight w:val="none"/>
        </w:rPr>
        <w:t>。</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69" w:name="_Toc29283"/>
      <w:bookmarkStart w:id="70" w:name="_Toc508284013"/>
      <w:r>
        <w:rPr>
          <w:rFonts w:hint="eastAsia" w:ascii="宋体" w:hAnsi="宋体" w:eastAsia="宋体"/>
          <w:color w:val="auto"/>
          <w:sz w:val="21"/>
          <w:szCs w:val="21"/>
          <w:highlight w:val="none"/>
        </w:rPr>
        <w:t>30.发布采购结果</w:t>
      </w:r>
      <w:bookmarkEnd w:id="69"/>
      <w:bookmarkEnd w:id="70"/>
    </w:p>
    <w:p>
      <w:pPr>
        <w:pStyle w:val="28"/>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评标委员会提出评标书面报告和推荐中标意见报采购人确认后，采购代理机构将在指定的信息发布媒体上发布公告。</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中标公告期限为1个工作日。</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结果公示发布后，中标单位应及时领取中标通知书。《中标通知书》是合同的一个组成部分，《中标通知书》对采购人和中标人均具有同等法律效力。</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中标人无正当理由不得放弃中标，因中标人放弃中标而对采购人造成的损失由放弃中标的中标人承担。</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中标人为残疾人福利性单位的，采购人或者其委托的采购代理机构应当随中标、成交结果同时公告其《残疾人福利性单位声明函》，接受社会监督。</w:t>
      </w:r>
    </w:p>
    <w:p>
      <w:pPr>
        <w:widowControl w:val="0"/>
        <w:numPr>
          <w:ilvl w:val="1"/>
          <w:numId w:val="4"/>
        </w:numPr>
        <w:tabs>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原件核查</w:t>
      </w:r>
    </w:p>
    <w:p>
      <w:pPr>
        <w:widowControl w:val="0"/>
        <w:numPr>
          <w:ilvl w:val="2"/>
          <w:numId w:val="4"/>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采购结果发布后，采购代理机构或采购人有权对中标单位进行原件核查，中标单位应在五个工作日内把相关原件递交至采购代理机构办公地址或采购人指定地址进行核查。</w:t>
      </w:r>
    </w:p>
    <w:p>
      <w:pPr>
        <w:widowControl w:val="0"/>
        <w:numPr>
          <w:ilvl w:val="2"/>
          <w:numId w:val="4"/>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中标单位有下列情形之一的，取消中标资格：</w:t>
      </w:r>
    </w:p>
    <w:p>
      <w:pPr>
        <w:widowControl w:val="0"/>
        <w:numPr>
          <w:ilvl w:val="0"/>
          <w:numId w:val="8"/>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拒绝采购人或采购代理机构原件核查要求的；</w:t>
      </w:r>
    </w:p>
    <w:p>
      <w:pPr>
        <w:widowControl w:val="0"/>
        <w:numPr>
          <w:ilvl w:val="0"/>
          <w:numId w:val="8"/>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未在规定时间内将原件递交到到采购代理机构办公地址或采购人指定地址进行核查的；</w:t>
      </w:r>
    </w:p>
    <w:p>
      <w:pPr>
        <w:widowControl w:val="0"/>
        <w:numPr>
          <w:ilvl w:val="0"/>
          <w:numId w:val="8"/>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在规定时间内递交的原件数量、内容与采购人、采购代理机构要求不一致的；</w:t>
      </w:r>
    </w:p>
    <w:p>
      <w:pPr>
        <w:widowControl w:val="0"/>
        <w:numPr>
          <w:ilvl w:val="0"/>
          <w:numId w:val="8"/>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因原件续期、更改等原因不能按时递交原件且未能在规定时间内提供相应部门开具的变更、续期等证明的；</w:t>
      </w:r>
    </w:p>
    <w:p>
      <w:pPr>
        <w:widowControl w:val="0"/>
        <w:numPr>
          <w:ilvl w:val="0"/>
          <w:numId w:val="8"/>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经查原件，投标文件内容有造假行为的。</w:t>
      </w:r>
    </w:p>
    <w:p>
      <w:pPr>
        <w:widowControl w:val="0"/>
        <w:numPr>
          <w:ilvl w:val="2"/>
          <w:numId w:val="4"/>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采购结果发布后，采购代理机构或采购人有权对递交了投标文件的未中标投标人进行原件核查。投标人应在采购代理机构或采购人发出纸质通知五个工作日内将原件递交到采购代理机构办公地址或采购人指定地址进行核查。</w:t>
      </w:r>
    </w:p>
    <w:p>
      <w:pPr>
        <w:widowControl w:val="0"/>
        <w:numPr>
          <w:ilvl w:val="2"/>
          <w:numId w:val="4"/>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投标人有下列情形之一的，投标文件作无效处理，其投标无效：</w:t>
      </w:r>
    </w:p>
    <w:p>
      <w:pPr>
        <w:widowControl w:val="0"/>
        <w:numPr>
          <w:ilvl w:val="0"/>
          <w:numId w:val="9"/>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拒绝采购人或采购代理机构原件核查要求的；</w:t>
      </w:r>
    </w:p>
    <w:p>
      <w:pPr>
        <w:widowControl w:val="0"/>
        <w:numPr>
          <w:ilvl w:val="0"/>
          <w:numId w:val="9"/>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未在规定时间内将原件递交到到采购代理机构办公地址或采购人指定地址进行核查的；</w:t>
      </w:r>
    </w:p>
    <w:p>
      <w:pPr>
        <w:widowControl w:val="0"/>
        <w:numPr>
          <w:ilvl w:val="0"/>
          <w:numId w:val="9"/>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在规定时间内递交的原件数量、内容不符合采购人、采购代理机构要求的；</w:t>
      </w:r>
    </w:p>
    <w:p>
      <w:pPr>
        <w:widowControl w:val="0"/>
        <w:numPr>
          <w:ilvl w:val="0"/>
          <w:numId w:val="9"/>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因原件续期、更改等原因不能按时递交原件且未能在规定时间内提供相应部门开具的变更、续期等证明的；</w:t>
      </w:r>
    </w:p>
    <w:p>
      <w:pPr>
        <w:widowControl w:val="0"/>
        <w:numPr>
          <w:ilvl w:val="0"/>
          <w:numId w:val="9"/>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经查原件，投标文件内容有造假行为的。</w:t>
      </w:r>
    </w:p>
    <w:p>
      <w:pPr>
        <w:widowControl w:val="0"/>
        <w:numPr>
          <w:ilvl w:val="2"/>
          <w:numId w:val="4"/>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若投标人出现虚假应标情况，投标文件作无效处理，其投标、中标无效。并根据相关法律上报相关监管部门。</w:t>
      </w:r>
    </w:p>
    <w:p>
      <w:pPr>
        <w:widowControl w:val="0"/>
        <w:numPr>
          <w:ilvl w:val="2"/>
          <w:numId w:val="4"/>
        </w:numPr>
        <w:tabs>
          <w:tab w:val="left" w:pos="567"/>
          <w:tab w:val="left" w:pos="907"/>
          <w:tab w:val="clear" w:pos="794"/>
        </w:tabs>
        <w:adjustRightInd/>
        <w:snapToGrid/>
        <w:spacing w:after="0" w:line="360" w:lineRule="exact"/>
        <w:jc w:val="both"/>
        <w:rPr>
          <w:color w:val="auto"/>
          <w:highlight w:val="none"/>
        </w:rPr>
      </w:pPr>
      <w:r>
        <w:rPr>
          <w:rFonts w:hint="eastAsia" w:ascii="宋体" w:hAnsi="宋体" w:eastAsia="宋体"/>
          <w:color w:val="auto"/>
          <w:sz w:val="21"/>
          <w:szCs w:val="21"/>
          <w:highlight w:val="none"/>
        </w:rPr>
        <w:t>属于建办市函[2016]462号通知内的证件可不提供原件，仅提供带二维码原件的复印件即可。</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71" w:name="_Toc22451"/>
      <w:r>
        <w:rPr>
          <w:rFonts w:hint="eastAsia" w:ascii="宋体" w:hAnsi="宋体" w:eastAsia="宋体"/>
          <w:color w:val="auto"/>
          <w:sz w:val="21"/>
          <w:szCs w:val="21"/>
          <w:highlight w:val="none"/>
        </w:rPr>
        <w:t>31.合同的签订与履行</w:t>
      </w:r>
      <w:bookmarkEnd w:id="71"/>
    </w:p>
    <w:p>
      <w:pPr>
        <w:pStyle w:val="28"/>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采购人应当自采购结果公示发出之日起30日内，按照招标文件和中标人投标文件的规定，与中标人签订书面合同。所签订的合同不得对招标文件确定的事项和中标人投标文件作实质性修改。</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采购人与中标人应当根据合同的约定依法履行合同义务。</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政府采购合同的履行、违约责任和解决争议的方法等适用《中华人民共和国民法典》。</w:t>
      </w:r>
    </w:p>
    <w:p>
      <w:pPr>
        <w:widowControl w:val="0"/>
        <w:numPr>
          <w:ilvl w:val="1"/>
          <w:numId w:val="4"/>
        </w:numPr>
        <w:tabs>
          <w:tab w:val="left" w:pos="907"/>
        </w:tabs>
        <w:adjustRightInd/>
        <w:snapToGrid/>
        <w:spacing w:after="0" w:line="360" w:lineRule="exact"/>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合同签订之日起2个工作日内，中标人应将所签订的合同副本（加盖公章）交至广东政通招标有限公司归档。</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投标人在评审结束当天至合同履行结束，若因不可抗力的因素（如国家出台新法律法规等）造成投标人资质的变动，投标人应以纸质版形式通知采购人。若资质变动导致中标投标人不再具备履行合同资质要求，采购人有权中止合同。</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中标人拒绝与采购人签订合同的，采购人可以按照评审报告推荐的中标候选人名单排序，确定下一候选人为中标人，也可以重新开展政府采购活动。</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72" w:name="_Toc29009"/>
      <w:bookmarkStart w:id="73" w:name="_Toc2744"/>
      <w:bookmarkStart w:id="74" w:name="_Toc382049124"/>
      <w:bookmarkStart w:id="75" w:name="_Toc303084277"/>
      <w:r>
        <w:rPr>
          <w:rFonts w:hint="eastAsia" w:ascii="宋体" w:hAnsi="宋体" w:eastAsia="宋体"/>
          <w:color w:val="auto"/>
          <w:sz w:val="21"/>
          <w:szCs w:val="21"/>
          <w:highlight w:val="none"/>
        </w:rPr>
        <w:t>32.</w:t>
      </w:r>
      <w:r>
        <w:rPr>
          <w:rFonts w:ascii="宋体" w:hAnsi="宋体" w:eastAsia="宋体"/>
          <w:color w:val="auto"/>
          <w:sz w:val="21"/>
          <w:szCs w:val="21"/>
          <w:highlight w:val="none"/>
        </w:rPr>
        <w:t>履约</w:t>
      </w:r>
      <w:r>
        <w:rPr>
          <w:rFonts w:hint="eastAsia" w:ascii="宋体" w:hAnsi="宋体" w:eastAsia="宋体"/>
          <w:color w:val="auto"/>
          <w:sz w:val="21"/>
          <w:szCs w:val="21"/>
          <w:highlight w:val="none"/>
        </w:rPr>
        <w:t>保证金</w:t>
      </w:r>
      <w:bookmarkEnd w:id="72"/>
      <w:bookmarkEnd w:id="73"/>
      <w:bookmarkEnd w:id="74"/>
      <w:bookmarkEnd w:id="75"/>
    </w:p>
    <w:p>
      <w:pPr>
        <w:pStyle w:val="28"/>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应在领取中标通知书之后签订合同之前递交履约保证金（履约保函的提交与履约保证金的提交时间一致）。给采购人造成的损失超过投标担保数额的，还应当由其对超过部分予以赔偿，并依法追究其责任。中标人应在汇入履约保证金时在汇款单备注中注明：中标项目名称及中标项目编号。</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采用保证金（银行转帐、电汇）方式：中标人必须保证资金在签订合同前到帐。履约保证金账户采购人另行通知，到期后无息退还。</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履约保函方式：履约担保。是指由担保机构为供应商交纳履约保证金向采购人或采购代理机构提供的保证担保。供应商未按政府采购合同履行约定义务的，由担保机构按照担保函约定履行支付履约保证金的责任。（投标担保格式详见附件《政府采购投标担保函》）</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中标人须将履约保证金的汇款凭证 (注明中标通知书或项目编号)或履约保函（采购人注明原件已收到并盖章）用A4纸复印一式四份并加盖中标人的公章送至采购代理机构。</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履约保证金退回：履约保证金在项目验收合格后，中标人向采购人提交退回履约保证金的申请、履约保证金汇款凭证复印件、采购合同、采购项目验收报告原件、中标通知书复印件，前往采购人办理履约保证金退还手续。</w:t>
      </w:r>
    </w:p>
    <w:p>
      <w:pPr>
        <w:rPr>
          <w:color w:val="auto"/>
          <w:highlight w:val="none"/>
        </w:rPr>
      </w:pPr>
    </w:p>
    <w:p>
      <w:pPr>
        <w:pStyle w:val="5"/>
        <w:numPr>
          <w:ilvl w:val="0"/>
          <w:numId w:val="3"/>
        </w:numPr>
        <w:spacing w:after="0" w:line="480" w:lineRule="auto"/>
        <w:jc w:val="center"/>
        <w:rPr>
          <w:rFonts w:ascii="宋体" w:hAnsi="宋体"/>
          <w:color w:val="auto"/>
          <w:highlight w:val="none"/>
        </w:rPr>
      </w:pPr>
      <w:bookmarkStart w:id="76" w:name="_Toc13694"/>
      <w:r>
        <w:rPr>
          <w:rFonts w:hint="eastAsia" w:ascii="宋体" w:hAnsi="宋体"/>
          <w:color w:val="auto"/>
          <w:highlight w:val="none"/>
        </w:rPr>
        <w:t>询问或质疑</w:t>
      </w:r>
      <w:bookmarkEnd w:id="76"/>
    </w:p>
    <w:p>
      <w:pPr>
        <w:pStyle w:val="6"/>
        <w:widowControl w:val="0"/>
        <w:overflowPunct w:val="0"/>
        <w:spacing w:before="0" w:after="0" w:line="240" w:lineRule="auto"/>
        <w:rPr>
          <w:rFonts w:ascii="宋体" w:hAnsi="宋体" w:eastAsia="宋体"/>
          <w:color w:val="auto"/>
          <w:sz w:val="21"/>
          <w:szCs w:val="21"/>
          <w:highlight w:val="none"/>
        </w:rPr>
      </w:pPr>
      <w:bookmarkStart w:id="77" w:name="_Toc25498"/>
      <w:r>
        <w:rPr>
          <w:rFonts w:hint="eastAsia" w:ascii="宋体" w:hAnsi="宋体" w:eastAsia="宋体"/>
          <w:color w:val="auto"/>
          <w:sz w:val="21"/>
          <w:szCs w:val="21"/>
          <w:highlight w:val="none"/>
        </w:rPr>
        <w:t>33.询问</w:t>
      </w:r>
      <w:bookmarkEnd w:id="77"/>
    </w:p>
    <w:p>
      <w:pPr>
        <w:pStyle w:val="28"/>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投标人对政府采购活动事项（招标文件、采购过程和采购结果）有疑问的，可以按规定向采购代理机构提出询问。</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78" w:name="_Toc8234"/>
      <w:r>
        <w:rPr>
          <w:rFonts w:hint="eastAsia" w:ascii="宋体" w:hAnsi="宋体" w:eastAsia="宋体"/>
          <w:color w:val="auto"/>
          <w:sz w:val="21"/>
          <w:szCs w:val="21"/>
          <w:highlight w:val="none"/>
        </w:rPr>
        <w:t>34.质疑</w:t>
      </w:r>
      <w:bookmarkEnd w:id="78"/>
    </w:p>
    <w:p>
      <w:pPr>
        <w:pStyle w:val="28"/>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提出质疑的投标人应当是参与所质疑项目采购活动的供应商或是在规定的时间内已依法获取其可质疑的招标文件的潜在供应商。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认为招标文件、采购过程、中标或者成交结果使自己的权益受到损害的，可以在知道或者应知其权益受到损害之日起7个工作日内，以书面形式向采购人、采购代理机构提出质疑。超过规定时间提交的质疑函不予受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投标人在法定质疑期内须一次性提出针对同一采购程序环节的质疑，对同一采购程序环节的二次质疑采购代理机构不予受理。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将招标文件所规定的纸质版形式（质疑须提交以下资料并加盖投标人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递交地点、联系人详见投标邀请书）。投标人以电话、传真或电邮形式提交的质疑属于无效质疑。</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授权委托书应当载明代理人的姓名或者名称、代理事项、具体权限、期限和相关事项。</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投标人提出质疑应当提交质疑函和必要的证明材料（须注明法律依据），因缺少相关证明材料或证明材料存在不真实而导致的后果由投标人自行承担。</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不涉及对投标人利益造成损害的相关内容，不能作为质疑内容提交。</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投诉人在全国范围12个月内三次以上投诉查无实据的，由财政部门列入不良行为记录名单。</w:t>
      </w:r>
    </w:p>
    <w:p>
      <w:pPr>
        <w:widowControl w:val="0"/>
        <w:numPr>
          <w:ilvl w:val="1"/>
          <w:numId w:val="4"/>
        </w:numPr>
        <w:tabs>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投诉人有下列行为之一的，属于虚假、恶意投诉，由财政部门列入不良行为记录名单，禁止其1至3年内参加全国范围内的政府采购活动：</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（一）捏造事实;</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（二）提供虚假材料;</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（三）以非法手段取得证明材料。证据来源的合法性存在明显疑问，投诉人无法证明其取得方式合法的，视为以非法手段取得证明材料。</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以联合体形式参加政府采购活动的，其质疑应当由组成联合体的所有投标人共同提出。</w:t>
      </w:r>
    </w:p>
    <w:p>
      <w:pPr>
        <w:rPr>
          <w:color w:val="auto"/>
          <w:highlight w:val="none"/>
        </w:rPr>
      </w:pPr>
    </w:p>
    <w:p>
      <w:pPr>
        <w:pStyle w:val="5"/>
        <w:numPr>
          <w:ilvl w:val="0"/>
          <w:numId w:val="3"/>
        </w:numPr>
        <w:spacing w:after="0" w:line="480" w:lineRule="auto"/>
        <w:jc w:val="center"/>
        <w:rPr>
          <w:rFonts w:ascii="宋体" w:hAnsi="宋体"/>
          <w:color w:val="auto"/>
          <w:highlight w:val="none"/>
        </w:rPr>
      </w:pPr>
      <w:bookmarkStart w:id="79" w:name="_Toc24383"/>
      <w:r>
        <w:rPr>
          <w:rFonts w:hint="eastAsia" w:ascii="宋体" w:hAnsi="宋体"/>
          <w:color w:val="auto"/>
          <w:highlight w:val="none"/>
        </w:rPr>
        <w:t>其他</w:t>
      </w:r>
      <w:bookmarkEnd w:id="79"/>
    </w:p>
    <w:p>
      <w:pPr>
        <w:pStyle w:val="6"/>
        <w:widowControl w:val="0"/>
        <w:overflowPunct w:val="0"/>
        <w:spacing w:before="0" w:after="0" w:line="240" w:lineRule="auto"/>
        <w:rPr>
          <w:rFonts w:ascii="宋体" w:hAnsi="宋体" w:eastAsia="宋体"/>
          <w:color w:val="auto"/>
          <w:sz w:val="21"/>
          <w:szCs w:val="21"/>
          <w:highlight w:val="none"/>
        </w:rPr>
      </w:pPr>
      <w:bookmarkStart w:id="80" w:name="_Toc10082"/>
      <w:r>
        <w:rPr>
          <w:rFonts w:hint="eastAsia" w:ascii="宋体" w:hAnsi="宋体" w:eastAsia="宋体"/>
          <w:color w:val="auto"/>
          <w:sz w:val="21"/>
          <w:szCs w:val="21"/>
          <w:highlight w:val="none"/>
        </w:rPr>
        <w:t>35.招标文件的解释权</w:t>
      </w:r>
      <w:bookmarkEnd w:id="80"/>
    </w:p>
    <w:p>
      <w:pPr>
        <w:pStyle w:val="28"/>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招标文件版本号：广东政通20210101。</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本招标文件是根据国家有关法律、法规以及政府采购管理有关规定和参照国际惯例编制，解释权属本采购代理机构。</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4"/>
        <w:spacing w:before="0" w:after="0" w:line="240" w:lineRule="auto"/>
        <w:rPr>
          <w:color w:val="auto"/>
          <w:sz w:val="28"/>
          <w:szCs w:val="28"/>
          <w:highlight w:val="none"/>
        </w:rPr>
      </w:pPr>
      <w:bookmarkStart w:id="81" w:name="_Toc21448"/>
      <w:r>
        <w:rPr>
          <w:rFonts w:hint="eastAsia"/>
          <w:color w:val="auto"/>
          <w:sz w:val="28"/>
          <w:szCs w:val="28"/>
          <w:highlight w:val="none"/>
        </w:rPr>
        <w:t>第五部分 合同格式（仅供参考）</w:t>
      </w:r>
      <w:bookmarkEnd w:id="81"/>
      <w:bookmarkStart w:id="82" w:name="_Toc1534"/>
      <w:bookmarkStart w:id="83" w:name="_Toc21155"/>
      <w:bookmarkStart w:id="84" w:name="_Toc13430"/>
    </w:p>
    <w:p>
      <w:pPr>
        <w:pStyle w:val="5"/>
        <w:spacing w:after="0" w:line="240" w:lineRule="auto"/>
        <w:jc w:val="center"/>
        <w:rPr>
          <w:rFonts w:ascii="宋体" w:hAnsi="宋体" w:cs="宋体"/>
          <w:color w:val="auto"/>
          <w:highlight w:val="none"/>
        </w:rPr>
      </w:pPr>
      <w:bookmarkStart w:id="85" w:name="_Toc16730"/>
      <w:r>
        <w:rPr>
          <w:rFonts w:hint="eastAsia" w:ascii="宋体" w:hAnsi="宋体" w:cs="宋体"/>
          <w:color w:val="auto"/>
          <w:highlight w:val="none"/>
        </w:rPr>
        <w:t>合同格式</w:t>
      </w:r>
      <w:bookmarkEnd w:id="82"/>
      <w:bookmarkEnd w:id="83"/>
      <w:bookmarkEnd w:id="84"/>
      <w:bookmarkEnd w:id="85"/>
    </w:p>
    <w:p>
      <w:pPr>
        <w:spacing w:line="420" w:lineRule="atLeast"/>
        <w:ind w:right="560"/>
        <w:rPr>
          <w:rFonts w:ascii="宋体" w:hAnsi="宋体" w:eastAsia="宋体"/>
          <w:color w:val="auto"/>
          <w:sz w:val="21"/>
          <w:szCs w:val="21"/>
          <w:highlight w:val="none"/>
        </w:rPr>
      </w:pPr>
      <w:r>
        <w:rPr>
          <w:rFonts w:hint="eastAsia" w:ascii="宋体" w:hAnsi="宋体" w:eastAsia="宋体"/>
          <w:color w:val="auto"/>
          <w:sz w:val="21"/>
          <w:szCs w:val="21"/>
          <w:highlight w:val="none"/>
        </w:rPr>
        <w:t>合同编号：</w:t>
      </w:r>
    </w:p>
    <w:p>
      <w:pPr>
        <w:spacing w:line="420" w:lineRule="atLeast"/>
        <w:rPr>
          <w:rFonts w:ascii="宋体" w:hAnsi="宋体" w:eastAsia="宋体"/>
          <w:color w:val="auto"/>
          <w:sz w:val="21"/>
          <w:szCs w:val="21"/>
          <w:highlight w:val="none"/>
        </w:rPr>
      </w:pPr>
      <w:r>
        <w:rPr>
          <w:rFonts w:hint="eastAsia" w:ascii="宋体" w:hAnsi="宋体" w:eastAsia="宋体"/>
          <w:color w:val="auto"/>
          <w:sz w:val="21"/>
          <w:szCs w:val="21"/>
          <w:highlight w:val="none"/>
        </w:rPr>
        <w:t>甲方：</w:t>
      </w:r>
    </w:p>
    <w:p>
      <w:pPr>
        <w:spacing w:line="420" w:lineRule="atLeast"/>
        <w:rPr>
          <w:rFonts w:ascii="宋体" w:hAnsi="宋体" w:eastAsia="宋体"/>
          <w:color w:val="auto"/>
          <w:sz w:val="21"/>
          <w:szCs w:val="21"/>
          <w:highlight w:val="none"/>
        </w:rPr>
      </w:pPr>
      <w:r>
        <w:rPr>
          <w:rFonts w:hint="eastAsia" w:ascii="宋体" w:hAnsi="宋体" w:eastAsia="宋体"/>
          <w:color w:val="auto"/>
          <w:sz w:val="21"/>
          <w:szCs w:val="21"/>
          <w:highlight w:val="none"/>
        </w:rPr>
        <w:t>乙方：“ ”为中标单位</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受甲方委托，</w:t>
      </w:r>
      <w:r>
        <w:rPr>
          <w:rFonts w:hint="eastAsia" w:ascii="宋体" w:hAnsi="宋体" w:eastAsia="宋体"/>
          <w:color w:val="auto"/>
          <w:sz w:val="21"/>
          <w:szCs w:val="21"/>
          <w:highlight w:val="none"/>
          <w:u w:val="single"/>
        </w:rPr>
        <w:t xml:space="preserve">           (采购代理机构)</w:t>
      </w:r>
      <w:r>
        <w:rPr>
          <w:rFonts w:hint="eastAsia" w:ascii="宋体" w:hAnsi="宋体" w:eastAsia="宋体"/>
          <w:color w:val="auto"/>
          <w:sz w:val="21"/>
          <w:szCs w:val="21"/>
          <w:highlight w:val="none"/>
        </w:rPr>
        <w:t>组织对</w:t>
      </w:r>
      <w:r>
        <w:rPr>
          <w:rFonts w:hint="eastAsia" w:ascii="宋体" w:hAnsi="宋体" w:eastAsia="宋体"/>
          <w:color w:val="auto"/>
          <w:sz w:val="21"/>
          <w:szCs w:val="21"/>
          <w:highlight w:val="none"/>
          <w:u w:val="single"/>
        </w:rPr>
        <w:t xml:space="preserve">         （项目名称）</w:t>
      </w:r>
      <w:r>
        <w:rPr>
          <w:rFonts w:hint="eastAsia" w:ascii="宋体" w:hAnsi="宋体" w:eastAsia="宋体"/>
          <w:color w:val="auto"/>
          <w:sz w:val="21"/>
          <w:szCs w:val="21"/>
          <w:highlight w:val="none"/>
        </w:rPr>
        <w:t>采购项目（采购项目编号为）进行采购，于年月日通过公开招标，经评标委员会评定乙方为中标单位。为了保护甲、乙双方合法权益，根据《中华人民共和国政府采购法》及其实施条例、《中华人民共和国</w:t>
      </w:r>
      <w:r>
        <w:rPr>
          <w:rFonts w:hint="eastAsia" w:eastAsia="宋体"/>
          <w:color w:val="auto"/>
          <w:highlight w:val="none"/>
        </w:rPr>
        <w:t>民法典</w:t>
      </w:r>
      <w:r>
        <w:rPr>
          <w:rFonts w:hint="eastAsia" w:ascii="宋体" w:hAnsi="宋体" w:eastAsia="宋体"/>
          <w:color w:val="auto"/>
          <w:sz w:val="21"/>
          <w:szCs w:val="21"/>
          <w:highlight w:val="none"/>
        </w:rPr>
        <w:t>》，在平等自愿的基础上，按照下面的条款和条件，签署本合同。</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第一条 合同项目</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1、项目名称：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2、采购项目编号：                   。</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第二条 合同组成</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1、合同文件组成内容包括：本合同书 、中标通知书、投标文件（含澄清内容）、招标文件（含招标文件澄清通知）等。</w:t>
      </w:r>
    </w:p>
    <w:p>
      <w:pPr>
        <w:spacing w:after="0" w:line="360" w:lineRule="auto"/>
        <w:ind w:firstLine="422" w:firstLineChars="200"/>
        <w:rPr>
          <w:rFonts w:ascii="宋体" w:hAnsi="宋体" w:eastAsia="宋体"/>
          <w:b/>
          <w:color w:val="auto"/>
          <w:sz w:val="21"/>
          <w:szCs w:val="21"/>
          <w:highlight w:val="none"/>
        </w:rPr>
      </w:pPr>
      <w:bookmarkStart w:id="86" w:name="_Toc86481558"/>
      <w:r>
        <w:rPr>
          <w:rFonts w:hint="eastAsia" w:ascii="宋体" w:hAnsi="宋体" w:eastAsia="宋体"/>
          <w:b/>
          <w:color w:val="auto"/>
          <w:sz w:val="21"/>
          <w:szCs w:val="21"/>
          <w:highlight w:val="none"/>
        </w:rPr>
        <w:t>第三条 服务内容、标准及要求</w:t>
      </w:r>
    </w:p>
    <w:p>
      <w:pPr>
        <w:spacing w:after="0" w:line="360" w:lineRule="auto"/>
        <w:rPr>
          <w:rFonts w:ascii="宋体" w:hAnsi="宋体" w:eastAsia="宋体" w:cs="仿宋"/>
          <w:color w:val="auto"/>
          <w:sz w:val="21"/>
          <w:szCs w:val="21"/>
          <w:highlight w:val="none"/>
          <w:u w:val="single"/>
          <w:shd w:val="clear" w:color="auto" w:fill="FFFFFF"/>
        </w:rPr>
      </w:pPr>
      <w:r>
        <w:rPr>
          <w:rFonts w:hint="eastAsia" w:ascii="宋体" w:hAnsi="宋体" w:eastAsia="宋体" w:cs="仿宋"/>
          <w:color w:val="auto"/>
          <w:sz w:val="21"/>
          <w:szCs w:val="21"/>
          <w:highlight w:val="none"/>
          <w:shd w:val="clear" w:color="auto" w:fill="FFFFFF"/>
        </w:rPr>
        <w:t>1、采购内容：</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2、采购标准：</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3、采购要求：</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4、具体采购内容采购标准及要求以招标文件用户需求书及乙方投标文件承诺条款及方案为准。</w:t>
      </w:r>
    </w:p>
    <w:p>
      <w:pPr>
        <w:pStyle w:val="2"/>
        <w:rPr>
          <w:color w:val="auto"/>
          <w:highlight w:val="none"/>
          <w:lang w:val="en-US"/>
        </w:rPr>
      </w:pPr>
      <w:r>
        <w:rPr>
          <w:rFonts w:hint="eastAsia" w:cs="仿宋"/>
          <w:color w:val="auto"/>
          <w:sz w:val="21"/>
          <w:szCs w:val="21"/>
          <w:highlight w:val="none"/>
          <w:shd w:val="clear" w:color="auto" w:fill="FFFFFF"/>
          <w:lang w:val="en-US"/>
        </w:rPr>
        <w:t>5、项目实施方案</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第四条 价格</w:t>
      </w:r>
    </w:p>
    <w:p>
      <w:pPr>
        <w:spacing w:after="0" w:line="360" w:lineRule="auto"/>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1、合同总价包含：人工费、材料费、设备使用费、各种税费、保险费及合同实施过程中的不可预见费用等全部费用，按本次招标范围及中标价一次包干，结算时不作调整。</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2、合同总价：（人民币）大写 （¥）</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3、本合同价为固定不变价。</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第五条 服务期限及地点</w:t>
      </w:r>
    </w:p>
    <w:p>
      <w:pPr>
        <w:spacing w:after="0" w:line="360" w:lineRule="auto"/>
        <w:ind w:firstLine="495" w:firstLineChars="236"/>
        <w:rPr>
          <w:rFonts w:ascii="宋体" w:hAnsi="宋体" w:eastAsia="宋体"/>
          <w:color w:val="auto"/>
          <w:sz w:val="21"/>
          <w:szCs w:val="21"/>
          <w:highlight w:val="none"/>
        </w:rPr>
      </w:pPr>
      <w:r>
        <w:rPr>
          <w:rFonts w:hint="eastAsia" w:ascii="宋体" w:hAnsi="宋体" w:eastAsia="宋体"/>
          <w:color w:val="auto"/>
          <w:sz w:val="21"/>
          <w:szCs w:val="21"/>
          <w:highlight w:val="none"/>
        </w:rPr>
        <w:t>1、服务期：  年，合同生效之日自       年  月  日至     年  月  日止。</w:t>
      </w:r>
    </w:p>
    <w:p>
      <w:pPr>
        <w:spacing w:after="0" w:line="360" w:lineRule="auto"/>
        <w:ind w:firstLine="495" w:firstLineChars="236"/>
        <w:rPr>
          <w:rFonts w:ascii="宋体" w:hAnsi="宋体" w:eastAsia="宋体"/>
          <w:color w:val="auto"/>
          <w:sz w:val="21"/>
          <w:szCs w:val="21"/>
          <w:highlight w:val="none"/>
        </w:rPr>
      </w:pPr>
      <w:r>
        <w:rPr>
          <w:rFonts w:hint="eastAsia" w:ascii="宋体" w:hAnsi="宋体" w:eastAsia="宋体"/>
          <w:color w:val="auto"/>
          <w:sz w:val="21"/>
          <w:szCs w:val="21"/>
          <w:highlight w:val="none"/>
        </w:rPr>
        <w:t>2、服务地点：              或甲方指定地点。</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第六条 付款方式</w:t>
      </w:r>
    </w:p>
    <w:p>
      <w:pPr>
        <w:pStyle w:val="18"/>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1、本合同的付款方式为：。</w:t>
      </w:r>
    </w:p>
    <w:p>
      <w:pPr>
        <w:pStyle w:val="18"/>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第七条 验收方式</w:t>
      </w:r>
    </w:p>
    <w:p>
      <w:pPr>
        <w:pStyle w:val="18"/>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1、验收应在甲乙双方共同参加下进行，依据招标文件及本合同的有关规定制定的方案进行验收，并按国家有关规定、规范进行。</w:t>
      </w:r>
    </w:p>
    <w:p>
      <w:pPr>
        <w:pStyle w:val="18"/>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2、甲方组织项目验收小组按国家有关规定、规范进行验收，必要时邀请相关专业人员或机构参与验收。</w:t>
      </w:r>
    </w:p>
    <w:p>
      <w:pPr>
        <w:pStyle w:val="18"/>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3、对验收不合格的部分，乙方应在甲方规定时间内及时整改完善直至合格。</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第八条 税和关税</w:t>
      </w:r>
    </w:p>
    <w:p>
      <w:pPr>
        <w:pStyle w:val="18"/>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1、中国政府根据现行税法对甲方征收的与本合同有关的一切税费均应由甲方承担。</w:t>
      </w:r>
    </w:p>
    <w:p>
      <w:pPr>
        <w:pStyle w:val="18"/>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2、中国政府根据现行税法规定对乙方或其雇员征收的与本合同有关的一切税费应由乙方承担。</w:t>
      </w:r>
    </w:p>
    <w:p>
      <w:pPr>
        <w:pStyle w:val="18"/>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3、在中国境外发生的与本合同执行有关的一切税费均应由乙方承担。</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第九条 其它约定</w:t>
      </w:r>
    </w:p>
    <w:p>
      <w:pPr>
        <w:spacing w:after="0"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1</w:t>
      </w:r>
      <w:r>
        <w:rPr>
          <w:rFonts w:hint="eastAsia" w:ascii="宋体" w:hAnsi="宋体" w:eastAsia="宋体"/>
          <w:color w:val="auto"/>
          <w:sz w:val="21"/>
          <w:szCs w:val="21"/>
          <w:highlight w:val="none"/>
        </w:rPr>
        <w:t>、严禁转包，未经甲方书面同意不得分包。</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2、乙方全部工作人员，须符合东莞市政府用工标准要求。</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3、乙方服务人员进行服务期间的过失或故意行为，造成甲方经济损失的，由乙方负责赔偿。</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4、服务人员的劳动关系隶属乙方，乙方负责服务人员的工资、节假日和超时加班补助费、社会保险、住宿、伙食等。</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5、乙方负责本项目服务人员购买因意外身故或伤残和因意外事故住院治疗保险，并负责办理一切保险赔偿手续。</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第十条 违约责任</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1、合同双方任何一方不履行合同条款或不按合同约定履行条款的其它情况，均属违约，由违约方承担违约责任，赔偿因其违约造成的损失，并支付合同价款总额%的违约金。</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2、由于乙方的原因，导致双方签订的合同终止，乙方因此而遭受的损失，将由乙方独立承担，甲方对此不负任何责任，也不作任何赔偿。</w:t>
      </w:r>
    </w:p>
    <w:bookmarkEnd w:id="86"/>
    <w:p>
      <w:pPr>
        <w:spacing w:after="0" w:line="360" w:lineRule="auto"/>
        <w:ind w:firstLine="422" w:firstLineChars="200"/>
        <w:rPr>
          <w:rFonts w:ascii="宋体" w:hAnsi="宋体" w:eastAsia="宋体"/>
          <w:b/>
          <w:color w:val="auto"/>
          <w:sz w:val="21"/>
          <w:szCs w:val="21"/>
          <w:highlight w:val="none"/>
        </w:rPr>
      </w:pPr>
      <w:bookmarkStart w:id="87" w:name="_Toc86481570"/>
      <w:r>
        <w:rPr>
          <w:rFonts w:hint="eastAsia" w:ascii="宋体" w:hAnsi="宋体" w:eastAsia="宋体"/>
          <w:b/>
          <w:color w:val="auto"/>
          <w:sz w:val="21"/>
          <w:szCs w:val="21"/>
          <w:highlight w:val="none"/>
        </w:rPr>
        <w:t>第十一条 争议的解决</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1、凡与本合同有关而引起的一切争议，甲乙双方应首先通过友好协商解决，如经协商后仍不能达成协议时，任何一方可以向法院提出诉讼。</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2、本合同发生的诉讼管辖地为东莞市有管辖权的法院。</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3、在进行法院审理期间，除提交法院审理的事项外，合同其他部分仍继续履行。</w:t>
      </w:r>
    </w:p>
    <w:p>
      <w:pPr>
        <w:spacing w:after="0" w:line="360" w:lineRule="auto"/>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宋体"/>
          <w:color w:val="auto"/>
          <w:sz w:val="21"/>
          <w:szCs w:val="21"/>
          <w:highlight w:val="none"/>
        </w:rPr>
        <w:t>4、本合同按照中华人民共和国的法律进行解释</w:t>
      </w:r>
      <w:r>
        <w:rPr>
          <w:rFonts w:hint="eastAsia" w:ascii="宋体" w:hAnsi="宋体" w:eastAsia="宋体" w:cs="仿宋"/>
          <w:color w:val="auto"/>
          <w:sz w:val="21"/>
          <w:szCs w:val="21"/>
          <w:highlight w:val="none"/>
          <w:shd w:val="clear" w:color="auto" w:fill="FFFFFF"/>
        </w:rPr>
        <w:t>。</w:t>
      </w:r>
    </w:p>
    <w:p>
      <w:pPr>
        <w:spacing w:after="0" w:line="360" w:lineRule="auto"/>
        <w:ind w:firstLine="422" w:firstLineChars="200"/>
        <w:rPr>
          <w:rFonts w:ascii="宋体" w:hAnsi="宋体" w:eastAsia="宋体"/>
          <w:b/>
          <w:color w:val="auto"/>
          <w:sz w:val="21"/>
          <w:szCs w:val="21"/>
          <w:highlight w:val="none"/>
        </w:rPr>
      </w:pPr>
      <w:bookmarkStart w:id="88" w:name="_Toc86481569"/>
      <w:r>
        <w:rPr>
          <w:rFonts w:hint="eastAsia" w:ascii="宋体" w:hAnsi="宋体" w:eastAsia="宋体"/>
          <w:b/>
          <w:color w:val="auto"/>
          <w:sz w:val="21"/>
          <w:szCs w:val="21"/>
          <w:highlight w:val="none"/>
        </w:rPr>
        <w:t>第十二条 合同生效</w:t>
      </w:r>
      <w:bookmarkEnd w:id="88"/>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1、本合同由双方法定代表人或委托代理人签字盖章后立即生效，具有同等法律效力，合同有效期随服务期结束而自然终止。</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2、本合同一式    份，其中甲方    份、乙方    份，采购代理机构 壹 份（须在合同签订之日起7个工作日内递交）。</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第十三条 其它</w:t>
      </w:r>
      <w:bookmarkEnd w:id="87"/>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1、本合同未尽事宜，双方可签订补充合同，补充合同与所有附件均为合同的有效组成部分，与本合同具有同等法律效力。</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2、在执行本合同的过程中，所有经甲乙双方签署确认的文件（包括会议纪要、补充协议、往来信函、合同附件等）即成为本合同的有效组成部分，其生效日期为双方签字盖章或确认之日期。</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本合同合计   页A4纸张，缺页之合同为无效合同。</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甲方（盖章）：                      乙方（盖章）：</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法定代表(签字)：                   法定代表(签字)：</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地址：                             地址：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电话：                             电话：</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传真：</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传真：</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开户银行：</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 xml:space="preserve">                     开户银行：</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账号：                             账号：</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签约时间：</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签约地点：</w:t>
      </w: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t>此仅为合同书样本，中标人需根据实际情况和甲方签订相应的合同！</w:t>
      </w: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br w:type="page"/>
      </w:r>
    </w:p>
    <w:p>
      <w:pPr>
        <w:pStyle w:val="4"/>
        <w:spacing w:before="0" w:after="0" w:line="240" w:lineRule="auto"/>
        <w:rPr>
          <w:color w:val="auto"/>
          <w:sz w:val="28"/>
          <w:szCs w:val="28"/>
          <w:highlight w:val="none"/>
        </w:rPr>
      </w:pPr>
      <w:bookmarkStart w:id="89" w:name="_Toc23749"/>
      <w:r>
        <w:rPr>
          <w:rFonts w:hint="eastAsia"/>
          <w:color w:val="auto"/>
          <w:sz w:val="28"/>
          <w:szCs w:val="28"/>
          <w:highlight w:val="none"/>
        </w:rPr>
        <w:t>第六部分  附件－投标文件格式</w:t>
      </w:r>
      <w:bookmarkEnd w:id="89"/>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90" w:name="_Toc26830"/>
      <w:r>
        <w:rPr>
          <w:rFonts w:hint="eastAsia" w:ascii="宋体" w:hAnsi="宋体" w:eastAsia="宋体"/>
          <w:color w:val="auto"/>
          <w:sz w:val="21"/>
          <w:szCs w:val="21"/>
          <w:highlight w:val="none"/>
        </w:rPr>
        <w:t>附件1.投标文件目录</w:t>
      </w:r>
      <w:bookmarkEnd w:id="90"/>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目录</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格式自理。</w:t>
      </w: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1、投标人制作的投标文件应当具备目录。</w:t>
      </w:r>
      <w:r>
        <w:rPr>
          <w:rFonts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91" w:name="_Toc18893"/>
      <w:r>
        <w:rPr>
          <w:rFonts w:hint="eastAsia" w:ascii="宋体" w:hAnsi="宋体" w:eastAsia="宋体"/>
          <w:color w:val="auto"/>
          <w:sz w:val="21"/>
          <w:szCs w:val="21"/>
          <w:highlight w:val="none"/>
        </w:rPr>
        <w:t>附件1-1 评分标准索引表</w:t>
      </w:r>
      <w:bookmarkEnd w:id="91"/>
    </w:p>
    <w:p>
      <w:pPr>
        <w:adjustRightInd/>
        <w:snapToGrid/>
        <w:spacing w:line="276" w:lineRule="auto"/>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评分标准索引表</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序号</w:t>
            </w:r>
          </w:p>
        </w:tc>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评审项目</w:t>
            </w:r>
          </w:p>
        </w:tc>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评分细则</w:t>
            </w:r>
          </w:p>
        </w:tc>
        <w:tc>
          <w:tcPr>
            <w:tcW w:w="1705"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分值</w:t>
            </w:r>
          </w:p>
        </w:tc>
        <w:tc>
          <w:tcPr>
            <w:tcW w:w="1705"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color w:val="auto"/>
                <w:highlight w:val="none"/>
              </w:rPr>
            </w:pPr>
            <w:r>
              <w:rPr>
                <w:rFonts w:hint="eastAsia" w:ascii="宋体" w:hAnsi="宋体" w:eastAsia="宋体" w:cs="宋体"/>
                <w:color w:val="auto"/>
                <w:highlight w:val="none"/>
              </w:rPr>
              <w:t>商务评审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color w:val="auto"/>
                <w:highlight w:val="none"/>
              </w:rPr>
            </w:pPr>
            <w:r>
              <w:rPr>
                <w:rFonts w:hint="eastAsia" w:ascii="宋体" w:hAnsi="宋体" w:eastAsia="宋体" w:cs="宋体"/>
                <w:color w:val="auto"/>
                <w:highlight w:val="none"/>
              </w:rPr>
              <w:t>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numPr>
          <w:ilvl w:val="0"/>
          <w:numId w:val="10"/>
        </w:numPr>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该表格为参考格式，投标人可按实际情况自行制订评分标准索引表。</w:t>
      </w:r>
    </w:p>
    <w:p>
      <w:pPr>
        <w:pStyle w:val="2"/>
        <w:spacing w:before="0"/>
        <w:ind w:left="0"/>
        <w:rPr>
          <w:color w:val="auto"/>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92" w:name="_Toc30640"/>
      <w:r>
        <w:rPr>
          <w:rFonts w:hint="eastAsia" w:ascii="宋体" w:hAnsi="宋体" w:eastAsia="宋体"/>
          <w:color w:val="auto"/>
          <w:sz w:val="21"/>
          <w:szCs w:val="21"/>
          <w:highlight w:val="none"/>
        </w:rPr>
        <w:t>附件2.投标书格式</w:t>
      </w:r>
      <w:bookmarkEnd w:id="92"/>
    </w:p>
    <w:p>
      <w:pPr>
        <w:jc w:val="center"/>
        <w:rPr>
          <w:rFonts w:ascii="宋体" w:hAnsi="宋体" w:eastAsia="宋体"/>
          <w:color w:val="auto"/>
          <w:sz w:val="21"/>
          <w:szCs w:val="21"/>
          <w:highlight w:val="none"/>
        </w:rPr>
      </w:pPr>
      <w:r>
        <w:rPr>
          <w:rFonts w:hint="eastAsia" w:ascii="黑体" w:eastAsia="黑体"/>
          <w:color w:val="auto"/>
          <w:sz w:val="32"/>
          <w:szCs w:val="32"/>
          <w:highlight w:val="none"/>
        </w:rPr>
        <w:t>投标书</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致：广东政通招标有限公司：</w:t>
      </w:r>
    </w:p>
    <w:p>
      <w:pPr>
        <w:spacing w:after="0" w:line="360" w:lineRule="auto"/>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根据贵方为</w:t>
      </w:r>
      <w:r>
        <w:rPr>
          <w:rFonts w:hint="eastAsia" w:ascii="宋体" w:hAnsi="宋体" w:eastAsia="宋体"/>
          <w:color w:val="auto"/>
          <w:sz w:val="21"/>
          <w:szCs w:val="21"/>
          <w:highlight w:val="none"/>
          <w:u w:val="single"/>
        </w:rPr>
        <w:t>（项目名称）（采购项目编号）</w:t>
      </w:r>
      <w:r>
        <w:rPr>
          <w:rFonts w:hint="eastAsia" w:ascii="宋体" w:hAnsi="宋体" w:eastAsia="宋体"/>
          <w:color w:val="auto"/>
          <w:sz w:val="21"/>
          <w:szCs w:val="21"/>
          <w:highlight w:val="none"/>
        </w:rPr>
        <w:t>项目招标公告/招标邀请，签字代表</w:t>
      </w:r>
      <w:r>
        <w:rPr>
          <w:rFonts w:hint="eastAsia" w:ascii="宋体" w:hAnsi="宋体" w:eastAsia="宋体"/>
          <w:color w:val="auto"/>
          <w:sz w:val="21"/>
          <w:szCs w:val="21"/>
          <w:highlight w:val="none"/>
          <w:u w:val="single"/>
        </w:rPr>
        <w:t>（姓名、职务）</w:t>
      </w:r>
      <w:r>
        <w:rPr>
          <w:rFonts w:hint="eastAsia" w:ascii="宋体" w:hAnsi="宋体" w:eastAsia="宋体"/>
          <w:color w:val="auto"/>
          <w:sz w:val="21"/>
          <w:szCs w:val="21"/>
          <w:highlight w:val="none"/>
        </w:rPr>
        <w:t>经正式授权并代表投标人</w:t>
      </w:r>
      <w:r>
        <w:rPr>
          <w:rFonts w:hint="eastAsia" w:ascii="宋体" w:hAnsi="宋体" w:eastAsia="宋体"/>
          <w:color w:val="auto"/>
          <w:sz w:val="21"/>
          <w:szCs w:val="21"/>
          <w:highlight w:val="none"/>
          <w:u w:val="single"/>
        </w:rPr>
        <w:t>（投标人名称、地址）</w:t>
      </w:r>
      <w:r>
        <w:rPr>
          <w:rFonts w:hint="eastAsia" w:ascii="宋体" w:hAnsi="宋体" w:eastAsia="宋体"/>
          <w:color w:val="auto"/>
          <w:sz w:val="21"/>
          <w:szCs w:val="21"/>
          <w:highlight w:val="none"/>
        </w:rPr>
        <w:t>提交投标文件及“开标文件”：</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在此，签字代表宣布同意如下： </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我方将按招标文件的规定履行合同责任和义务。 </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我方已完整阅读了本项目招标文件的所有内容（包括澄清，以及所有已提供的参考资料和有关附件），并完全理解上述文件所表达的意思，该项目递交投标文件时间截止后，我方承诺不再对上述文件内容进行询问或质疑。</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本投标有效期为自开标日起</w:t>
      </w:r>
      <w:r>
        <w:rPr>
          <w:rFonts w:hint="eastAsia" w:ascii="宋体" w:hAnsi="宋体" w:eastAsia="宋体"/>
          <w:color w:val="auto"/>
          <w:sz w:val="21"/>
          <w:szCs w:val="21"/>
          <w:highlight w:val="none"/>
          <w:u w:val="single"/>
        </w:rPr>
        <w:t>90</w:t>
      </w:r>
      <w:r>
        <w:rPr>
          <w:rFonts w:hint="eastAsia" w:ascii="宋体" w:hAnsi="宋体" w:eastAsia="宋体"/>
          <w:color w:val="auto"/>
          <w:sz w:val="21"/>
          <w:szCs w:val="21"/>
          <w:highlight w:val="none"/>
        </w:rPr>
        <w:t xml:space="preserve">个日历日。 </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我方保证遵守投标人须知中关于没收投标保证金的规定。</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我方承诺，与买方聘请的为此项目提供咨询服务的公司及任何附属机构均无关联，我方不是买方的附属机构。 </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承诺，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我方同意提供按照贵方可能要求的与其投标有关的一切数据或资料。</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与本投标有关的一切正式信函请寄：</w:t>
      </w:r>
    </w:p>
    <w:p>
      <w:pPr>
        <w:spacing w:after="0" w:line="360" w:lineRule="auto"/>
        <w:rPr>
          <w:rFonts w:ascii="宋体" w:hAnsi="宋体" w:eastAsia="宋体"/>
          <w:color w:val="auto"/>
          <w:sz w:val="21"/>
          <w:szCs w:val="21"/>
          <w:highlight w:val="none"/>
        </w:rPr>
      </w:pP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地址：　　　　　　　　　　　　　　　　　　　传真：</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电话/移动电话：　　　　　　　　　　　　　　　电子函件：</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投标人代表签字：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投标人名称（全称）：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投标人盖章：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投标人开户银行（全称）：</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投标人银行帐号：</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pStyle w:val="6"/>
        <w:widowControl w:val="0"/>
        <w:overflowPunct w:val="0"/>
        <w:spacing w:before="0" w:after="0" w:line="240" w:lineRule="auto"/>
        <w:rPr>
          <w:rFonts w:ascii="宋体" w:hAnsi="宋体" w:eastAsia="宋体"/>
          <w:color w:val="auto"/>
          <w:sz w:val="21"/>
          <w:szCs w:val="21"/>
          <w:highlight w:val="none"/>
        </w:rPr>
      </w:pPr>
      <w:bookmarkStart w:id="93" w:name="_Toc6866"/>
      <w:r>
        <w:rPr>
          <w:rFonts w:hint="eastAsia" w:ascii="宋体" w:hAnsi="宋体" w:eastAsia="宋体"/>
          <w:color w:val="auto"/>
          <w:sz w:val="21"/>
          <w:szCs w:val="21"/>
          <w:highlight w:val="none"/>
        </w:rPr>
        <w:t>附件3.开标一览表格式</w:t>
      </w:r>
      <w:bookmarkEnd w:id="93"/>
    </w:p>
    <w:p>
      <w:pPr>
        <w:jc w:val="center"/>
        <w:rPr>
          <w:rFonts w:ascii="黑体" w:eastAsia="黑体"/>
          <w:color w:val="auto"/>
          <w:sz w:val="32"/>
          <w:szCs w:val="32"/>
          <w:highlight w:val="none"/>
        </w:rPr>
      </w:pPr>
      <w:r>
        <w:rPr>
          <w:rFonts w:hint="eastAsia" w:ascii="黑体" w:eastAsia="黑体"/>
          <w:color w:val="auto"/>
          <w:sz w:val="32"/>
          <w:szCs w:val="32"/>
          <w:highlight w:val="none"/>
        </w:rPr>
        <w:t>开标一览表</w:t>
      </w:r>
    </w:p>
    <w:p>
      <w:pPr>
        <w:spacing w:line="360" w:lineRule="auto"/>
        <w:rPr>
          <w:color w:val="auto"/>
          <w:highlight w:val="none"/>
        </w:rPr>
      </w:pP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投标人名称：</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采购项目编号：</w:t>
      </w:r>
    </w:p>
    <w:tbl>
      <w:tblPr>
        <w:tblStyle w:val="19"/>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4"/>
        <w:gridCol w:w="3085"/>
        <w:gridCol w:w="3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8" w:hRule="atLeast"/>
          <w:jc w:val="center"/>
        </w:trPr>
        <w:tc>
          <w:tcPr>
            <w:tcW w:w="2714"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投标总价</w:t>
            </w:r>
          </w:p>
        </w:tc>
        <w:tc>
          <w:tcPr>
            <w:tcW w:w="3262"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restart"/>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小写：</w:t>
            </w:r>
          </w:p>
        </w:tc>
        <w:tc>
          <w:tcPr>
            <w:tcW w:w="3262" w:type="dxa"/>
            <w:vMerge w:val="restart"/>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continue"/>
          </w:tcPr>
          <w:p>
            <w:pPr>
              <w:tabs>
                <w:tab w:val="left" w:pos="654"/>
                <w:tab w:val="left" w:pos="1734"/>
                <w:tab w:val="left" w:pos="2814"/>
                <w:tab w:val="left" w:pos="3894"/>
                <w:tab w:val="left" w:pos="5334"/>
                <w:tab w:val="left" w:pos="6414"/>
                <w:tab w:val="left" w:pos="7254"/>
                <w:tab w:val="left" w:pos="8574"/>
                <w:tab w:val="left" w:pos="9654"/>
              </w:tabs>
              <w:spacing w:after="0"/>
              <w:jc w:val="both"/>
              <w:rPr>
                <w:color w:val="auto"/>
                <w:highlight w:val="none"/>
              </w:rPr>
            </w:pP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大写：</w:t>
            </w:r>
          </w:p>
        </w:tc>
        <w:tc>
          <w:tcPr>
            <w:tcW w:w="3262" w:type="dxa"/>
            <w:vMerge w:val="continue"/>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p>
        </w:tc>
      </w:tr>
    </w:tbl>
    <w:p>
      <w:pPr>
        <w:spacing w:after="0" w:line="360" w:lineRule="auto"/>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spacing w:after="0" w:line="360" w:lineRule="auto"/>
        <w:ind w:firstLine="359" w:firstLineChars="171"/>
        <w:rPr>
          <w:rFonts w:ascii="宋体" w:hAnsi="宋体" w:eastAsia="宋体"/>
          <w:color w:val="auto"/>
          <w:sz w:val="21"/>
          <w:szCs w:val="21"/>
          <w:highlight w:val="none"/>
        </w:rPr>
      </w:pPr>
    </w:p>
    <w:p>
      <w:pPr>
        <w:spacing w:after="0" w:line="360" w:lineRule="auto"/>
        <w:ind w:left="391" w:hanging="390" w:hangingChars="186"/>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注：1、投标总价栏须</w:t>
      </w:r>
      <w:r>
        <w:rPr>
          <w:rFonts w:ascii="宋体" w:hAnsi="宋体" w:eastAsia="宋体"/>
          <w:color w:val="auto"/>
          <w:sz w:val="21"/>
          <w:szCs w:val="21"/>
          <w:highlight w:val="none"/>
        </w:rPr>
        <w:t>用</w:t>
      </w:r>
      <w:r>
        <w:rPr>
          <w:rFonts w:hint="eastAsia" w:ascii="宋体" w:hAnsi="宋体" w:eastAsia="宋体"/>
          <w:color w:val="auto"/>
          <w:sz w:val="21"/>
          <w:szCs w:val="21"/>
          <w:highlight w:val="none"/>
        </w:rPr>
        <w:t>大写金额和小写金额两种方式</w:t>
      </w:r>
      <w:r>
        <w:rPr>
          <w:rFonts w:ascii="宋体" w:hAnsi="宋体" w:eastAsia="宋体"/>
          <w:color w:val="auto"/>
          <w:sz w:val="21"/>
          <w:szCs w:val="21"/>
          <w:highlight w:val="none"/>
        </w:rPr>
        <w:t>表示的投标总价</w:t>
      </w:r>
      <w:r>
        <w:rPr>
          <w:rFonts w:hint="eastAsia" w:ascii="宋体" w:hAnsi="宋体" w:eastAsia="宋体"/>
          <w:color w:val="auto"/>
          <w:sz w:val="21"/>
          <w:szCs w:val="21"/>
          <w:highlight w:val="none"/>
        </w:rPr>
        <w:t>，报价保留小数点后两位。投标总价大小写不一致，以大写为准。投标总价必须准确唯一且应包含招标文件要求的所有费用。</w:t>
      </w:r>
    </w:p>
    <w:p>
      <w:pPr>
        <w:spacing w:after="0" w:line="360" w:lineRule="auto"/>
        <w:ind w:left="374"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2、此表应按投标人须知的规定密封标记并与《授权委托书》、《投标保证金汇入情况说明》同密封单独提交。</w:t>
      </w:r>
    </w:p>
    <w:p>
      <w:pPr>
        <w:spacing w:after="0" w:line="360" w:lineRule="auto"/>
        <w:ind w:left="374"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3、未按招标文件要求报价、填写开标一览表是导致投标人废标的常见问题，请投标人仔细填写，认真核对。</w:t>
      </w:r>
    </w:p>
    <w:p>
      <w:pPr>
        <w:adjustRightInd/>
        <w:snapToGrid/>
        <w:spacing w:line="276" w:lineRule="auto"/>
        <w:rPr>
          <w:color w:val="auto"/>
          <w:highlight w:val="none"/>
        </w:rPr>
      </w:pPr>
    </w:p>
    <w:p>
      <w:pPr>
        <w:adjustRightInd/>
        <w:snapToGrid/>
        <w:spacing w:line="276" w:lineRule="auto"/>
        <w:rPr>
          <w:color w:val="auto"/>
          <w:highlight w:val="none"/>
        </w:rPr>
      </w:pPr>
      <w:r>
        <w:rPr>
          <w:color w:val="auto"/>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94" w:name="_Toc3254"/>
      <w:r>
        <w:rPr>
          <w:rFonts w:hint="eastAsia" w:ascii="宋体" w:hAnsi="宋体" w:eastAsia="宋体"/>
          <w:color w:val="auto"/>
          <w:sz w:val="21"/>
          <w:szCs w:val="21"/>
          <w:highlight w:val="none"/>
        </w:rPr>
        <w:t xml:space="preserve">附件4. </w:t>
      </w:r>
      <w:r>
        <w:rPr>
          <w:rFonts w:hint="eastAsia" w:ascii="宋体" w:hAnsi="宋体" w:eastAsia="宋体" w:cs="Times New Roman"/>
          <w:color w:val="auto"/>
          <w:sz w:val="21"/>
          <w:szCs w:val="21"/>
          <w:highlight w:val="none"/>
        </w:rPr>
        <w:t>投标分项报价表格式</w:t>
      </w:r>
      <w:bookmarkEnd w:id="94"/>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货物（服务）分项报价表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77"/>
        <w:gridCol w:w="1917"/>
        <w:gridCol w:w="1050"/>
        <w:gridCol w:w="1100"/>
        <w:gridCol w:w="118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37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货物（服务）名称</w:t>
            </w: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规格型号（服务内容）</w:t>
            </w: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数量</w:t>
            </w: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单价</w:t>
            </w: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服务要求</w:t>
            </w: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261" w:type="dxa"/>
            <w:gridSpan w:val="5"/>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总价</w:t>
            </w:r>
          </w:p>
        </w:tc>
        <w:tc>
          <w:tcPr>
            <w:tcW w:w="2261" w:type="dxa"/>
            <w:gridSpan w:val="2"/>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522" w:type="dxa"/>
            <w:gridSpan w:val="7"/>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tc>
      </w:tr>
    </w:tbl>
    <w:p>
      <w:pPr>
        <w:rPr>
          <w:rFonts w:ascii="宋体" w:hAnsi="宋体" w:eastAsia="宋体" w:cs="宋体"/>
          <w:b/>
          <w:color w:val="auto"/>
          <w:sz w:val="21"/>
          <w:szCs w:val="21"/>
          <w:highlight w:val="none"/>
        </w:rPr>
      </w:pPr>
    </w:p>
    <w:p>
      <w:pP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小型和微型企业（货物、承担的工程或者服务）列价表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587"/>
        <w:gridCol w:w="1575"/>
        <w:gridCol w:w="1180"/>
        <w:gridCol w:w="778"/>
        <w:gridCol w:w="777"/>
        <w:gridCol w:w="778"/>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8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575" w:type="dxa"/>
            <w:vAlign w:val="center"/>
          </w:tcPr>
          <w:p>
            <w:pPr>
              <w:spacing w:after="0"/>
              <w:ind w:hanging="148"/>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品牌及原产地</w:t>
            </w:r>
          </w:p>
        </w:tc>
        <w:tc>
          <w:tcPr>
            <w:tcW w:w="118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778"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7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778"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972"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462" w:type="dxa"/>
            <w:gridSpan w:val="2"/>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060" w:type="dxa"/>
            <w:gridSpan w:val="6"/>
            <w:vAlign w:val="center"/>
          </w:tcPr>
          <w:p>
            <w:pPr>
              <w:spacing w:after="0"/>
              <w:rPr>
                <w:rFonts w:ascii="宋体" w:hAnsi="宋体" w:eastAsia="宋体" w:cs="宋体"/>
                <w:color w:val="auto"/>
                <w:sz w:val="21"/>
                <w:szCs w:val="21"/>
                <w:highlight w:val="none"/>
              </w:rPr>
            </w:pPr>
            <w:r>
              <w:rPr>
                <w:rStyle w:val="38"/>
                <w:rFonts w:hint="eastAsia" w:ascii="宋体" w:hAnsi="宋体" w:eastAsia="宋体" w:cs="宋体"/>
                <w:color w:val="auto"/>
                <w:sz w:val="21"/>
                <w:szCs w:val="21"/>
                <w:highlight w:val="none"/>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spacing w:after="0"/>
              <w:rPr>
                <w:rStyle w:val="38"/>
                <w:rFonts w:ascii="宋体" w:hAnsi="宋体" w:eastAsia="宋体" w:cs="宋体"/>
                <w:b/>
                <w:color w:val="auto"/>
                <w:sz w:val="21"/>
                <w:szCs w:val="21"/>
                <w:highlight w:val="none"/>
              </w:rPr>
            </w:pPr>
            <w:r>
              <w:rPr>
                <w:rStyle w:val="38"/>
                <w:rFonts w:hint="eastAsia" w:ascii="宋体" w:hAnsi="宋体" w:eastAsia="宋体" w:cs="宋体"/>
                <w:b/>
                <w:color w:val="auto"/>
                <w:sz w:val="21"/>
                <w:szCs w:val="21"/>
                <w:highlight w:val="none"/>
              </w:rPr>
              <w:t>注：1、投标人在“货物（服务）分项报价表”中的报价内容中，如有属于</w:t>
            </w:r>
            <w:r>
              <w:rPr>
                <w:rFonts w:hint="eastAsia" w:ascii="宋体" w:hAnsi="宋体" w:eastAsia="宋体" w:cs="宋体"/>
                <w:b/>
                <w:color w:val="auto"/>
                <w:sz w:val="21"/>
                <w:szCs w:val="21"/>
                <w:highlight w:val="none"/>
              </w:rPr>
              <w:t>小型和微型企业产品（货物、承担的工程或者服务）的，必须在此表单独列明，否则在计算价格得分时不予以相应的扣除</w:t>
            </w:r>
            <w:r>
              <w:rPr>
                <w:rStyle w:val="38"/>
                <w:rFonts w:hint="eastAsia" w:ascii="宋体" w:hAnsi="宋体" w:eastAsia="宋体" w:cs="宋体"/>
                <w:b/>
                <w:color w:val="auto"/>
                <w:sz w:val="21"/>
                <w:szCs w:val="21"/>
                <w:highlight w:val="none"/>
              </w:rPr>
              <w:t>；</w:t>
            </w:r>
          </w:p>
          <w:p>
            <w:pPr>
              <w:tabs>
                <w:tab w:val="left" w:pos="284"/>
              </w:tabs>
              <w:spacing w:after="0"/>
              <w:rPr>
                <w:rStyle w:val="38"/>
                <w:rFonts w:ascii="宋体" w:hAnsi="宋体" w:eastAsia="宋体" w:cs="宋体"/>
                <w:b/>
                <w:color w:val="auto"/>
                <w:sz w:val="21"/>
                <w:szCs w:val="21"/>
                <w:highlight w:val="none"/>
              </w:rPr>
            </w:pPr>
            <w:r>
              <w:rPr>
                <w:rStyle w:val="38"/>
                <w:rFonts w:hint="eastAsia" w:ascii="宋体" w:hAnsi="宋体" w:eastAsia="宋体" w:cs="宋体"/>
                <w:b/>
                <w:color w:val="auto"/>
                <w:sz w:val="21"/>
                <w:szCs w:val="21"/>
                <w:highlight w:val="none"/>
              </w:rPr>
              <w:t>2、投标人应该如实填写，如投标人所投产品中无小型和微型企业产品的，请留空或删除此表！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tabs>
                <w:tab w:val="left" w:pos="284"/>
              </w:tabs>
              <w:spacing w:after="0"/>
              <w:rPr>
                <w:rStyle w:val="38"/>
                <w:rFonts w:ascii="宋体" w:hAnsi="宋体" w:eastAsia="宋体" w:cs="宋体"/>
                <w:b/>
                <w:color w:val="auto"/>
                <w:sz w:val="21"/>
                <w:szCs w:val="21"/>
                <w:highlight w:val="none"/>
              </w:rPr>
            </w:pPr>
            <w:r>
              <w:rPr>
                <w:rFonts w:hint="eastAsia" w:ascii="宋体" w:hAnsi="宋体" w:eastAsia="宋体"/>
                <w:color w:val="auto"/>
                <w:sz w:val="21"/>
                <w:szCs w:val="21"/>
                <w:highlight w:val="none"/>
              </w:rPr>
              <w:t>日期：</w:t>
            </w:r>
          </w:p>
        </w:tc>
      </w:tr>
    </w:tbl>
    <w:p>
      <w:pPr>
        <w:pStyle w:val="28"/>
        <w:spacing w:after="0" w:line="360" w:lineRule="auto"/>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节能产品或环境标志产品列价表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81"/>
        <w:gridCol w:w="1316"/>
        <w:gridCol w:w="1067"/>
        <w:gridCol w:w="1150"/>
        <w:gridCol w:w="850"/>
        <w:gridCol w:w="833"/>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81"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316"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06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1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8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833"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10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256" w:type="dxa"/>
            <w:gridSpan w:val="2"/>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266" w:type="dxa"/>
            <w:gridSpan w:val="6"/>
            <w:vAlign w:val="center"/>
          </w:tcPr>
          <w:p>
            <w:pPr>
              <w:spacing w:after="0"/>
              <w:rPr>
                <w:rFonts w:ascii="宋体" w:hAnsi="宋体" w:eastAsia="宋体" w:cs="宋体"/>
                <w:color w:val="auto"/>
                <w:sz w:val="21"/>
                <w:szCs w:val="21"/>
                <w:highlight w:val="none"/>
              </w:rPr>
            </w:pPr>
            <w:r>
              <w:rPr>
                <w:rStyle w:val="38"/>
                <w:rFonts w:hint="eastAsia" w:ascii="宋体" w:hAnsi="宋体" w:eastAsia="宋体" w:cs="宋体"/>
                <w:color w:val="auto"/>
                <w:sz w:val="21"/>
                <w:szCs w:val="21"/>
                <w:highlight w:val="none"/>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tabs>
                <w:tab w:val="left" w:pos="284"/>
              </w:tabs>
              <w:spacing w:after="0"/>
              <w:rPr>
                <w:rStyle w:val="38"/>
                <w:rFonts w:ascii="宋体" w:hAnsi="宋体" w:eastAsia="宋体" w:cs="宋体"/>
                <w:b/>
                <w:color w:val="auto"/>
                <w:sz w:val="21"/>
                <w:szCs w:val="21"/>
                <w:highlight w:val="none"/>
              </w:rPr>
            </w:pPr>
            <w:r>
              <w:rPr>
                <w:rStyle w:val="38"/>
                <w:rFonts w:hint="eastAsia" w:ascii="宋体" w:hAnsi="宋体" w:eastAsia="宋体" w:cs="宋体"/>
                <w:b/>
                <w:color w:val="auto"/>
                <w:sz w:val="21"/>
                <w:szCs w:val="21"/>
                <w:highlight w:val="none"/>
              </w:rPr>
              <w:t>注：1、投标人在“货物（服务）分项报价表”中的报价内容中，如有属于节能产品或环境标志产的，必须在此表单独列明且提供相应的证明材料，否则在计算价格得分时不予以相应的扣除；</w:t>
            </w:r>
          </w:p>
          <w:p>
            <w:pPr>
              <w:tabs>
                <w:tab w:val="left" w:pos="284"/>
              </w:tabs>
              <w:spacing w:after="0"/>
              <w:rPr>
                <w:rStyle w:val="38"/>
                <w:rFonts w:ascii="宋体" w:hAnsi="宋体" w:eastAsia="宋体" w:cs="宋体"/>
                <w:b/>
                <w:color w:val="auto"/>
                <w:sz w:val="21"/>
                <w:szCs w:val="21"/>
                <w:highlight w:val="none"/>
              </w:rPr>
            </w:pPr>
            <w:r>
              <w:rPr>
                <w:rStyle w:val="38"/>
                <w:rFonts w:hint="eastAsia" w:ascii="宋体" w:hAnsi="宋体" w:eastAsia="宋体" w:cs="宋体"/>
                <w:b/>
                <w:color w:val="auto"/>
                <w:sz w:val="21"/>
                <w:szCs w:val="21"/>
                <w:highlight w:val="none"/>
              </w:rPr>
              <w:t>2、投标人应该如实填写，如投标人所投产品中无节能或环保产品的，请留空或删除此表！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tabs>
                <w:tab w:val="left" w:pos="284"/>
              </w:tabs>
              <w:spacing w:after="0"/>
              <w:rPr>
                <w:rStyle w:val="38"/>
                <w:rFonts w:ascii="宋体" w:hAnsi="宋体" w:eastAsia="宋体" w:cs="宋体"/>
                <w:b/>
                <w:color w:val="auto"/>
                <w:sz w:val="21"/>
                <w:szCs w:val="21"/>
                <w:highlight w:val="none"/>
              </w:rPr>
            </w:pPr>
            <w:r>
              <w:rPr>
                <w:rFonts w:hint="eastAsia" w:ascii="宋体" w:hAnsi="宋体" w:eastAsia="宋体"/>
                <w:color w:val="auto"/>
                <w:sz w:val="21"/>
                <w:szCs w:val="21"/>
                <w:highlight w:val="none"/>
              </w:rPr>
              <w:t>日期：</w:t>
            </w:r>
          </w:p>
        </w:tc>
      </w:tr>
    </w:tbl>
    <w:p>
      <w:pPr>
        <w:jc w:val="both"/>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95" w:name="_Toc16412"/>
      <w:r>
        <w:rPr>
          <w:rFonts w:hint="eastAsia" w:ascii="宋体" w:hAnsi="宋体" w:eastAsia="宋体"/>
          <w:color w:val="auto"/>
          <w:sz w:val="21"/>
          <w:szCs w:val="21"/>
          <w:highlight w:val="none"/>
        </w:rPr>
        <w:t>附件5. 法定代表人证明书格式</w:t>
      </w:r>
      <w:bookmarkEnd w:id="95"/>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法定代表人证明书</w:t>
      </w:r>
    </w:p>
    <w:p>
      <w:pPr>
        <w:pStyle w:val="31"/>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致：广东政通招标有限公司</w:t>
      </w:r>
    </w:p>
    <w:p>
      <w:pPr>
        <w:pStyle w:val="31"/>
        <w:spacing w:line="420" w:lineRule="atLeast"/>
        <w:ind w:firstLine="433"/>
        <w:rPr>
          <w:rFonts w:ascii="宋体" w:eastAsia="宋体"/>
          <w:color w:val="auto"/>
          <w:sz w:val="21"/>
          <w:szCs w:val="21"/>
          <w:highlight w:val="none"/>
        </w:rPr>
      </w:pPr>
    </w:p>
    <w:p>
      <w:pPr>
        <w:pStyle w:val="31"/>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投标人名称:</w:t>
      </w:r>
    </w:p>
    <w:p>
      <w:pPr>
        <w:pStyle w:val="31"/>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单 位 性质：</w:t>
      </w:r>
    </w:p>
    <w:p>
      <w:pPr>
        <w:pStyle w:val="31"/>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地      址：</w:t>
      </w:r>
    </w:p>
    <w:p>
      <w:pPr>
        <w:pStyle w:val="31"/>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成 立 时间：年月日</w:t>
      </w:r>
    </w:p>
    <w:p>
      <w:pPr>
        <w:pStyle w:val="31"/>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经 营 期限：</w:t>
      </w:r>
    </w:p>
    <w:p>
      <w:pPr>
        <w:pStyle w:val="31"/>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姓名：性别：年龄：职务：</w:t>
      </w:r>
    </w:p>
    <w:p>
      <w:pPr>
        <w:pStyle w:val="31"/>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系（投标人名称）的法定代表人。</w:t>
      </w:r>
    </w:p>
    <w:p>
      <w:pPr>
        <w:spacing w:line="420" w:lineRule="atLeas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特此证明。</w:t>
      </w:r>
    </w:p>
    <w:p>
      <w:pPr>
        <w:pStyle w:val="31"/>
        <w:spacing w:line="500" w:lineRule="atLeast"/>
        <w:ind w:firstLine="3517" w:firstLineChars="1675"/>
        <w:rPr>
          <w:rFonts w:ascii="宋体" w:eastAsia="宋体"/>
          <w:color w:val="auto"/>
          <w:sz w:val="21"/>
          <w:szCs w:val="21"/>
          <w:highlight w:val="none"/>
        </w:rPr>
      </w:pP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法定代表人（签名或盖私章）：</w:t>
      </w: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法定代表人联系方式：</w:t>
      </w:r>
    </w:p>
    <w:p>
      <w:pPr>
        <w:pStyle w:val="31"/>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身份证号码：</w:t>
      </w:r>
    </w:p>
    <w:p>
      <w:pPr>
        <w:pStyle w:val="31"/>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pPr>
        <w:ind w:firstLine="420" w:firstLineChars="200"/>
        <w:rPr>
          <w:rFonts w:ascii="宋体" w:hAnsi="宋体" w:eastAsia="宋体"/>
          <w:color w:val="auto"/>
          <w:sz w:val="21"/>
          <w:szCs w:val="21"/>
          <w:highlight w:val="none"/>
        </w:rPr>
      </w:pPr>
    </w:p>
    <w:p>
      <w:pPr>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注：法定代表人身份证明书需附法人代表身份证复印件。</w:t>
      </w:r>
    </w:p>
    <w:tbl>
      <w:tblPr>
        <w:tblStyle w:val="19"/>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pPr>
              <w:pStyle w:val="31"/>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182" w:type="dxa"/>
            <w:vAlign w:val="center"/>
          </w:tcPr>
          <w:p>
            <w:pPr>
              <w:pStyle w:val="31"/>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rPr>
          <w:color w:val="auto"/>
          <w:highlight w:val="none"/>
        </w:rPr>
      </w:pP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6"/>
        <w:widowControl w:val="0"/>
        <w:overflowPunct w:val="0"/>
        <w:spacing w:before="0" w:after="0" w:line="240" w:lineRule="auto"/>
        <w:rPr>
          <w:color w:val="auto"/>
          <w:highlight w:val="none"/>
        </w:rPr>
      </w:pPr>
      <w:bookmarkStart w:id="96" w:name="_Toc31205"/>
      <w:r>
        <w:rPr>
          <w:rFonts w:hint="eastAsia" w:ascii="宋体" w:hAnsi="宋体" w:eastAsia="宋体"/>
          <w:color w:val="auto"/>
          <w:sz w:val="21"/>
          <w:szCs w:val="21"/>
          <w:highlight w:val="none"/>
        </w:rPr>
        <w:t>附件6.法定代表人授权书格式</w:t>
      </w:r>
      <w:bookmarkEnd w:id="96"/>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法定代表人授权书</w:t>
      </w:r>
    </w:p>
    <w:p>
      <w:pPr>
        <w:pStyle w:val="31"/>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致：广东政通招标有限公司</w:t>
      </w:r>
    </w:p>
    <w:p>
      <w:pPr>
        <w:pStyle w:val="31"/>
        <w:spacing w:line="420" w:lineRule="atLeast"/>
        <w:ind w:firstLine="433"/>
        <w:rPr>
          <w:rFonts w:ascii="宋体" w:eastAsia="宋体"/>
          <w:color w:val="auto"/>
          <w:sz w:val="21"/>
          <w:szCs w:val="21"/>
          <w:highlight w:val="none"/>
        </w:rPr>
      </w:pP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本授权书声明：注册于</w:t>
      </w:r>
      <w:r>
        <w:rPr>
          <w:rFonts w:hint="eastAsia" w:ascii="宋体" w:hAnsi="宋体" w:eastAsia="宋体" w:cs="Times New Roman"/>
          <w:color w:val="auto"/>
          <w:sz w:val="21"/>
          <w:szCs w:val="21"/>
          <w:highlight w:val="none"/>
          <w:u w:val="single"/>
        </w:rPr>
        <w:t>（国家或地区的名称）</w:t>
      </w:r>
      <w:r>
        <w:rPr>
          <w:rFonts w:hint="eastAsia" w:ascii="宋体" w:hAnsi="宋体" w:eastAsia="宋体" w:cs="Times New Roman"/>
          <w:color w:val="auto"/>
          <w:sz w:val="21"/>
          <w:szCs w:val="21"/>
          <w:highlight w:val="none"/>
        </w:rPr>
        <w:t>的</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（法定代表人姓名、职务）</w:t>
      </w:r>
      <w:r>
        <w:rPr>
          <w:rFonts w:hint="eastAsia" w:ascii="宋体" w:hAnsi="宋体" w:eastAsia="宋体" w:cs="Times New Roman"/>
          <w:color w:val="auto"/>
          <w:sz w:val="21"/>
          <w:szCs w:val="21"/>
          <w:highlight w:val="none"/>
        </w:rPr>
        <w:t>代表本单位授权</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（被授权人的姓名、职务）</w:t>
      </w:r>
      <w:r>
        <w:rPr>
          <w:rFonts w:hint="eastAsia" w:ascii="宋体" w:hAnsi="宋体" w:eastAsia="宋体" w:cs="Times New Roman"/>
          <w:color w:val="auto"/>
          <w:sz w:val="21"/>
          <w:szCs w:val="21"/>
          <w:highlight w:val="none"/>
        </w:rPr>
        <w:t>为本单位的合法代理人，就</w:t>
      </w:r>
      <w:r>
        <w:rPr>
          <w:rFonts w:hint="eastAsia" w:ascii="宋体" w:hAnsi="宋体" w:eastAsia="宋体" w:cs="Times New Roman"/>
          <w:color w:val="auto"/>
          <w:sz w:val="21"/>
          <w:szCs w:val="21"/>
          <w:highlight w:val="none"/>
          <w:u w:val="single"/>
        </w:rPr>
        <w:t>（项目名称）</w:t>
      </w:r>
      <w:r>
        <w:rPr>
          <w:rFonts w:hint="eastAsia" w:ascii="宋体" w:hAnsi="宋体" w:eastAsia="宋体" w:cs="Times New Roman"/>
          <w:color w:val="auto"/>
          <w:sz w:val="21"/>
          <w:szCs w:val="21"/>
          <w:highlight w:val="none"/>
        </w:rPr>
        <w:t>投标及参加项目谈判，以本单位名义处理一切与之有关的事务。</w:t>
      </w:r>
    </w:p>
    <w:p>
      <w:pPr>
        <w:spacing w:after="0" w:line="360" w:lineRule="auto"/>
        <w:ind w:firstLine="315" w:firstLineChars="15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本授权书于</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月</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日签字生效，特此声明。</w:t>
      </w:r>
    </w:p>
    <w:p>
      <w:pPr>
        <w:pStyle w:val="31"/>
        <w:spacing w:line="500" w:lineRule="atLeast"/>
        <w:ind w:firstLine="3517" w:firstLineChars="1675"/>
        <w:rPr>
          <w:rFonts w:ascii="宋体" w:eastAsia="宋体"/>
          <w:color w:val="auto"/>
          <w:sz w:val="21"/>
          <w:szCs w:val="21"/>
          <w:highlight w:val="none"/>
        </w:rPr>
      </w:pP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1"/>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法定代表人签字（签名或盖私章）：</w:t>
      </w: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被授权人签字：</w:t>
      </w:r>
    </w:p>
    <w:p>
      <w:pPr>
        <w:pStyle w:val="31"/>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职务：</w:t>
      </w: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移动电话： </w:t>
      </w: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详细通讯地址：</w:t>
      </w: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邮箱：                          </w:t>
      </w:r>
    </w:p>
    <w:p>
      <w:pPr>
        <w:pStyle w:val="31"/>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pPr>
        <w:pStyle w:val="31"/>
        <w:spacing w:line="460" w:lineRule="exact"/>
        <w:ind w:firstLine="433"/>
        <w:rPr>
          <w:rFonts w:ascii="宋体" w:eastAsia="宋体"/>
          <w:color w:val="auto"/>
          <w:sz w:val="21"/>
          <w:szCs w:val="21"/>
          <w:highlight w:val="none"/>
        </w:rPr>
      </w:pPr>
    </w:p>
    <w:p>
      <w:pPr>
        <w:ind w:firstLine="420" w:firstLineChars="200"/>
        <w:rPr>
          <w:rFonts w:eastAsia="宋体"/>
          <w:color w:val="auto"/>
          <w:highlight w:val="none"/>
        </w:rPr>
      </w:pPr>
      <w:r>
        <w:rPr>
          <w:rFonts w:hint="eastAsia" w:ascii="宋体" w:hAnsi="宋体" w:eastAsia="宋体"/>
          <w:color w:val="auto"/>
          <w:sz w:val="21"/>
          <w:szCs w:val="21"/>
          <w:highlight w:val="none"/>
        </w:rPr>
        <w:t>须附：被授权人身份证复印件。</w:t>
      </w:r>
    </w:p>
    <w:tbl>
      <w:tblPr>
        <w:tblStyle w:val="19"/>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pPr>
              <w:pStyle w:val="31"/>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232" w:type="dxa"/>
            <w:vAlign w:val="center"/>
          </w:tcPr>
          <w:p>
            <w:pPr>
              <w:pStyle w:val="31"/>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adjustRightInd/>
        <w:snapToGrid/>
        <w:spacing w:line="276" w:lineRule="auto"/>
        <w:rPr>
          <w:color w:val="auto"/>
          <w:highlight w:val="none"/>
        </w:rPr>
      </w:pPr>
      <w:bookmarkStart w:id="97" w:name="_Toc22486"/>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98" w:name="_Toc17164"/>
      <w:r>
        <w:rPr>
          <w:rFonts w:hint="eastAsia" w:ascii="宋体" w:hAnsi="宋体" w:eastAsia="宋体"/>
          <w:color w:val="auto"/>
          <w:sz w:val="21"/>
          <w:szCs w:val="21"/>
          <w:highlight w:val="none"/>
        </w:rPr>
        <w:t>附件7.资格申明</w:t>
      </w:r>
      <w:bookmarkEnd w:id="98"/>
    </w:p>
    <w:p>
      <w:pPr>
        <w:jc w:val="center"/>
        <w:rPr>
          <w:rFonts w:ascii="黑体" w:eastAsia="黑体"/>
          <w:color w:val="auto"/>
          <w:sz w:val="28"/>
          <w:szCs w:val="28"/>
          <w:highlight w:val="none"/>
        </w:rPr>
      </w:pPr>
      <w:r>
        <w:rPr>
          <w:rFonts w:hint="eastAsia" w:ascii="黑体" w:eastAsia="黑体"/>
          <w:color w:val="auto"/>
          <w:sz w:val="28"/>
          <w:szCs w:val="28"/>
          <w:highlight w:val="none"/>
        </w:rPr>
        <w:t>资格申明</w:t>
      </w:r>
    </w:p>
    <w:p>
      <w:pPr>
        <w:pStyle w:val="31"/>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广东政通招标有限公司：</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我方</w:t>
      </w:r>
      <w:r>
        <w:rPr>
          <w:rFonts w:ascii="宋体" w:hAnsi="宋体" w:eastAsia="宋体"/>
          <w:color w:val="auto"/>
          <w:sz w:val="21"/>
          <w:szCs w:val="21"/>
          <w:highlight w:val="none"/>
        </w:rPr>
        <w:t>愿响应</w:t>
      </w:r>
      <w:r>
        <w:rPr>
          <w:rFonts w:hint="eastAsia" w:ascii="宋体" w:hAnsi="宋体" w:eastAsia="宋体"/>
          <w:color w:val="auto"/>
          <w:sz w:val="21"/>
          <w:szCs w:val="21"/>
          <w:highlight w:val="none"/>
        </w:rPr>
        <w:t>贵</w:t>
      </w:r>
      <w:r>
        <w:rPr>
          <w:rFonts w:ascii="宋体" w:hAnsi="宋体" w:eastAsia="宋体"/>
          <w:color w:val="auto"/>
          <w:sz w:val="21"/>
          <w:szCs w:val="21"/>
          <w:highlight w:val="none"/>
        </w:rPr>
        <w:t>方</w:t>
      </w:r>
      <w:r>
        <w:rPr>
          <w:rFonts w:hint="eastAsia" w:ascii="宋体" w:hAnsi="宋体" w:eastAsia="宋体"/>
          <w:color w:val="auto"/>
          <w:sz w:val="21"/>
          <w:szCs w:val="21"/>
          <w:highlight w:val="none"/>
        </w:rPr>
        <w:t>关于（项目名称）</w:t>
      </w:r>
      <w:r>
        <w:rPr>
          <w:rFonts w:ascii="宋体" w:hAnsi="宋体" w:eastAsia="宋体"/>
          <w:color w:val="auto"/>
          <w:sz w:val="21"/>
          <w:szCs w:val="21"/>
          <w:highlight w:val="none"/>
        </w:rPr>
        <w:t>（</w:t>
      </w:r>
      <w:r>
        <w:rPr>
          <w:rFonts w:hint="eastAsia" w:ascii="宋体" w:hAnsi="宋体" w:eastAsia="宋体"/>
          <w:color w:val="auto"/>
          <w:sz w:val="21"/>
          <w:szCs w:val="21"/>
          <w:highlight w:val="none"/>
        </w:rPr>
        <w:t>采购项目编号</w:t>
      </w:r>
      <w:r>
        <w:rPr>
          <w:rFonts w:ascii="宋体" w:hAnsi="宋体" w:eastAsia="宋体"/>
          <w:color w:val="auto"/>
          <w:sz w:val="21"/>
          <w:szCs w:val="21"/>
          <w:highlight w:val="none"/>
        </w:rPr>
        <w:t>）</w:t>
      </w:r>
      <w:r>
        <w:rPr>
          <w:rFonts w:hint="eastAsia" w:ascii="宋体" w:hAnsi="宋体" w:eastAsia="宋体"/>
          <w:color w:val="auto"/>
          <w:sz w:val="21"/>
          <w:szCs w:val="21"/>
          <w:highlight w:val="none"/>
        </w:rPr>
        <w:t>的</w:t>
      </w:r>
      <w:r>
        <w:rPr>
          <w:rFonts w:ascii="宋体" w:hAnsi="宋体" w:eastAsia="宋体"/>
          <w:color w:val="auto"/>
          <w:sz w:val="21"/>
          <w:szCs w:val="21"/>
          <w:highlight w:val="none"/>
        </w:rPr>
        <w:t>投标邀请，参与投标，提供用户需求书中规定的</w:t>
      </w:r>
      <w:r>
        <w:rPr>
          <w:rFonts w:hint="eastAsia" w:ascii="宋体" w:hAnsi="宋体" w:eastAsia="宋体"/>
          <w:color w:val="auto"/>
          <w:sz w:val="21"/>
          <w:szCs w:val="21"/>
          <w:highlight w:val="none"/>
        </w:rPr>
        <w:t>货物及相关服务</w:t>
      </w:r>
      <w:r>
        <w:rPr>
          <w:rFonts w:ascii="宋体" w:hAnsi="宋体" w:eastAsia="宋体"/>
          <w:color w:val="auto"/>
          <w:sz w:val="21"/>
          <w:szCs w:val="21"/>
          <w:highlight w:val="none"/>
        </w:rPr>
        <w:t>，并按招标文件要求提交所附资格文件且声明和保证如下：</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一、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二、</w:t>
      </w:r>
      <w:r>
        <w:rPr>
          <w:rFonts w:ascii="宋体" w:hAnsi="宋体" w:eastAsia="宋体"/>
          <w:color w:val="auto"/>
          <w:sz w:val="21"/>
          <w:szCs w:val="21"/>
          <w:highlight w:val="none"/>
        </w:rPr>
        <w:t>我方依法注册，在法律上、财务上和运作上完全独立于（采购人名称）（采购人）及</w:t>
      </w:r>
      <w:r>
        <w:rPr>
          <w:rFonts w:hint="eastAsia" w:ascii="宋体" w:hAnsi="宋体" w:eastAsia="宋体"/>
          <w:color w:val="auto"/>
          <w:sz w:val="21"/>
          <w:szCs w:val="21"/>
          <w:highlight w:val="none"/>
        </w:rPr>
        <w:t>广东政通招标有限公司</w:t>
      </w:r>
      <w:r>
        <w:rPr>
          <w:rFonts w:ascii="宋体" w:hAnsi="宋体" w:eastAsia="宋体"/>
          <w:color w:val="auto"/>
          <w:sz w:val="21"/>
          <w:szCs w:val="21"/>
          <w:highlight w:val="none"/>
        </w:rPr>
        <w:t>（采购代理机构）</w:t>
      </w:r>
      <w:r>
        <w:rPr>
          <w:rFonts w:hint="eastAsia" w:ascii="宋体" w:hAnsi="宋体" w:eastAsia="宋体"/>
          <w:color w:val="auto"/>
          <w:sz w:val="21"/>
          <w:szCs w:val="21"/>
          <w:highlight w:val="none"/>
        </w:rPr>
        <w:t>。</w:t>
      </w:r>
    </w:p>
    <w:p>
      <w:pPr>
        <w:pStyle w:val="31"/>
        <w:spacing w:line="500" w:lineRule="atLeast"/>
        <w:ind w:firstLine="3517" w:firstLineChars="1675"/>
        <w:rPr>
          <w:rFonts w:ascii="宋体" w:eastAsia="宋体"/>
          <w:color w:val="auto"/>
          <w:sz w:val="21"/>
          <w:szCs w:val="21"/>
          <w:highlight w:val="none"/>
        </w:rPr>
      </w:pPr>
    </w:p>
    <w:p>
      <w:pPr>
        <w:pStyle w:val="31"/>
        <w:spacing w:line="500" w:lineRule="atLeast"/>
        <w:ind w:firstLine="3517" w:firstLineChars="1675"/>
        <w:rPr>
          <w:rFonts w:ascii="宋体" w:eastAsia="宋体"/>
          <w:color w:val="auto"/>
          <w:sz w:val="21"/>
          <w:szCs w:val="21"/>
          <w:highlight w:val="none"/>
        </w:rPr>
      </w:pPr>
    </w:p>
    <w:p>
      <w:pPr>
        <w:pStyle w:val="31"/>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1"/>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法定代表人签字（签名或盖私章）：</w:t>
      </w:r>
    </w:p>
    <w:p>
      <w:pPr>
        <w:pStyle w:val="31"/>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日     期：年月日</w:t>
      </w:r>
    </w:p>
    <w:p>
      <w:pPr>
        <w:pStyle w:val="31"/>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99" w:name="_Toc27839"/>
      <w:r>
        <w:rPr>
          <w:rFonts w:hint="eastAsia" w:ascii="宋体" w:hAnsi="宋体" w:eastAsia="宋体"/>
          <w:color w:val="auto"/>
          <w:sz w:val="21"/>
          <w:szCs w:val="21"/>
          <w:highlight w:val="none"/>
        </w:rPr>
        <w:t>附件8.营业执照</w:t>
      </w:r>
      <w:bookmarkEnd w:id="99"/>
    </w:p>
    <w:p>
      <w:pPr>
        <w:jc w:val="center"/>
        <w:rPr>
          <w:rFonts w:ascii="黑体" w:eastAsia="黑体"/>
          <w:color w:val="auto"/>
          <w:sz w:val="28"/>
          <w:szCs w:val="28"/>
          <w:highlight w:val="none"/>
        </w:rPr>
      </w:pPr>
      <w:bookmarkStart w:id="100" w:name="_Toc4926"/>
      <w:bookmarkStart w:id="101" w:name="_Toc24210"/>
      <w:bookmarkStart w:id="102" w:name="_Toc5919"/>
      <w:bookmarkStart w:id="103" w:name="_Toc17470"/>
      <w:bookmarkStart w:id="104" w:name="_Toc1511"/>
      <w:r>
        <w:rPr>
          <w:rFonts w:hint="eastAsia" w:ascii="黑体" w:eastAsia="黑体"/>
          <w:color w:val="auto"/>
          <w:sz w:val="28"/>
          <w:szCs w:val="28"/>
          <w:highlight w:val="none"/>
        </w:rPr>
        <w:t>营业执照</w:t>
      </w:r>
      <w:bookmarkEnd w:id="100"/>
      <w:bookmarkEnd w:id="101"/>
      <w:bookmarkEnd w:id="102"/>
      <w:bookmarkEnd w:id="103"/>
      <w:bookmarkEnd w:id="104"/>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05" w:name="_Toc26141"/>
      <w:r>
        <w:rPr>
          <w:rFonts w:hint="eastAsia" w:ascii="宋体" w:hAnsi="宋体" w:eastAsia="宋体"/>
          <w:color w:val="auto"/>
          <w:sz w:val="21"/>
          <w:szCs w:val="21"/>
          <w:highlight w:val="none"/>
        </w:rPr>
        <w:t>附件9.相关资质证明文件</w:t>
      </w:r>
      <w:bookmarkEnd w:id="105"/>
    </w:p>
    <w:p>
      <w:pPr>
        <w:rPr>
          <w:color w:val="auto"/>
          <w:highlight w:val="none"/>
        </w:rPr>
      </w:pPr>
    </w:p>
    <w:p>
      <w:pPr>
        <w:jc w:val="center"/>
        <w:rPr>
          <w:rFonts w:ascii="黑体" w:eastAsia="黑体"/>
          <w:color w:val="auto"/>
          <w:sz w:val="28"/>
          <w:szCs w:val="28"/>
          <w:highlight w:val="none"/>
        </w:rPr>
      </w:pPr>
      <w:bookmarkStart w:id="106" w:name="_Toc16698"/>
      <w:bookmarkStart w:id="107" w:name="_Toc16233"/>
      <w:bookmarkStart w:id="108" w:name="_Toc9592"/>
      <w:bookmarkStart w:id="109" w:name="_Toc30307"/>
      <w:bookmarkStart w:id="110" w:name="_Toc13458"/>
      <w:r>
        <w:rPr>
          <w:rFonts w:hint="eastAsia" w:ascii="黑体" w:eastAsia="黑体"/>
          <w:color w:val="auto"/>
          <w:sz w:val="28"/>
          <w:szCs w:val="28"/>
          <w:highlight w:val="none"/>
        </w:rPr>
        <w:t>相关资质证明文件</w:t>
      </w:r>
      <w:bookmarkEnd w:id="97"/>
      <w:bookmarkEnd w:id="106"/>
      <w:bookmarkEnd w:id="107"/>
      <w:bookmarkEnd w:id="108"/>
      <w:bookmarkEnd w:id="109"/>
      <w:bookmarkEnd w:id="110"/>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11" w:name="_Toc17618"/>
      <w:r>
        <w:rPr>
          <w:rFonts w:hint="eastAsia" w:ascii="宋体" w:hAnsi="宋体" w:eastAsia="宋体"/>
          <w:color w:val="auto"/>
          <w:sz w:val="21"/>
          <w:szCs w:val="21"/>
          <w:highlight w:val="none"/>
        </w:rPr>
        <w:t>附件10. 商务条款偏离表格式</w:t>
      </w:r>
      <w:bookmarkEnd w:id="111"/>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商务条款偏离表</w:t>
      </w:r>
    </w:p>
    <w:tbl>
      <w:tblPr>
        <w:tblStyle w:val="19"/>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62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服务项目名称</w:t>
            </w:r>
          </w:p>
        </w:tc>
        <w:tc>
          <w:tcPr>
            <w:tcW w:w="136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招标要求</w:t>
            </w:r>
          </w:p>
        </w:tc>
        <w:tc>
          <w:tcPr>
            <w:tcW w:w="1587"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133"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173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olor w:val="auto"/>
          <w:sz w:val="21"/>
          <w:szCs w:val="21"/>
          <w:highlight w:val="none"/>
        </w:rPr>
      </w:pPr>
    </w:p>
    <w:p>
      <w:pPr>
        <w:ind w:left="718" w:hanging="718" w:hangingChars="342"/>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1、投标人应对照招标文件商务要求，说明已对招标文件的商务内容做出了实质性的响应。</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2、商务条款包括但不限于合格投标人资格、付款方式、履约保证金、完工期、售后服务、检验及验收等要求。</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3、若文件有具体要求的，应按照文件要求进行逐一响应，并提供相应的证明材料。</w:t>
      </w: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r>
        <w:rPr>
          <w:color w:val="auto"/>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12" w:name="_Toc32183"/>
      <w:r>
        <w:rPr>
          <w:rFonts w:hint="eastAsia" w:ascii="宋体" w:hAnsi="宋体" w:eastAsia="宋体"/>
          <w:color w:val="auto"/>
          <w:sz w:val="21"/>
          <w:szCs w:val="21"/>
          <w:highlight w:val="none"/>
        </w:rPr>
        <w:t>附件11. 技术规格偏离表格式</w:t>
      </w:r>
      <w:bookmarkEnd w:id="112"/>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技术规格偏离表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90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技术规格</w:t>
            </w:r>
          </w:p>
        </w:tc>
        <w:tc>
          <w:tcPr>
            <w:tcW w:w="137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招标要求</w:t>
            </w:r>
          </w:p>
        </w:tc>
        <w:tc>
          <w:tcPr>
            <w:tcW w:w="1629"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239"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1544"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ind w:firstLine="178" w:firstLineChars="85"/>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1、偏离项中填写“正”、“负”或“无”，说明项中填写原因。</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2、投标人应对照招标文件技术规格，说明所提供服务已对招标文件的技术规格做出实质性的响应，并申明与技术规格条文的偏差和例外。特别对有具体参数要求的指标，投标人必须提供所投设备的具体参数值。</w:t>
      </w:r>
    </w:p>
    <w:p>
      <w:pPr>
        <w:spacing w:after="0" w:line="360" w:lineRule="auto"/>
        <w:rPr>
          <w:rFonts w:ascii="宋体" w:hAnsi="宋体" w:eastAsia="宋体"/>
          <w:color w:val="auto"/>
          <w:sz w:val="21"/>
          <w:szCs w:val="21"/>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rPr>
          <w:rFonts w:ascii="宋体" w:hAnsi="宋体" w:eastAsia="宋体"/>
          <w:color w:val="auto"/>
          <w:sz w:val="21"/>
          <w:szCs w:val="21"/>
          <w:highlight w:val="none"/>
        </w:rPr>
      </w:pPr>
      <w:bookmarkStart w:id="113" w:name="_Toc17691"/>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s="Times New Roman"/>
          <w:b w:val="0"/>
          <w:bCs w:val="0"/>
          <w:color w:val="auto"/>
          <w:sz w:val="32"/>
          <w:szCs w:val="32"/>
          <w:highlight w:val="none"/>
        </w:rPr>
      </w:pPr>
      <w:bookmarkStart w:id="114" w:name="_Toc29613"/>
      <w:r>
        <w:rPr>
          <w:rFonts w:hint="eastAsia" w:ascii="宋体" w:hAnsi="宋体" w:eastAsia="宋体"/>
          <w:color w:val="auto"/>
          <w:sz w:val="21"/>
          <w:szCs w:val="21"/>
          <w:highlight w:val="none"/>
        </w:rPr>
        <w:t>附件12.重要技术参数（▲）响应表</w:t>
      </w:r>
      <w:bookmarkEnd w:id="113"/>
      <w:bookmarkEnd w:id="114"/>
    </w:p>
    <w:p>
      <w:pPr>
        <w:jc w:val="center"/>
        <w:rPr>
          <w:rFonts w:ascii="黑体" w:eastAsia="黑体"/>
          <w:color w:val="auto"/>
          <w:sz w:val="28"/>
          <w:szCs w:val="28"/>
          <w:highlight w:val="none"/>
        </w:rPr>
      </w:pPr>
      <w:bookmarkStart w:id="115" w:name="_Toc4827"/>
      <w:bookmarkStart w:id="116" w:name="_Toc1274"/>
      <w:bookmarkStart w:id="117" w:name="_Toc18668"/>
      <w:bookmarkStart w:id="118" w:name="_Toc6080"/>
      <w:bookmarkStart w:id="119" w:name="_Toc4464"/>
      <w:bookmarkStart w:id="120" w:name="_Toc26078"/>
    </w:p>
    <w:p>
      <w:pPr>
        <w:jc w:val="center"/>
        <w:rPr>
          <w:rFonts w:ascii="黑体" w:eastAsia="黑体"/>
          <w:color w:val="auto"/>
          <w:sz w:val="28"/>
          <w:szCs w:val="28"/>
          <w:highlight w:val="none"/>
        </w:rPr>
      </w:pPr>
      <w:r>
        <w:rPr>
          <w:rFonts w:hint="eastAsia" w:ascii="黑体" w:eastAsia="黑体"/>
          <w:color w:val="auto"/>
          <w:sz w:val="28"/>
          <w:szCs w:val="28"/>
          <w:highlight w:val="none"/>
        </w:rPr>
        <w:t>重要技术参数（▲）响应表</w:t>
      </w:r>
      <w:bookmarkEnd w:id="115"/>
      <w:bookmarkEnd w:id="116"/>
      <w:bookmarkEnd w:id="117"/>
      <w:bookmarkEnd w:id="118"/>
      <w:bookmarkEnd w:id="119"/>
      <w:bookmarkEnd w:id="120"/>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2"/>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bookmarkStart w:id="121" w:name="_Toc2700"/>
            <w:bookmarkStart w:id="122" w:name="_Toc4304"/>
            <w:bookmarkStart w:id="123" w:name="_Toc12049"/>
            <w:bookmarkStart w:id="124" w:name="_Toc14815"/>
            <w:bookmarkStart w:id="125" w:name="_Toc27090"/>
            <w:bookmarkStart w:id="126" w:name="_Toc22448"/>
            <w:bookmarkStart w:id="127" w:name="_Toc16872"/>
            <w:bookmarkStart w:id="128" w:name="_Toc21739"/>
            <w:bookmarkStart w:id="129" w:name="_Toc15903"/>
            <w:bookmarkStart w:id="130" w:name="_Toc10045"/>
            <w:r>
              <w:rPr>
                <w:rFonts w:hint="eastAsia" w:ascii="宋体" w:hAnsi="宋体" w:eastAsia="宋体" w:cs="Times New Roman"/>
                <w:color w:val="auto"/>
                <w:sz w:val="21"/>
                <w:szCs w:val="21"/>
                <w:highlight w:val="none"/>
              </w:rPr>
              <w:t>技术参数（▲）</w:t>
            </w:r>
            <w:bookmarkEnd w:id="121"/>
            <w:bookmarkEnd w:id="122"/>
            <w:bookmarkEnd w:id="123"/>
            <w:bookmarkEnd w:id="124"/>
            <w:bookmarkEnd w:id="125"/>
            <w:bookmarkEnd w:id="126"/>
            <w:bookmarkEnd w:id="127"/>
            <w:bookmarkEnd w:id="128"/>
            <w:bookmarkEnd w:id="129"/>
            <w:bookmarkEnd w:id="130"/>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bookmarkStart w:id="131" w:name="_Toc8312"/>
            <w:bookmarkStart w:id="132" w:name="_Toc22917"/>
            <w:bookmarkStart w:id="133" w:name="_Toc19251"/>
            <w:bookmarkStart w:id="134" w:name="_Toc24662"/>
            <w:bookmarkStart w:id="135" w:name="_Toc32531"/>
            <w:bookmarkStart w:id="136" w:name="_Toc7333"/>
            <w:bookmarkStart w:id="137" w:name="_Toc8490"/>
            <w:bookmarkStart w:id="138" w:name="_Toc27442"/>
            <w:bookmarkStart w:id="139" w:name="_Toc22879"/>
            <w:bookmarkStart w:id="140" w:name="_Toc21809"/>
            <w:r>
              <w:rPr>
                <w:rFonts w:hint="eastAsia" w:ascii="宋体" w:hAnsi="宋体" w:eastAsia="宋体" w:cs="Times New Roman"/>
                <w:color w:val="auto"/>
                <w:sz w:val="21"/>
                <w:szCs w:val="21"/>
                <w:highlight w:val="none"/>
              </w:rPr>
              <w:t>是否响应</w:t>
            </w:r>
            <w:bookmarkEnd w:id="131"/>
            <w:bookmarkEnd w:id="132"/>
            <w:bookmarkEnd w:id="133"/>
            <w:bookmarkEnd w:id="134"/>
            <w:bookmarkEnd w:id="135"/>
            <w:bookmarkEnd w:id="136"/>
            <w:bookmarkEnd w:id="137"/>
            <w:bookmarkEnd w:id="138"/>
            <w:bookmarkEnd w:id="139"/>
            <w:bookmarkEnd w:id="140"/>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bookmarkStart w:id="141" w:name="_Toc17642"/>
            <w:bookmarkStart w:id="142" w:name="_Toc17296"/>
            <w:bookmarkStart w:id="143" w:name="_Toc27185"/>
            <w:bookmarkStart w:id="144" w:name="_Toc1912"/>
            <w:bookmarkStart w:id="145" w:name="_Toc5992"/>
            <w:bookmarkStart w:id="146" w:name="_Toc3701"/>
            <w:bookmarkStart w:id="147" w:name="_Toc20139"/>
            <w:bookmarkStart w:id="148" w:name="_Toc20820"/>
            <w:bookmarkStart w:id="149" w:name="_Toc5563"/>
            <w:bookmarkStart w:id="150" w:name="_Toc1330"/>
            <w:r>
              <w:rPr>
                <w:rFonts w:hint="eastAsia" w:ascii="宋体" w:hAnsi="宋体" w:eastAsia="宋体" w:cs="Times New Roman"/>
                <w:color w:val="auto"/>
                <w:sz w:val="21"/>
                <w:szCs w:val="21"/>
                <w:highlight w:val="none"/>
              </w:rPr>
              <w:t>页码范围</w:t>
            </w:r>
            <w:bookmarkEnd w:id="141"/>
            <w:bookmarkEnd w:id="142"/>
            <w:bookmarkEnd w:id="143"/>
            <w:bookmarkEnd w:id="144"/>
            <w:bookmarkEnd w:id="145"/>
            <w:bookmarkEnd w:id="146"/>
            <w:bookmarkEnd w:id="147"/>
            <w:bookmarkEnd w:id="148"/>
            <w:bookmarkEnd w:id="149"/>
            <w:bookmarkEnd w:id="1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r>
    </w:tbl>
    <w:p>
      <w:pPr>
        <w:pStyle w:val="28"/>
        <w:spacing w:after="0" w:line="360" w:lineRule="auto"/>
        <w:rPr>
          <w:rFonts w:ascii="宋体" w:hAnsi="宋体" w:eastAsia="宋体"/>
          <w:color w:val="auto"/>
          <w:sz w:val="21"/>
          <w:szCs w:val="21"/>
          <w:highlight w:val="none"/>
        </w:rPr>
      </w:pPr>
    </w:p>
    <w:p>
      <w:pPr>
        <w:pStyle w:val="28"/>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28"/>
        <w:numPr>
          <w:ilvl w:val="0"/>
          <w:numId w:val="12"/>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28"/>
        <w:numPr>
          <w:ilvl w:val="0"/>
          <w:numId w:val="12"/>
        </w:numPr>
        <w:spacing w:after="0" w:line="360" w:lineRule="auto"/>
        <w:ind w:firstLine="422"/>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投标人可按项目的实际需要提供本表格。招标文件内未涉及▲参数的，此表可以不用提供。</w:t>
      </w:r>
    </w:p>
    <w:p>
      <w:pPr>
        <w:pStyle w:val="28"/>
        <w:numPr>
          <w:ilvl w:val="0"/>
          <w:numId w:val="12"/>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响应表所列出的材料应为真实准确的，若文件需要，应提供相关证明材料复印件加盖公章。请勿提供虚假、过期材料，否则将依据相关规定严肃处理</w:t>
      </w:r>
    </w:p>
    <w:p>
      <w:pPr>
        <w:pStyle w:val="28"/>
        <w:numPr>
          <w:ilvl w:val="0"/>
          <w:numId w:val="12"/>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若招标文件有需求，投标文件未提供重要技术参数（</w:t>
      </w:r>
      <w:r>
        <w:rPr>
          <w:rFonts w:hint="eastAsia" w:ascii="宋体" w:hAnsi="宋体" w:eastAsia="宋体" w:cs="Times New Roman"/>
          <w:color w:val="auto"/>
          <w:sz w:val="21"/>
          <w:szCs w:val="21"/>
          <w:highlight w:val="none"/>
        </w:rPr>
        <w:t>▲</w:t>
      </w:r>
      <w:r>
        <w:rPr>
          <w:rFonts w:hint="eastAsia" w:ascii="宋体" w:hAnsi="宋体" w:eastAsia="宋体"/>
          <w:color w:val="auto"/>
          <w:sz w:val="21"/>
          <w:szCs w:val="21"/>
          <w:highlight w:val="none"/>
        </w:rPr>
        <w:t>）响应表对投标人投标产生负面影响的，投标人自行承担后果。</w:t>
      </w:r>
    </w:p>
    <w:p>
      <w:pPr>
        <w:pStyle w:val="28"/>
        <w:numPr>
          <w:ilvl w:val="0"/>
          <w:numId w:val="12"/>
        </w:num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30"/>
          <w:szCs w:val="30"/>
          <w:highlight w:val="none"/>
        </w:rPr>
      </w:pPr>
      <w:bookmarkStart w:id="151" w:name="_Toc27674"/>
      <w:r>
        <w:rPr>
          <w:rFonts w:hint="eastAsia" w:ascii="宋体" w:hAnsi="宋体" w:eastAsia="宋体"/>
          <w:color w:val="auto"/>
          <w:sz w:val="21"/>
          <w:szCs w:val="21"/>
          <w:highlight w:val="none"/>
        </w:rPr>
        <w:t>附件13.业绩表</w:t>
      </w:r>
      <w:bookmarkEnd w:id="151"/>
    </w:p>
    <w:p>
      <w:pPr>
        <w:jc w:val="center"/>
        <w:rPr>
          <w:rFonts w:ascii="黑体" w:eastAsia="黑体"/>
          <w:color w:val="auto"/>
          <w:sz w:val="28"/>
          <w:szCs w:val="28"/>
          <w:highlight w:val="none"/>
        </w:rPr>
      </w:pPr>
      <w:r>
        <w:rPr>
          <w:rFonts w:hint="eastAsia" w:ascii="黑体" w:eastAsia="黑体"/>
          <w:color w:val="auto"/>
          <w:sz w:val="28"/>
          <w:szCs w:val="28"/>
          <w:highlight w:val="none"/>
        </w:rPr>
        <w:t>业绩表</w:t>
      </w:r>
    </w:p>
    <w:tbl>
      <w:tblPr>
        <w:tblStyle w:val="20"/>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tc>
        <w:tc>
          <w:tcPr>
            <w:tcW w:w="1706"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项目金额</w:t>
            </w:r>
          </w:p>
        </w:tc>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项目合同签订时间</w:t>
            </w:r>
          </w:p>
        </w:tc>
        <w:tc>
          <w:tcPr>
            <w:tcW w:w="1697"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color w:val="auto"/>
                <w:sz w:val="21"/>
                <w:szCs w:val="21"/>
                <w:highlight w:val="none"/>
              </w:rPr>
            </w:pPr>
          </w:p>
        </w:tc>
        <w:tc>
          <w:tcPr>
            <w:tcW w:w="1705" w:type="dxa"/>
            <w:vAlign w:val="center"/>
          </w:tcPr>
          <w:p>
            <w:pPr>
              <w:adjustRightInd/>
              <w:snapToGrid/>
              <w:spacing w:after="0"/>
              <w:jc w:val="center"/>
              <w:rPr>
                <w:rFonts w:ascii="宋体" w:hAnsi="宋体" w:eastAsia="宋体"/>
                <w:color w:val="auto"/>
                <w:sz w:val="21"/>
                <w:szCs w:val="21"/>
                <w:highlight w:val="none"/>
              </w:rPr>
            </w:pPr>
          </w:p>
        </w:tc>
        <w:tc>
          <w:tcPr>
            <w:tcW w:w="1706" w:type="dxa"/>
            <w:vAlign w:val="center"/>
          </w:tcPr>
          <w:p>
            <w:pPr>
              <w:adjustRightInd/>
              <w:snapToGrid/>
              <w:spacing w:after="0"/>
              <w:jc w:val="center"/>
              <w:rPr>
                <w:rFonts w:ascii="宋体" w:hAnsi="宋体" w:eastAsia="宋体"/>
                <w:color w:val="auto"/>
                <w:sz w:val="21"/>
                <w:szCs w:val="21"/>
                <w:highlight w:val="none"/>
              </w:rPr>
            </w:pPr>
          </w:p>
        </w:tc>
        <w:tc>
          <w:tcPr>
            <w:tcW w:w="1705" w:type="dxa"/>
            <w:vAlign w:val="center"/>
          </w:tcPr>
          <w:p>
            <w:pPr>
              <w:adjustRightInd/>
              <w:snapToGrid/>
              <w:spacing w:after="0"/>
              <w:jc w:val="center"/>
              <w:rPr>
                <w:rFonts w:ascii="宋体" w:hAnsi="宋体" w:eastAsia="宋体"/>
                <w:color w:val="auto"/>
                <w:sz w:val="21"/>
                <w:szCs w:val="21"/>
                <w:highlight w:val="none"/>
              </w:rPr>
            </w:pPr>
          </w:p>
        </w:tc>
        <w:tc>
          <w:tcPr>
            <w:tcW w:w="1697" w:type="dxa"/>
            <w:vAlign w:val="center"/>
          </w:tcPr>
          <w:p>
            <w:pPr>
              <w:adjustRightInd/>
              <w:snapToGrid/>
              <w:spacing w:after="0"/>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bl>
    <w:p>
      <w:pPr>
        <w:pStyle w:val="28"/>
        <w:spacing w:after="0"/>
        <w:rPr>
          <w:rFonts w:ascii="宋体" w:hAnsi="宋体" w:eastAsia="宋体"/>
          <w:color w:val="auto"/>
          <w:sz w:val="21"/>
          <w:szCs w:val="21"/>
          <w:highlight w:val="none"/>
        </w:rPr>
      </w:pPr>
    </w:p>
    <w:p>
      <w:pPr>
        <w:pStyle w:val="28"/>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28"/>
        <w:numPr>
          <w:ilvl w:val="0"/>
          <w:numId w:val="13"/>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28"/>
        <w:numPr>
          <w:ilvl w:val="0"/>
          <w:numId w:val="13"/>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业绩表所列出的材料应为真实准确的，并应提供相关证明材料复印件加盖公章。请勿提供虚假、过期材料，否则将依据相关规定严肃处理。</w:t>
      </w:r>
    </w:p>
    <w:p>
      <w:pPr>
        <w:pStyle w:val="28"/>
        <w:numPr>
          <w:ilvl w:val="0"/>
          <w:numId w:val="13"/>
        </w:num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52" w:name="_Toc7860"/>
      <w:r>
        <w:rPr>
          <w:rFonts w:hint="eastAsia" w:ascii="宋体" w:hAnsi="宋体" w:eastAsia="宋体"/>
          <w:color w:val="auto"/>
          <w:sz w:val="21"/>
          <w:szCs w:val="21"/>
          <w:highlight w:val="none"/>
        </w:rPr>
        <w:t>附件14. 项目实施方案格式</w:t>
      </w:r>
      <w:bookmarkEnd w:id="152"/>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项目实施方案</w:t>
      </w:r>
    </w:p>
    <w:p>
      <w:pPr>
        <w:jc w:val="center"/>
        <w:rPr>
          <w:rFonts w:ascii="黑体" w:eastAsia="黑体"/>
          <w:color w:val="auto"/>
          <w:sz w:val="32"/>
          <w:szCs w:val="32"/>
          <w:highlight w:val="none"/>
        </w:rPr>
      </w:pP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1、为完成本项目投标人临时投入的设备</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2、为完成本项目投标人投入的人员以及具体工作安排</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3、投标人为本项目制定的具体项目实施方案与项目实施流程</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4、售后服务方案</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5、..........</w:t>
      </w:r>
    </w:p>
    <w:p>
      <w:pPr>
        <w:spacing w:after="0" w:line="360" w:lineRule="auto"/>
        <w:ind w:left="738" w:leftChars="200" w:hanging="298" w:hangingChars="142"/>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自行编写。</w:t>
      </w:r>
    </w:p>
    <w:p>
      <w:pPr>
        <w:spacing w:after="0" w:line="360" w:lineRule="auto"/>
        <w:ind w:left="738" w:leftChars="200" w:hanging="298" w:hangingChars="142"/>
        <w:rPr>
          <w:rFonts w:ascii="宋体" w:hAnsi="宋体" w:eastAsia="宋体"/>
          <w:color w:val="auto"/>
          <w:sz w:val="21"/>
          <w:szCs w:val="21"/>
          <w:highlight w:val="none"/>
        </w:rPr>
      </w:pPr>
    </w:p>
    <w:p>
      <w:pPr>
        <w:spacing w:after="0" w:line="360" w:lineRule="auto"/>
        <w:ind w:left="738" w:leftChars="200" w:hanging="298" w:hangingChars="142"/>
        <w:rPr>
          <w:rFonts w:ascii="宋体" w:hAnsi="宋体" w:eastAsia="宋体"/>
          <w:color w:val="auto"/>
          <w:sz w:val="21"/>
          <w:szCs w:val="21"/>
          <w:highlight w:val="none"/>
        </w:rPr>
      </w:pP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53" w:name="_Toc8596"/>
      <w:r>
        <w:rPr>
          <w:rFonts w:hint="eastAsia" w:ascii="宋体" w:hAnsi="宋体" w:eastAsia="宋体"/>
          <w:color w:val="auto"/>
          <w:sz w:val="21"/>
          <w:szCs w:val="21"/>
          <w:highlight w:val="none"/>
        </w:rPr>
        <w:t>附件15. 实施本项目的有关人员资料表格式</w:t>
      </w:r>
      <w:bookmarkEnd w:id="153"/>
    </w:p>
    <w:p>
      <w:pPr>
        <w:jc w:val="center"/>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实施本项目的有关人员资料表</w:t>
      </w:r>
    </w:p>
    <w:tbl>
      <w:tblPr>
        <w:tblStyle w:val="19"/>
        <w:tblW w:w="7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22"/>
        <w:gridCol w:w="1392"/>
        <w:gridCol w:w="763"/>
        <w:gridCol w:w="708"/>
        <w:gridCol w:w="851"/>
        <w:gridCol w:w="850"/>
        <w:gridCol w:w="78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82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姓名</w:t>
            </w:r>
          </w:p>
        </w:tc>
        <w:tc>
          <w:tcPr>
            <w:tcW w:w="139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本项目拟任岗位</w:t>
            </w:r>
          </w:p>
        </w:tc>
        <w:tc>
          <w:tcPr>
            <w:tcW w:w="763"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性别</w:t>
            </w:r>
          </w:p>
        </w:tc>
        <w:tc>
          <w:tcPr>
            <w:tcW w:w="70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年龄</w:t>
            </w:r>
          </w:p>
        </w:tc>
        <w:tc>
          <w:tcPr>
            <w:tcW w:w="851"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技术职称</w:t>
            </w:r>
          </w:p>
        </w:tc>
        <w:tc>
          <w:tcPr>
            <w:tcW w:w="85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专 业</w:t>
            </w:r>
          </w:p>
        </w:tc>
        <w:tc>
          <w:tcPr>
            <w:tcW w:w="78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资质证书</w:t>
            </w:r>
          </w:p>
        </w:tc>
        <w:tc>
          <w:tcPr>
            <w:tcW w:w="1090" w:type="dxa"/>
            <w:tcBorders>
              <w:right w:val="single" w:color="auto" w:sz="6" w:space="0"/>
            </w:tcBorders>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bl>
    <w:p>
      <w:pPr>
        <w:ind w:firstLine="178" w:firstLineChars="85"/>
        <w:rPr>
          <w:rFonts w:ascii="宋体" w:hAnsi="宋体" w:eastAsia="宋体"/>
          <w:color w:val="auto"/>
          <w:sz w:val="21"/>
          <w:szCs w:val="21"/>
          <w:highlight w:val="none"/>
        </w:rPr>
      </w:pP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附有关证明文件（复印件加盖公章）</w:t>
      </w: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28"/>
        <w:numPr>
          <w:ilvl w:val="0"/>
          <w:numId w:val="14"/>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投标人可按项目的实际需要或招标文件的要求提供本表格。</w:t>
      </w:r>
    </w:p>
    <w:p>
      <w:pPr>
        <w:pStyle w:val="28"/>
        <w:numPr>
          <w:ilvl w:val="0"/>
          <w:numId w:val="14"/>
        </w:numPr>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28"/>
        <w:numPr>
          <w:ilvl w:val="0"/>
          <w:numId w:val="14"/>
        </w:numPr>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如本项目不涉及此表内容，则无需提供此表。</w:t>
      </w: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54" w:name="_Toc21598"/>
      <w:r>
        <w:rPr>
          <w:rFonts w:hint="eastAsia" w:ascii="宋体" w:hAnsi="宋体" w:eastAsia="宋体"/>
          <w:color w:val="auto"/>
          <w:sz w:val="21"/>
          <w:szCs w:val="21"/>
          <w:highlight w:val="none"/>
        </w:rPr>
        <w:t>附件16.投标货物说明一览表格式</w:t>
      </w:r>
      <w:bookmarkEnd w:id="154"/>
    </w:p>
    <w:p>
      <w:pPr>
        <w:jc w:val="center"/>
        <w:rPr>
          <w:rFonts w:ascii="黑体" w:eastAsia="黑体"/>
          <w:color w:val="auto"/>
          <w:sz w:val="28"/>
          <w:szCs w:val="28"/>
          <w:highlight w:val="none"/>
        </w:rPr>
      </w:pPr>
    </w:p>
    <w:p>
      <w:pPr>
        <w:jc w:val="center"/>
        <w:rPr>
          <w:rFonts w:ascii="黑体" w:eastAsia="黑体" w:cs="Times New Roman"/>
          <w:color w:val="auto"/>
          <w:sz w:val="28"/>
          <w:szCs w:val="28"/>
          <w:highlight w:val="none"/>
        </w:rPr>
      </w:pPr>
      <w:r>
        <w:rPr>
          <w:rFonts w:hint="eastAsia" w:ascii="黑体" w:eastAsia="黑体" w:cs="Times New Roman"/>
          <w:color w:val="auto"/>
          <w:sz w:val="28"/>
          <w:szCs w:val="28"/>
          <w:highlight w:val="none"/>
        </w:rPr>
        <w:t>投标货物说明一览表</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775"/>
        <w:gridCol w:w="1618"/>
        <w:gridCol w:w="1217"/>
        <w:gridCol w:w="1656"/>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序号</w:t>
            </w:r>
          </w:p>
        </w:tc>
        <w:tc>
          <w:tcPr>
            <w:tcW w:w="1775"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货物名称</w:t>
            </w:r>
          </w:p>
        </w:tc>
        <w:tc>
          <w:tcPr>
            <w:tcW w:w="1618"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规格型号</w:t>
            </w:r>
          </w:p>
        </w:tc>
        <w:tc>
          <w:tcPr>
            <w:tcW w:w="1217"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数量</w:t>
            </w:r>
          </w:p>
        </w:tc>
        <w:tc>
          <w:tcPr>
            <w:tcW w:w="1656"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单价</w:t>
            </w:r>
          </w:p>
        </w:tc>
        <w:tc>
          <w:tcPr>
            <w:tcW w:w="1305"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bl>
    <w:p>
      <w:pPr>
        <w:spacing w:after="0"/>
        <w:rPr>
          <w:rFonts w:ascii="宋体" w:hAnsi="宋体" w:eastAsia="宋体" w:cs="Times New Roman"/>
          <w:color w:val="auto"/>
          <w:sz w:val="21"/>
          <w:szCs w:val="21"/>
          <w:highlight w:val="none"/>
        </w:rPr>
      </w:pP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投标人代表签字：</w:t>
      </w: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投标人盖章：</w:t>
      </w:r>
    </w:p>
    <w:p>
      <w:pPr>
        <w:rPr>
          <w:rFonts w:ascii="宋体" w:hAnsi="宋体" w:eastAsia="宋体" w:cs="Times New Roman"/>
          <w:color w:val="auto"/>
          <w:sz w:val="21"/>
          <w:szCs w:val="21"/>
          <w:highlight w:val="none"/>
        </w:rPr>
      </w:pP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注：</w:t>
      </w:r>
    </w:p>
    <w:p>
      <w:pPr>
        <w:pStyle w:val="28"/>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1、投标人可按项目的实际需要提供本表格。</w:t>
      </w:r>
    </w:p>
    <w:p>
      <w:pPr>
        <w:pStyle w:val="28"/>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2、该表格为参考格式，投标人可按实际情况自行制订。</w:t>
      </w:r>
    </w:p>
    <w:p>
      <w:pPr>
        <w:pStyle w:val="28"/>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3、如本项目不涉及此表内容，则无需提供此表。</w:t>
      </w: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楷体_GB2312" w:eastAsia="楷体_GB2312"/>
          <w:color w:val="auto"/>
          <w:sz w:val="24"/>
          <w:highlight w:val="none"/>
        </w:rPr>
      </w:pPr>
      <w:bookmarkStart w:id="155" w:name="_Toc10094"/>
      <w:bookmarkStart w:id="156" w:name="_Toc21223"/>
      <w:bookmarkStart w:id="157" w:name="_Toc417907703"/>
      <w:r>
        <w:rPr>
          <w:rFonts w:hint="eastAsia" w:ascii="宋体" w:hAnsi="宋体" w:eastAsia="宋体"/>
          <w:color w:val="auto"/>
          <w:sz w:val="21"/>
          <w:szCs w:val="21"/>
          <w:highlight w:val="none"/>
        </w:rPr>
        <w:t>附件17.在经营活动中没有重大违法记录的书面声明格式</w:t>
      </w:r>
      <w:bookmarkEnd w:id="155"/>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投标人在参与政府采购活动前三年未有重大违法记录、没有不良信用记录的声明函</w:t>
      </w:r>
    </w:p>
    <w:p>
      <w:pPr>
        <w:spacing w:after="0" w:line="360" w:lineRule="auto"/>
        <w:ind w:firstLine="420" w:firstLineChars="200"/>
        <w:rPr>
          <w:rFonts w:ascii="宋体" w:hAnsi="宋体" w:eastAsia="宋体" w:cs="宋体"/>
          <w:color w:val="auto"/>
          <w:sz w:val="21"/>
          <w:szCs w:val="21"/>
          <w:highlight w:val="none"/>
        </w:rPr>
      </w:pP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广东政通招标有限公司：</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 xml:space="preserve">       （采购项目名称）</w:t>
      </w:r>
      <w:r>
        <w:rPr>
          <w:rFonts w:hint="eastAsia" w:ascii="宋体" w:hAnsi="宋体" w:eastAsia="宋体" w:cs="宋体"/>
          <w:color w:val="auto"/>
          <w:sz w:val="21"/>
          <w:szCs w:val="21"/>
          <w:highlight w:val="none"/>
        </w:rPr>
        <w:t>” （项目编号:）政府采购活动前三年内（设立不满三年的从设立之日计算），在经营活动中没有重大违法记录；至本项目提交投标文件截止时间止未被列入“信用中国”网站及“中国政府采购网”失信被执行人、重大税收违法案件当事人名单、政府采购严重违法失信行为记录名单。</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pPr>
        <w:spacing w:after="0" w:line="360" w:lineRule="auto"/>
        <w:ind w:firstLine="420" w:firstLineChars="200"/>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6"/>
        <w:widowControl w:val="0"/>
        <w:overflowPunct w:val="0"/>
        <w:spacing w:before="0" w:after="0" w:line="240" w:lineRule="auto"/>
        <w:rPr>
          <w:color w:val="auto"/>
          <w:highlight w:val="none"/>
        </w:rPr>
      </w:pPr>
      <w:r>
        <w:rPr>
          <w:rFonts w:hint="eastAsia" w:ascii="宋体" w:hAnsi="宋体" w:eastAsia="宋体"/>
          <w:color w:val="auto"/>
          <w:sz w:val="21"/>
          <w:szCs w:val="21"/>
          <w:highlight w:val="none"/>
        </w:rPr>
        <w:t>附件18. 中小企业声明函（投标人为中小企业时适用）</w:t>
      </w:r>
      <w:bookmarkEnd w:id="156"/>
      <w:bookmarkEnd w:id="157"/>
    </w:p>
    <w:p>
      <w:pPr>
        <w:jc w:val="center"/>
        <w:rPr>
          <w:rFonts w:ascii="微软雅黑" w:hAnsi="微软雅黑" w:cs="微软雅黑"/>
          <w:b/>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中小企业声明函（货物）</w:t>
      </w:r>
    </w:p>
    <w:p>
      <w:pPr>
        <w:spacing w:line="360" w:lineRule="auto"/>
        <w:ind w:firstLine="630" w:firstLineChars="3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rPr>
        <w:t>（单位名称）</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u w:val="single"/>
        </w:rPr>
        <w:t>（项目名称）</w:t>
      </w:r>
      <w:r>
        <w:rPr>
          <w:rFonts w:hint="eastAsia" w:asciiTheme="minorEastAsia" w:hAnsiTheme="minorEastAsia" w:eastAsiaTheme="minorEastAsia" w:cstheme="minorEastAsia"/>
          <w:color w:val="auto"/>
          <w:sz w:val="21"/>
          <w:szCs w:val="21"/>
          <w:highlight w:val="none"/>
        </w:rPr>
        <w:t>采购活动，提供的货物全部由符合政策要求的中小企业制造。相关企业</w:t>
      </w:r>
      <w:r>
        <w:rPr>
          <w:rFonts w:hint="eastAsia" w:asciiTheme="minorEastAsia" w:hAnsiTheme="minorEastAsia" w:eastAsiaTheme="minorEastAsia" w:cstheme="minorEastAsia"/>
          <w:color w:val="auto"/>
          <w:sz w:val="21"/>
          <w:szCs w:val="21"/>
          <w:highlight w:val="none"/>
          <w:u w:val="single"/>
        </w:rPr>
        <w:t>（含联合体中的中小企业、签订分包意向协议的中小企业）</w:t>
      </w:r>
      <w:r>
        <w:rPr>
          <w:rFonts w:hint="eastAsia" w:asciiTheme="minorEastAsia" w:hAnsiTheme="minorEastAsia" w:eastAsiaTheme="minorEastAsia" w:cstheme="minorEastAsia"/>
          <w:color w:val="auto"/>
          <w:sz w:val="21"/>
          <w:szCs w:val="21"/>
          <w:highlight w:val="none"/>
        </w:rPr>
        <w:t>的具体情况如下：</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    1.</w:t>
      </w:r>
      <w:r>
        <w:rPr>
          <w:rFonts w:hint="eastAsia" w:asciiTheme="minorEastAsia" w:hAnsiTheme="minorEastAsia" w:eastAsiaTheme="minorEastAsia" w:cstheme="minorEastAsia"/>
          <w:color w:val="auto"/>
          <w:sz w:val="21"/>
          <w:szCs w:val="21"/>
          <w:highlight w:val="none"/>
          <w:u w:val="single"/>
          <w:lang w:val="en-US"/>
        </w:rPr>
        <w:t>（标的名称）</w:t>
      </w:r>
      <w:r>
        <w:rPr>
          <w:rFonts w:hint="eastAsia" w:asciiTheme="minorEastAsia" w:hAnsiTheme="minorEastAsia" w:eastAsiaTheme="minorEastAsia" w:cstheme="minorEastAsia"/>
          <w:color w:val="auto"/>
          <w:sz w:val="21"/>
          <w:szCs w:val="21"/>
          <w:highlight w:val="none"/>
          <w:lang w:val="en-US"/>
        </w:rPr>
        <w:t>，属于</w:t>
      </w:r>
      <w:r>
        <w:rPr>
          <w:rFonts w:hint="eastAsia" w:asciiTheme="minorEastAsia" w:hAnsiTheme="minorEastAsia" w:eastAsiaTheme="minorEastAsia" w:cstheme="minorEastAsia"/>
          <w:color w:val="auto"/>
          <w:sz w:val="21"/>
          <w:szCs w:val="21"/>
          <w:highlight w:val="none"/>
          <w:u w:val="single"/>
          <w:lang w:val="en-US"/>
        </w:rPr>
        <w:t>（采购文件中明确的所属行业）行业</w:t>
      </w:r>
      <w:r>
        <w:rPr>
          <w:rFonts w:hint="eastAsia" w:asciiTheme="minorEastAsia" w:hAnsiTheme="minorEastAsia" w:eastAsiaTheme="minorEastAsia" w:cstheme="minorEastAsia"/>
          <w:color w:val="auto"/>
          <w:sz w:val="21"/>
          <w:szCs w:val="21"/>
          <w:highlight w:val="none"/>
          <w:lang w:val="en-US"/>
        </w:rPr>
        <w:t>；制造商为</w:t>
      </w:r>
      <w:r>
        <w:rPr>
          <w:rFonts w:hint="eastAsia" w:asciiTheme="minorEastAsia" w:hAnsiTheme="minorEastAsia" w:eastAsiaTheme="minorEastAsia" w:cstheme="minorEastAsia"/>
          <w:color w:val="auto"/>
          <w:sz w:val="21"/>
          <w:szCs w:val="21"/>
          <w:highlight w:val="none"/>
          <w:u w:val="single"/>
          <w:lang w:val="en-US"/>
        </w:rPr>
        <w:t>（企业名称）</w:t>
      </w:r>
      <w:r>
        <w:rPr>
          <w:rFonts w:hint="eastAsia" w:asciiTheme="minorEastAsia" w:hAnsiTheme="minorEastAsia" w:eastAsiaTheme="minorEastAsia" w:cstheme="minorEastAsia"/>
          <w:color w:val="auto"/>
          <w:sz w:val="21"/>
          <w:szCs w:val="21"/>
          <w:highlight w:val="none"/>
          <w:lang w:val="en-US"/>
        </w:rPr>
        <w:t>，从业人员_______人，营业收入为_______万元，资产总额为______万元</w:t>
      </w:r>
      <w:r>
        <w:rPr>
          <w:rStyle w:val="25"/>
          <w:rFonts w:hint="eastAsia" w:asciiTheme="minorEastAsia" w:hAnsiTheme="minorEastAsia" w:eastAsiaTheme="minorEastAsia" w:cstheme="minorEastAsia"/>
          <w:color w:val="auto"/>
          <w:sz w:val="21"/>
          <w:szCs w:val="21"/>
          <w:highlight w:val="none"/>
          <w:lang w:val="en-US"/>
        </w:rPr>
        <w:footnoteReference w:id="0"/>
      </w:r>
      <w:r>
        <w:rPr>
          <w:rFonts w:hint="eastAsia" w:asciiTheme="minorEastAsia" w:hAnsiTheme="minorEastAsia" w:eastAsiaTheme="minorEastAsia" w:cstheme="minorEastAsia"/>
          <w:color w:val="auto"/>
          <w:sz w:val="21"/>
          <w:szCs w:val="21"/>
          <w:highlight w:val="none"/>
          <w:lang w:val="en-US"/>
        </w:rPr>
        <w:t>，属于</w:t>
      </w:r>
      <w:r>
        <w:rPr>
          <w:rFonts w:hint="eastAsia" w:asciiTheme="minorEastAsia" w:hAnsiTheme="minorEastAsia" w:eastAsiaTheme="minorEastAsia" w:cstheme="minorEastAsia"/>
          <w:color w:val="auto"/>
          <w:sz w:val="21"/>
          <w:szCs w:val="21"/>
          <w:highlight w:val="none"/>
          <w:u w:val="single"/>
          <w:lang w:val="en-US"/>
        </w:rPr>
        <w:t>（中型企业、小型企业、微型企业）</w:t>
      </w:r>
      <w:r>
        <w:rPr>
          <w:rFonts w:hint="eastAsia" w:asciiTheme="minorEastAsia" w:hAnsiTheme="minorEastAsia" w:eastAsiaTheme="minorEastAsia" w:cstheme="minorEastAsia"/>
          <w:color w:val="auto"/>
          <w:sz w:val="21"/>
          <w:szCs w:val="21"/>
          <w:highlight w:val="none"/>
          <w:lang w:val="en-US"/>
        </w:rPr>
        <w:t>；</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    2.</w:t>
      </w:r>
      <w:r>
        <w:rPr>
          <w:rFonts w:hint="eastAsia" w:asciiTheme="minorEastAsia" w:hAnsiTheme="minorEastAsia" w:eastAsiaTheme="minorEastAsia" w:cstheme="minorEastAsia"/>
          <w:color w:val="auto"/>
          <w:sz w:val="21"/>
          <w:szCs w:val="21"/>
          <w:highlight w:val="none"/>
          <w:u w:val="single"/>
          <w:lang w:val="en-US"/>
        </w:rPr>
        <w:t>（标的名称）</w:t>
      </w:r>
      <w:r>
        <w:rPr>
          <w:rFonts w:hint="eastAsia" w:asciiTheme="minorEastAsia" w:hAnsiTheme="minorEastAsia" w:eastAsiaTheme="minorEastAsia" w:cstheme="minorEastAsia"/>
          <w:color w:val="auto"/>
          <w:sz w:val="21"/>
          <w:szCs w:val="21"/>
          <w:highlight w:val="none"/>
          <w:lang w:val="en-US"/>
        </w:rPr>
        <w:t>，属于</w:t>
      </w:r>
      <w:r>
        <w:rPr>
          <w:rFonts w:hint="eastAsia" w:asciiTheme="minorEastAsia" w:hAnsiTheme="minorEastAsia" w:eastAsiaTheme="minorEastAsia" w:cstheme="minorEastAsia"/>
          <w:color w:val="auto"/>
          <w:sz w:val="21"/>
          <w:szCs w:val="21"/>
          <w:highlight w:val="none"/>
          <w:u w:val="single"/>
          <w:lang w:val="en-US"/>
        </w:rPr>
        <w:t>（采购文件中明确的所属行业）行业</w:t>
      </w:r>
      <w:r>
        <w:rPr>
          <w:rFonts w:hint="eastAsia" w:asciiTheme="minorEastAsia" w:hAnsiTheme="minorEastAsia" w:eastAsiaTheme="minorEastAsia" w:cstheme="minorEastAsia"/>
          <w:color w:val="auto"/>
          <w:sz w:val="21"/>
          <w:szCs w:val="21"/>
          <w:highlight w:val="none"/>
          <w:lang w:val="en-US"/>
        </w:rPr>
        <w:t>；制造商为</w:t>
      </w:r>
      <w:r>
        <w:rPr>
          <w:rFonts w:hint="eastAsia" w:asciiTheme="minorEastAsia" w:hAnsiTheme="minorEastAsia" w:eastAsiaTheme="minorEastAsia" w:cstheme="minorEastAsia"/>
          <w:color w:val="auto"/>
          <w:sz w:val="21"/>
          <w:szCs w:val="21"/>
          <w:highlight w:val="none"/>
          <w:u w:val="single"/>
          <w:lang w:val="en-US"/>
        </w:rPr>
        <w:t>（企业名称）</w:t>
      </w:r>
      <w:r>
        <w:rPr>
          <w:rFonts w:hint="eastAsia" w:asciiTheme="minorEastAsia" w:hAnsiTheme="minorEastAsia" w:eastAsiaTheme="minorEastAsia" w:cstheme="minorEastAsia"/>
          <w:color w:val="auto"/>
          <w:sz w:val="21"/>
          <w:szCs w:val="21"/>
          <w:highlight w:val="none"/>
          <w:lang w:val="en-US"/>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rPr>
        <w:t>（中型企业、小型企业、微型企业）</w:t>
      </w:r>
      <w:r>
        <w:rPr>
          <w:rFonts w:hint="eastAsia" w:asciiTheme="minorEastAsia" w:hAnsiTheme="minorEastAsia" w:eastAsiaTheme="minorEastAsia" w:cstheme="minorEastAsia"/>
          <w:color w:val="auto"/>
          <w:sz w:val="21"/>
          <w:szCs w:val="21"/>
          <w:highlight w:val="none"/>
          <w:lang w:val="en-US"/>
        </w:rPr>
        <w:t>；</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以上企业，不属于大企业的分支机构，不存在控股股东为大企业的情形，也不存在与大企业的负责人为同一人的情形。</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本企业对上诉声明内容的真实性负责。如有虚假，将依法承担相应责任。</w:t>
      </w:r>
    </w:p>
    <w:p>
      <w:pPr>
        <w:pStyle w:val="2"/>
        <w:wordWrap w:val="0"/>
        <w:spacing w:line="360" w:lineRule="auto"/>
        <w:ind w:left="0" w:firstLine="480"/>
        <w:jc w:val="right"/>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    </w:t>
      </w:r>
    </w:p>
    <w:p>
      <w:pPr>
        <w:pStyle w:val="2"/>
        <w:spacing w:line="360" w:lineRule="auto"/>
        <w:ind w:firstLine="4830" w:firstLineChars="2300"/>
        <w:jc w:val="both"/>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企业名称（盖章）：</w:t>
      </w:r>
    </w:p>
    <w:p>
      <w:pPr>
        <w:pStyle w:val="2"/>
        <w:spacing w:line="360" w:lineRule="auto"/>
        <w:ind w:left="0" w:firstLine="480"/>
        <w:jc w:val="center"/>
        <w:rPr>
          <w:color w:val="auto"/>
          <w:highlight w:val="none"/>
          <w:lang w:val="en-US"/>
        </w:rPr>
      </w:pPr>
      <w:r>
        <w:rPr>
          <w:rFonts w:hint="eastAsia" w:asciiTheme="minorEastAsia" w:hAnsiTheme="minorEastAsia" w:eastAsiaTheme="minorEastAsia" w:cstheme="minorEastAsia"/>
          <w:color w:val="auto"/>
          <w:sz w:val="21"/>
          <w:szCs w:val="21"/>
          <w:highlight w:val="none"/>
          <w:lang w:val="en-US"/>
        </w:rPr>
        <w:t xml:space="preserve">                 日期：</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jc w:val="center"/>
        <w:rPr>
          <w:rFonts w:ascii="黑体" w:eastAsia="黑体"/>
          <w:color w:val="auto"/>
          <w:sz w:val="28"/>
          <w:szCs w:val="28"/>
          <w:highlight w:val="none"/>
        </w:rPr>
      </w:pPr>
      <w:r>
        <w:rPr>
          <w:rFonts w:hint="eastAsia" w:ascii="黑体" w:eastAsia="黑体"/>
          <w:color w:val="auto"/>
          <w:sz w:val="28"/>
          <w:szCs w:val="28"/>
          <w:highlight w:val="none"/>
        </w:rPr>
        <w:t>中小企业声明函（工程、服务）</w:t>
      </w:r>
    </w:p>
    <w:p>
      <w:pPr>
        <w:spacing w:line="360" w:lineRule="auto"/>
        <w:ind w:firstLine="220" w:firstLineChars="100"/>
        <w:rPr>
          <w:rFonts w:asciiTheme="minorEastAsia" w:hAnsiTheme="minorEastAsia" w:eastAsiaTheme="minorEastAsia" w:cstheme="minorEastAsia"/>
          <w:color w:val="auto"/>
          <w:sz w:val="21"/>
          <w:szCs w:val="21"/>
          <w:highlight w:val="none"/>
        </w:rPr>
      </w:pPr>
      <w:r>
        <w:rPr>
          <w:rFonts w:hint="eastAsia" w:eastAsiaTheme="minorEastAsia"/>
          <w:color w:val="auto"/>
          <w:highlight w:val="none"/>
        </w:rPr>
        <w:t xml:space="preserve">     </w:t>
      </w:r>
      <w:r>
        <w:rPr>
          <w:rFonts w:hint="eastAsia" w:asciiTheme="minorEastAsia" w:hAnsiTheme="minorEastAsia" w:eastAsiaTheme="minorEastAsia" w:cstheme="minorEastAsia"/>
          <w:color w:val="auto"/>
          <w:sz w:val="21"/>
          <w:szCs w:val="21"/>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rPr>
        <w:t>（单位名称）</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u w:val="single"/>
        </w:rPr>
        <w:t>（项目名称）</w:t>
      </w:r>
      <w:r>
        <w:rPr>
          <w:rFonts w:hint="eastAsia" w:asciiTheme="minorEastAsia" w:hAnsiTheme="minorEastAsia" w:eastAsiaTheme="minorEastAsia" w:cstheme="minorEastAsia"/>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    1.</w:t>
      </w:r>
      <w:r>
        <w:rPr>
          <w:rFonts w:hint="eastAsia" w:asciiTheme="minorEastAsia" w:hAnsiTheme="minorEastAsia" w:eastAsiaTheme="minorEastAsia" w:cstheme="minorEastAsia"/>
          <w:color w:val="auto"/>
          <w:sz w:val="21"/>
          <w:szCs w:val="21"/>
          <w:highlight w:val="none"/>
          <w:u w:val="single"/>
          <w:lang w:val="en-US"/>
        </w:rPr>
        <w:t>（标的名称）</w:t>
      </w:r>
      <w:r>
        <w:rPr>
          <w:rFonts w:hint="eastAsia" w:asciiTheme="minorEastAsia" w:hAnsiTheme="minorEastAsia" w:eastAsiaTheme="minorEastAsia" w:cstheme="minorEastAsia"/>
          <w:color w:val="auto"/>
          <w:sz w:val="21"/>
          <w:szCs w:val="21"/>
          <w:highlight w:val="none"/>
          <w:lang w:val="en-US"/>
        </w:rPr>
        <w:t>，属于</w:t>
      </w:r>
      <w:r>
        <w:rPr>
          <w:rFonts w:hint="eastAsia" w:asciiTheme="minorEastAsia" w:hAnsiTheme="minorEastAsia" w:eastAsiaTheme="minorEastAsia" w:cstheme="minorEastAsia"/>
          <w:color w:val="auto"/>
          <w:sz w:val="21"/>
          <w:szCs w:val="21"/>
          <w:highlight w:val="none"/>
          <w:u w:val="single"/>
          <w:lang w:val="en-US"/>
        </w:rPr>
        <w:t>（采购文件中明确的所属行业）行业</w:t>
      </w:r>
      <w:r>
        <w:rPr>
          <w:rFonts w:hint="eastAsia" w:asciiTheme="minorEastAsia" w:hAnsiTheme="minorEastAsia" w:eastAsiaTheme="minorEastAsia" w:cstheme="minorEastAsia"/>
          <w:color w:val="auto"/>
          <w:sz w:val="21"/>
          <w:szCs w:val="21"/>
          <w:highlight w:val="none"/>
          <w:lang w:val="en-US"/>
        </w:rPr>
        <w:t>；承建（承接）企业为</w:t>
      </w:r>
      <w:r>
        <w:rPr>
          <w:rFonts w:hint="eastAsia" w:asciiTheme="minorEastAsia" w:hAnsiTheme="minorEastAsia" w:eastAsiaTheme="minorEastAsia" w:cstheme="minorEastAsia"/>
          <w:color w:val="auto"/>
          <w:sz w:val="21"/>
          <w:szCs w:val="21"/>
          <w:highlight w:val="none"/>
          <w:u w:val="single"/>
          <w:lang w:val="en-US"/>
        </w:rPr>
        <w:t>（企业名称）</w:t>
      </w:r>
      <w:r>
        <w:rPr>
          <w:rFonts w:hint="eastAsia" w:asciiTheme="minorEastAsia" w:hAnsiTheme="minorEastAsia" w:eastAsiaTheme="minorEastAsia" w:cstheme="minorEastAsia"/>
          <w:color w:val="auto"/>
          <w:sz w:val="21"/>
          <w:szCs w:val="21"/>
          <w:highlight w:val="none"/>
          <w:lang w:val="en-US"/>
        </w:rPr>
        <w:t>，从业人员_______人，营业收入为_______万元，资产总额为______万元</w:t>
      </w:r>
      <w:r>
        <w:rPr>
          <w:rStyle w:val="25"/>
          <w:rFonts w:hint="eastAsia" w:asciiTheme="minorEastAsia" w:hAnsiTheme="minorEastAsia" w:eastAsiaTheme="minorEastAsia" w:cstheme="minorEastAsia"/>
          <w:color w:val="auto"/>
          <w:sz w:val="21"/>
          <w:szCs w:val="21"/>
          <w:highlight w:val="none"/>
          <w:lang w:val="en-US"/>
        </w:rPr>
        <w:footnoteReference w:id="1"/>
      </w:r>
      <w:r>
        <w:rPr>
          <w:rFonts w:hint="eastAsia" w:asciiTheme="minorEastAsia" w:hAnsiTheme="minorEastAsia" w:eastAsiaTheme="minorEastAsia" w:cstheme="minorEastAsia"/>
          <w:color w:val="auto"/>
          <w:sz w:val="21"/>
          <w:szCs w:val="21"/>
          <w:highlight w:val="none"/>
          <w:lang w:val="en-US"/>
        </w:rPr>
        <w:t>，属于</w:t>
      </w:r>
      <w:r>
        <w:rPr>
          <w:rFonts w:hint="eastAsia" w:asciiTheme="minorEastAsia" w:hAnsiTheme="minorEastAsia" w:eastAsiaTheme="minorEastAsia" w:cstheme="minorEastAsia"/>
          <w:color w:val="auto"/>
          <w:sz w:val="21"/>
          <w:szCs w:val="21"/>
          <w:highlight w:val="none"/>
          <w:u w:val="single"/>
          <w:lang w:val="en-US"/>
        </w:rPr>
        <w:t>（中型企业、小型企业、微型企业）</w:t>
      </w:r>
      <w:r>
        <w:rPr>
          <w:rFonts w:hint="eastAsia" w:asciiTheme="minorEastAsia" w:hAnsiTheme="minorEastAsia" w:eastAsiaTheme="minorEastAsia" w:cstheme="minorEastAsia"/>
          <w:color w:val="auto"/>
          <w:sz w:val="21"/>
          <w:szCs w:val="21"/>
          <w:highlight w:val="none"/>
          <w:lang w:val="en-US"/>
        </w:rPr>
        <w:t>；</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    2.</w:t>
      </w:r>
      <w:r>
        <w:rPr>
          <w:rFonts w:hint="eastAsia" w:asciiTheme="minorEastAsia" w:hAnsiTheme="minorEastAsia" w:eastAsiaTheme="minorEastAsia" w:cstheme="minorEastAsia"/>
          <w:color w:val="auto"/>
          <w:sz w:val="21"/>
          <w:szCs w:val="21"/>
          <w:highlight w:val="none"/>
          <w:u w:val="single"/>
          <w:lang w:val="en-US"/>
        </w:rPr>
        <w:t>（标的名称）</w:t>
      </w:r>
      <w:r>
        <w:rPr>
          <w:rFonts w:hint="eastAsia" w:asciiTheme="minorEastAsia" w:hAnsiTheme="minorEastAsia" w:eastAsiaTheme="minorEastAsia" w:cstheme="minorEastAsia"/>
          <w:color w:val="auto"/>
          <w:sz w:val="21"/>
          <w:szCs w:val="21"/>
          <w:highlight w:val="none"/>
          <w:lang w:val="en-US"/>
        </w:rPr>
        <w:t>，属于</w:t>
      </w:r>
      <w:r>
        <w:rPr>
          <w:rFonts w:hint="eastAsia" w:asciiTheme="minorEastAsia" w:hAnsiTheme="minorEastAsia" w:eastAsiaTheme="minorEastAsia" w:cstheme="minorEastAsia"/>
          <w:color w:val="auto"/>
          <w:sz w:val="21"/>
          <w:szCs w:val="21"/>
          <w:highlight w:val="none"/>
          <w:u w:val="single"/>
          <w:lang w:val="en-US"/>
        </w:rPr>
        <w:t>（采购文件中明确的所属行业）行业</w:t>
      </w:r>
      <w:r>
        <w:rPr>
          <w:rFonts w:hint="eastAsia" w:asciiTheme="minorEastAsia" w:hAnsiTheme="minorEastAsia" w:eastAsiaTheme="minorEastAsia" w:cstheme="minorEastAsia"/>
          <w:color w:val="auto"/>
          <w:sz w:val="21"/>
          <w:szCs w:val="21"/>
          <w:highlight w:val="none"/>
          <w:lang w:val="en-US"/>
        </w:rPr>
        <w:t>；承建（承接）企业为</w:t>
      </w:r>
      <w:r>
        <w:rPr>
          <w:rFonts w:hint="eastAsia" w:asciiTheme="minorEastAsia" w:hAnsiTheme="minorEastAsia" w:eastAsiaTheme="minorEastAsia" w:cstheme="minorEastAsia"/>
          <w:color w:val="auto"/>
          <w:sz w:val="21"/>
          <w:szCs w:val="21"/>
          <w:highlight w:val="none"/>
          <w:u w:val="single"/>
          <w:lang w:val="en-US"/>
        </w:rPr>
        <w:t>（企业名称）</w:t>
      </w:r>
      <w:r>
        <w:rPr>
          <w:rFonts w:hint="eastAsia" w:asciiTheme="minorEastAsia" w:hAnsiTheme="minorEastAsia" w:eastAsiaTheme="minorEastAsia" w:cstheme="minorEastAsia"/>
          <w:color w:val="auto"/>
          <w:sz w:val="21"/>
          <w:szCs w:val="21"/>
          <w:highlight w:val="none"/>
          <w:lang w:val="en-US"/>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rPr>
        <w:t>（中型企业、小型企业、微型企业）</w:t>
      </w:r>
      <w:r>
        <w:rPr>
          <w:rFonts w:hint="eastAsia" w:asciiTheme="minorEastAsia" w:hAnsiTheme="minorEastAsia" w:eastAsiaTheme="minorEastAsia" w:cstheme="minorEastAsia"/>
          <w:color w:val="auto"/>
          <w:sz w:val="21"/>
          <w:szCs w:val="21"/>
          <w:highlight w:val="none"/>
          <w:lang w:val="en-US"/>
        </w:rPr>
        <w:t>；</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以上企业，不属于大企业的分支机构，不存在控股股东为大企业的情形，也不存在与大企业的负责人为同一人的情形。</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本企业对上诉声明内容的真实性负责。如有虚假，将依法承担相应责任。</w:t>
      </w:r>
    </w:p>
    <w:p>
      <w:pPr>
        <w:pStyle w:val="2"/>
        <w:spacing w:line="360" w:lineRule="auto"/>
        <w:ind w:left="0" w:firstLine="48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    </w:t>
      </w:r>
    </w:p>
    <w:p>
      <w:pPr>
        <w:pStyle w:val="2"/>
        <w:spacing w:line="360" w:lineRule="auto"/>
        <w:ind w:firstLine="4830" w:firstLineChars="2300"/>
        <w:jc w:val="both"/>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企业名称（盖章）：</w:t>
      </w:r>
    </w:p>
    <w:p>
      <w:pPr>
        <w:pStyle w:val="2"/>
        <w:spacing w:line="360" w:lineRule="auto"/>
        <w:ind w:left="0" w:firstLine="480"/>
        <w:jc w:val="center"/>
        <w:rPr>
          <w:color w:val="auto"/>
          <w:highlight w:val="none"/>
          <w:lang w:val="en-US"/>
        </w:rPr>
      </w:pPr>
      <w:r>
        <w:rPr>
          <w:rFonts w:hint="eastAsia" w:asciiTheme="minorEastAsia" w:hAnsiTheme="minorEastAsia" w:eastAsiaTheme="minorEastAsia" w:cstheme="minorEastAsia"/>
          <w:color w:val="auto"/>
          <w:sz w:val="21"/>
          <w:szCs w:val="21"/>
          <w:highlight w:val="none"/>
          <w:lang w:val="en-US"/>
        </w:rPr>
        <w:t xml:space="preserve">                 日期：</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投标人应根据《政府采购促进中小企业发展管理办法》的通知（财库〔2020〕46号）的有关规定如实填写此表。（监狱企业视同小型、微型企业，监狱企业参加政府采购活动时，应当提供由省级以上监狱管理局、戒毒管理局(含新疆生产建设兵团)出具的属于监狱企业的证明文件）</w:t>
      </w:r>
    </w:p>
    <w:p>
      <w:pPr>
        <w:spacing w:after="0" w:line="480" w:lineRule="auto"/>
        <w:ind w:firstLine="422" w:firstLineChars="20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2、若投标人不属于规定的中小企业范围，或提供的产品不是中小企业制造的，则无需提供此表。</w:t>
      </w:r>
    </w:p>
    <w:p>
      <w:pPr>
        <w:spacing w:after="0" w:line="480" w:lineRule="auto"/>
        <w:ind w:firstLine="420" w:firstLineChars="200"/>
        <w:rPr>
          <w:rFonts w:ascii="楷体_GB2312" w:eastAsia="楷体_GB2312"/>
          <w:color w:val="auto"/>
          <w:sz w:val="24"/>
          <w:highlight w:val="none"/>
        </w:rPr>
      </w:pPr>
      <w:r>
        <w:rPr>
          <w:rFonts w:hint="eastAsia" w:ascii="宋体" w:hAnsi="宋体" w:eastAsia="宋体"/>
          <w:color w:val="auto"/>
          <w:sz w:val="21"/>
          <w:szCs w:val="21"/>
          <w:highlight w:val="none"/>
        </w:rPr>
        <w:t>3、投标人应该在《报价明细表》中单独列明属于小型和微型企业产品（货物、承担的工程或者服务）的报价，若投标人只提供《中小企业声明函》但未列明小型或微型企业产品的，在计算价格得分时不予以相应的扣除。</w:t>
      </w:r>
    </w:p>
    <w:p>
      <w:pPr>
        <w:rPr>
          <w:rFonts w:ascii="楷体_GB2312" w:eastAsia="楷体_GB2312"/>
          <w:color w:val="auto"/>
          <w:sz w:val="24"/>
          <w:highlight w:val="none"/>
        </w:rPr>
      </w:pP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6"/>
        <w:widowControl w:val="0"/>
        <w:overflowPunct w:val="0"/>
        <w:spacing w:before="0" w:after="0" w:line="240" w:lineRule="auto"/>
        <w:rPr>
          <w:rFonts w:ascii="楷体_GB2312" w:eastAsia="楷体_GB2312"/>
          <w:color w:val="auto"/>
          <w:sz w:val="24"/>
          <w:highlight w:val="none"/>
        </w:rPr>
      </w:pPr>
      <w:bookmarkStart w:id="158" w:name="_Toc28081"/>
      <w:r>
        <w:rPr>
          <w:rFonts w:hint="eastAsia" w:ascii="宋体" w:hAnsi="宋体" w:eastAsia="宋体"/>
          <w:color w:val="auto"/>
          <w:sz w:val="21"/>
          <w:szCs w:val="21"/>
          <w:highlight w:val="none"/>
        </w:rPr>
        <w:t>附件19.《残疾人福利性单位声明函》（残疾人福利性单位适用）</w:t>
      </w:r>
      <w:bookmarkEnd w:id="158"/>
    </w:p>
    <w:p>
      <w:pPr>
        <w:jc w:val="cente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残疾人福利性单位声明函</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本单位对上述声明的真实性负责。如有虚假，将依法承担相应责任。</w:t>
      </w:r>
    </w:p>
    <w:p>
      <w:pPr>
        <w:spacing w:after="0" w:line="480" w:lineRule="auto"/>
        <w:jc w:val="right"/>
        <w:rPr>
          <w:rFonts w:ascii="宋体" w:hAnsi="宋体" w:eastAsia="宋体"/>
          <w:color w:val="auto"/>
          <w:sz w:val="21"/>
          <w:szCs w:val="21"/>
          <w:highlight w:val="none"/>
        </w:rPr>
      </w:pPr>
    </w:p>
    <w:p>
      <w:pPr>
        <w:spacing w:after="0" w:line="480" w:lineRule="auto"/>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单位名称（盖章）：</w:t>
      </w:r>
      <w:bookmarkStart w:id="159" w:name="_Toc30247"/>
      <w:bookmarkStart w:id="160" w:name="_Toc17761"/>
      <w:bookmarkStart w:id="161" w:name="_Toc509844825"/>
      <w:bookmarkStart w:id="162" w:name="_Toc22970"/>
      <w:bookmarkStart w:id="163" w:name="_Toc20910"/>
      <w:bookmarkStart w:id="164" w:name="_Toc509927455"/>
      <w:bookmarkStart w:id="165" w:name="_Toc510171693"/>
      <w:bookmarkStart w:id="166" w:name="_Toc30277"/>
      <w:bookmarkStart w:id="167" w:name="_Toc508898066"/>
      <w:bookmarkStart w:id="168" w:name="_Toc508958703"/>
      <w:bookmarkStart w:id="169" w:name="_Toc509479530"/>
      <w:bookmarkStart w:id="170" w:name="_Toc508960153"/>
    </w:p>
    <w:p>
      <w:pPr>
        <w:spacing w:after="0" w:line="480" w:lineRule="auto"/>
        <w:jc w:val="right"/>
        <w:rPr>
          <w:rFonts w:ascii="宋体" w:hAnsi="宋体" w:eastAsia="宋体"/>
          <w:color w:val="auto"/>
          <w:sz w:val="21"/>
          <w:szCs w:val="21"/>
          <w:highlight w:val="none"/>
        </w:rPr>
      </w:pPr>
    </w:p>
    <w:p>
      <w:pPr>
        <w:spacing w:after="0" w:line="480" w:lineRule="auto"/>
        <w:jc w:val="right"/>
        <w:rPr>
          <w:rFonts w:ascii="宋体" w:hAnsi="宋体" w:eastAsia="宋体"/>
          <w:color w:val="auto"/>
          <w:sz w:val="21"/>
          <w:szCs w:val="21"/>
          <w:highlight w:val="none"/>
        </w:rPr>
      </w:pPr>
      <w:r>
        <w:rPr>
          <w:rFonts w:hint="eastAsia" w:ascii="宋体" w:hAnsi="宋体" w:eastAsia="宋体"/>
          <w:color w:val="auto"/>
          <w:sz w:val="21"/>
          <w:szCs w:val="21"/>
          <w:highlight w:val="none"/>
        </w:rPr>
        <w:t>日  期：</w:t>
      </w:r>
      <w:bookmarkEnd w:id="159"/>
      <w:bookmarkEnd w:id="160"/>
      <w:bookmarkEnd w:id="161"/>
      <w:bookmarkEnd w:id="162"/>
      <w:bookmarkEnd w:id="163"/>
      <w:bookmarkEnd w:id="164"/>
      <w:bookmarkEnd w:id="165"/>
      <w:bookmarkEnd w:id="166"/>
      <w:bookmarkEnd w:id="167"/>
      <w:bookmarkEnd w:id="168"/>
      <w:bookmarkEnd w:id="169"/>
      <w:bookmarkEnd w:id="170"/>
    </w:p>
    <w:p>
      <w:pPr>
        <w:pStyle w:val="2"/>
        <w:rPr>
          <w:color w:val="auto"/>
          <w:highlight w:val="none"/>
        </w:rPr>
      </w:pPr>
    </w:p>
    <w:p>
      <w:pPr>
        <w:spacing w:after="0" w:line="480" w:lineRule="auto"/>
        <w:ind w:firstLine="420" w:firstLineChars="200"/>
        <w:rPr>
          <w:rFonts w:ascii="宋体" w:hAnsi="宋体" w:eastAsia="宋体"/>
          <w:color w:val="auto"/>
          <w:sz w:val="21"/>
          <w:szCs w:val="21"/>
          <w:highlight w:val="none"/>
        </w:rPr>
      </w:pPr>
      <w:bookmarkStart w:id="171" w:name="_Toc21053"/>
      <w:bookmarkStart w:id="172" w:name="_Toc5447"/>
      <w:bookmarkStart w:id="173" w:name="_Toc509479531"/>
      <w:bookmarkStart w:id="174" w:name="_Toc28527"/>
      <w:bookmarkStart w:id="175" w:name="_Toc508960154"/>
      <w:bookmarkStart w:id="176" w:name="_Toc509844826"/>
      <w:bookmarkStart w:id="177" w:name="_Toc510171694"/>
      <w:bookmarkStart w:id="178" w:name="_Toc508898067"/>
      <w:bookmarkStart w:id="179" w:name="_Toc31520"/>
      <w:bookmarkStart w:id="180" w:name="_Toc508958704"/>
      <w:bookmarkStart w:id="181" w:name="_Toc26216"/>
      <w:bookmarkStart w:id="182" w:name="_Toc509927456"/>
      <w:r>
        <w:rPr>
          <w:rFonts w:hint="eastAsia" w:ascii="宋体" w:hAnsi="宋体" w:eastAsia="宋体"/>
          <w:color w:val="auto"/>
          <w:sz w:val="21"/>
          <w:szCs w:val="21"/>
          <w:highlight w:val="none"/>
        </w:rPr>
        <w:t>注：（1）符合《财政部 民政部 中国残疾人联合会关于促进残疾人就业政府采购政策的通知》（财库〔2017〕 141号）规定条件的残疾人福利性单位应当提供《残疾人福利性单位声明函》。</w:t>
      </w:r>
      <w:bookmarkEnd w:id="171"/>
      <w:bookmarkEnd w:id="172"/>
      <w:bookmarkEnd w:id="173"/>
      <w:bookmarkEnd w:id="174"/>
      <w:bookmarkEnd w:id="175"/>
      <w:bookmarkEnd w:id="176"/>
      <w:bookmarkEnd w:id="177"/>
      <w:bookmarkEnd w:id="178"/>
      <w:bookmarkEnd w:id="179"/>
      <w:bookmarkEnd w:id="180"/>
      <w:bookmarkEnd w:id="181"/>
      <w:bookmarkEnd w:id="182"/>
    </w:p>
    <w:p>
      <w:pPr>
        <w:spacing w:after="0" w:line="480" w:lineRule="auto"/>
        <w:ind w:firstLine="420" w:firstLineChars="200"/>
        <w:rPr>
          <w:rFonts w:ascii="宋体" w:hAnsi="宋体" w:eastAsia="宋体"/>
          <w:color w:val="auto"/>
          <w:sz w:val="21"/>
          <w:szCs w:val="21"/>
          <w:highlight w:val="none"/>
        </w:rPr>
      </w:pPr>
      <w:bookmarkStart w:id="183" w:name="_Toc28626"/>
      <w:bookmarkStart w:id="184" w:name="_Toc508898068"/>
      <w:bookmarkStart w:id="185" w:name="_Toc510171695"/>
      <w:bookmarkStart w:id="186" w:name="_Toc509927457"/>
      <w:bookmarkStart w:id="187" w:name="_Toc9148"/>
      <w:bookmarkStart w:id="188" w:name="_Toc509844827"/>
      <w:bookmarkStart w:id="189" w:name="_Toc28126"/>
      <w:bookmarkStart w:id="190" w:name="_Toc508958705"/>
      <w:bookmarkStart w:id="191" w:name="_Toc508960155"/>
      <w:bookmarkStart w:id="192" w:name="_Toc14653"/>
      <w:bookmarkStart w:id="193" w:name="_Toc24848"/>
      <w:bookmarkStart w:id="194" w:name="_Toc509479532"/>
      <w:r>
        <w:rPr>
          <w:rFonts w:hint="eastAsia" w:ascii="宋体" w:hAnsi="宋体" w:eastAsia="宋体"/>
          <w:color w:val="auto"/>
          <w:sz w:val="21"/>
          <w:szCs w:val="21"/>
          <w:highlight w:val="none"/>
        </w:rPr>
        <w:t>（2）中标人为残疾人福利性单位的，采购代理机构将随中标结果同时公告其《残疾人福利性单位声明函》，接受社会监督。</w:t>
      </w:r>
      <w:bookmarkEnd w:id="183"/>
      <w:bookmarkEnd w:id="184"/>
      <w:bookmarkEnd w:id="185"/>
      <w:bookmarkEnd w:id="186"/>
      <w:bookmarkEnd w:id="187"/>
      <w:bookmarkEnd w:id="188"/>
      <w:bookmarkEnd w:id="189"/>
      <w:bookmarkEnd w:id="190"/>
      <w:bookmarkEnd w:id="191"/>
      <w:bookmarkEnd w:id="192"/>
      <w:bookmarkEnd w:id="193"/>
      <w:bookmarkEnd w:id="194"/>
    </w:p>
    <w:p>
      <w:pPr>
        <w:spacing w:after="0" w:line="480" w:lineRule="auto"/>
        <w:ind w:firstLine="420" w:firstLineChars="200"/>
        <w:rPr>
          <w:rFonts w:ascii="宋体" w:hAnsi="宋体" w:eastAsia="宋体"/>
          <w:color w:val="auto"/>
          <w:sz w:val="21"/>
          <w:szCs w:val="21"/>
          <w:highlight w:val="none"/>
        </w:rPr>
      </w:pPr>
      <w:bookmarkStart w:id="195" w:name="_Toc28044"/>
      <w:bookmarkStart w:id="196" w:name="_Toc9837"/>
      <w:bookmarkStart w:id="197" w:name="_Toc28686"/>
      <w:bookmarkStart w:id="198" w:name="_Toc510171696"/>
      <w:bookmarkStart w:id="199" w:name="_Toc508958706"/>
      <w:bookmarkStart w:id="200" w:name="_Toc508960156"/>
      <w:bookmarkStart w:id="201" w:name="_Toc22981"/>
      <w:bookmarkStart w:id="202" w:name="_Toc7858"/>
      <w:bookmarkStart w:id="203" w:name="_Toc509927458"/>
      <w:bookmarkStart w:id="204" w:name="_Toc508898069"/>
      <w:bookmarkStart w:id="205" w:name="_Toc509479533"/>
      <w:bookmarkStart w:id="206" w:name="_Toc509844828"/>
      <w:r>
        <w:rPr>
          <w:rFonts w:hint="eastAsia" w:ascii="宋体" w:hAnsi="宋体" w:eastAsia="宋体"/>
          <w:color w:val="auto"/>
          <w:sz w:val="21"/>
          <w:szCs w:val="21"/>
          <w:highlight w:val="none"/>
        </w:rPr>
        <w:t>（3）投标人提供的《残疾人福利性单位声明函》与事实不符的，依照《政府采购法》第七十七条第一款的规定追究法律责任。</w:t>
      </w:r>
      <w:bookmarkEnd w:id="195"/>
      <w:bookmarkEnd w:id="196"/>
      <w:bookmarkEnd w:id="197"/>
      <w:bookmarkEnd w:id="198"/>
      <w:bookmarkEnd w:id="199"/>
      <w:bookmarkEnd w:id="200"/>
      <w:bookmarkEnd w:id="201"/>
      <w:bookmarkEnd w:id="202"/>
      <w:bookmarkEnd w:id="203"/>
      <w:bookmarkEnd w:id="204"/>
      <w:bookmarkEnd w:id="205"/>
      <w:bookmarkEnd w:id="206"/>
    </w:p>
    <w:p>
      <w:pPr>
        <w:spacing w:after="0" w:line="480" w:lineRule="auto"/>
        <w:ind w:firstLine="420" w:firstLineChars="200"/>
        <w:rPr>
          <w:rFonts w:ascii="宋体" w:hAnsi="宋体" w:eastAsia="宋体"/>
          <w:color w:val="auto"/>
          <w:sz w:val="21"/>
          <w:szCs w:val="21"/>
          <w:highlight w:val="none"/>
        </w:rPr>
      </w:pPr>
      <w:bookmarkStart w:id="207" w:name="_Toc18843"/>
      <w:bookmarkStart w:id="208" w:name="_Toc509479534"/>
      <w:bookmarkStart w:id="209" w:name="_Toc5289"/>
      <w:bookmarkStart w:id="210" w:name="_Toc508958707"/>
      <w:bookmarkStart w:id="211" w:name="_Toc508960157"/>
      <w:bookmarkStart w:id="212" w:name="_Toc508898070"/>
      <w:bookmarkStart w:id="213" w:name="_Toc509844829"/>
      <w:bookmarkStart w:id="214" w:name="_Toc509927459"/>
      <w:bookmarkStart w:id="215" w:name="_Toc510171697"/>
      <w:r>
        <w:rPr>
          <w:rFonts w:hint="eastAsia" w:ascii="宋体" w:hAnsi="宋体" w:eastAsia="宋体"/>
          <w:color w:val="auto"/>
          <w:sz w:val="21"/>
          <w:szCs w:val="21"/>
          <w:highlight w:val="none"/>
        </w:rPr>
        <w:t>（4）残疾人福利性单位视同小型、微型企业，享受评审中价格扣除。残疾人福利性单位属于小型、微型企业的，不重复享受政策。</w:t>
      </w:r>
      <w:bookmarkEnd w:id="207"/>
      <w:bookmarkEnd w:id="208"/>
      <w:bookmarkEnd w:id="209"/>
      <w:bookmarkEnd w:id="210"/>
      <w:bookmarkEnd w:id="211"/>
      <w:bookmarkEnd w:id="212"/>
      <w:bookmarkEnd w:id="213"/>
      <w:bookmarkEnd w:id="214"/>
      <w:bookmarkEnd w:id="215"/>
    </w:p>
    <w:p>
      <w:pPr>
        <w:spacing w:after="0" w:line="480" w:lineRule="auto"/>
        <w:ind w:firstLine="422" w:firstLineChars="20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（5）若投标人不属于规定的残疾人福利性单位，或提供的产品不是残疾人福利单位制造的，则无需提供此表。</w:t>
      </w:r>
    </w:p>
    <w:p>
      <w:pPr>
        <w:adjustRightInd/>
        <w:snapToGrid/>
        <w:spacing w:line="276"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br w:type="page"/>
      </w:r>
    </w:p>
    <w:p>
      <w:pPr>
        <w:pStyle w:val="6"/>
        <w:widowControl w:val="0"/>
        <w:overflowPunct w:val="0"/>
        <w:spacing w:before="0" w:after="0" w:line="240" w:lineRule="auto"/>
        <w:rPr>
          <w:color w:val="auto"/>
          <w:highlight w:val="none"/>
        </w:rPr>
      </w:pPr>
      <w:bookmarkStart w:id="216" w:name="_Toc25634"/>
      <w:r>
        <w:rPr>
          <w:rFonts w:hint="eastAsia" w:ascii="宋体" w:hAnsi="宋体" w:eastAsia="宋体"/>
          <w:color w:val="auto"/>
          <w:sz w:val="21"/>
          <w:szCs w:val="21"/>
          <w:highlight w:val="none"/>
        </w:rPr>
        <w:t>附件20. 投标保证金汇入情况说明格式</w:t>
      </w:r>
      <w:bookmarkEnd w:id="216"/>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投标保证金汇入情况说明</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致：广东政通招标有限公司：</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本单位已按项目包（采购项目编号：）的招标文件要求，于年月日前以</w:t>
      </w:r>
      <w:r>
        <w:rPr>
          <w:rFonts w:hint="eastAsia" w:ascii="宋体" w:hAnsi="宋体" w:eastAsia="宋体"/>
          <w:color w:val="auto"/>
          <w:sz w:val="21"/>
          <w:szCs w:val="21"/>
          <w:highlight w:val="none"/>
          <w:u w:val="single"/>
        </w:rPr>
        <w:t xml:space="preserve">           （付款形式）</w:t>
      </w:r>
      <w:r>
        <w:rPr>
          <w:rFonts w:hint="eastAsia" w:ascii="宋体" w:hAnsi="宋体" w:eastAsia="宋体"/>
          <w:color w:val="auto"/>
          <w:sz w:val="21"/>
          <w:szCs w:val="21"/>
          <w:highlight w:val="none"/>
        </w:rPr>
        <w:t>方式汇入指定帐户（帐户名称：，帐号： ,开户银行：）。</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本单位投标保证金的汇款情况：（详见附件－投标保证金进帐单）</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汇出时间：年月日；</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汇款金额：（大写）人民币元（小写：￥元），</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汇款帐户名称：</w:t>
      </w:r>
      <w:r>
        <w:rPr>
          <w:rFonts w:hint="eastAsia" w:ascii="宋体" w:hAnsi="宋体" w:eastAsia="宋体"/>
          <w:color w:val="auto"/>
          <w:sz w:val="21"/>
          <w:szCs w:val="21"/>
          <w:highlight w:val="none"/>
          <w:u w:val="single"/>
        </w:rPr>
        <w:t xml:space="preserve">  （必须是投标时使用的帐户名）   </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帐        号：</w:t>
      </w:r>
      <w:r>
        <w:rPr>
          <w:rFonts w:hint="eastAsia" w:ascii="宋体" w:hAnsi="宋体" w:eastAsia="宋体"/>
          <w:color w:val="auto"/>
          <w:sz w:val="21"/>
          <w:szCs w:val="21"/>
          <w:highlight w:val="none"/>
          <w:u w:val="single"/>
        </w:rPr>
        <w:t xml:space="preserve">  （必须是投标时使用的帐号）     </w:t>
      </w:r>
    </w:p>
    <w:p>
      <w:pPr>
        <w:spacing w:after="0" w:line="480" w:lineRule="auto"/>
        <w:ind w:firstLine="420" w:firstLineChars="200"/>
        <w:rPr>
          <w:rFonts w:ascii="宋体" w:hAnsi="宋体" w:eastAsia="宋体"/>
          <w:color w:val="auto"/>
          <w:sz w:val="21"/>
          <w:szCs w:val="21"/>
          <w:highlight w:val="none"/>
          <w:u w:val="single"/>
        </w:rPr>
      </w:pPr>
      <w:r>
        <w:rPr>
          <w:rFonts w:hint="eastAsia" w:ascii="宋体" w:hAnsi="宋体" w:eastAsia="宋体"/>
          <w:color w:val="auto"/>
          <w:sz w:val="21"/>
          <w:szCs w:val="21"/>
          <w:highlight w:val="none"/>
        </w:rPr>
        <w:t>开 户  银 行：</w:t>
      </w:r>
      <w:r>
        <w:rPr>
          <w:rFonts w:hint="eastAsia" w:ascii="宋体" w:hAnsi="宋体" w:eastAsia="宋体"/>
          <w:color w:val="auto"/>
          <w:sz w:val="21"/>
          <w:szCs w:val="21"/>
          <w:highlight w:val="none"/>
          <w:u w:val="single"/>
        </w:rPr>
        <w:t xml:space="preserve">  （      银行   分行  支行    ）</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本单位谨承诺上述资料是正确、真实的，如因上述证明与事实不符导致的一切损失，本单位保证承担赔偿等一切法律责任。</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投标保证金退回时，请按上述资料退回。</w:t>
      </w:r>
    </w:p>
    <w:p>
      <w:pPr>
        <w:spacing w:after="0" w:line="480" w:lineRule="auto"/>
        <w:ind w:right="884" w:rightChars="402"/>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（单位公章）</w:t>
      </w:r>
    </w:p>
    <w:p>
      <w:pPr>
        <w:spacing w:after="0" w:line="480" w:lineRule="auto"/>
        <w:ind w:right="658" w:rightChars="299"/>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年 月 日</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单位名称：</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单位地址：</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联系人：</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单位电话： </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联系人手机：</w:t>
      </w:r>
    </w:p>
    <w:p>
      <w:pPr>
        <w:spacing w:after="0"/>
        <w:rPr>
          <w:rFonts w:ascii="宋体" w:hAnsi="宋体" w:eastAsia="宋体"/>
          <w:color w:val="auto"/>
          <w:sz w:val="21"/>
          <w:szCs w:val="21"/>
          <w:highlight w:val="none"/>
        </w:rPr>
      </w:pP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附：我方投标保证金汇款凭证</w:t>
      </w:r>
    </w:p>
    <w:tbl>
      <w:tblPr>
        <w:tblStyle w:val="19"/>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pPr>
              <w:tabs>
                <w:tab w:val="left" w:pos="3885"/>
              </w:tabs>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（粘贴汇款单或转账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复印件，并在骑缝上加盖投标人公章，或是直接把转账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复印到此张纸上）</w:t>
            </w:r>
          </w:p>
        </w:tc>
      </w:tr>
    </w:tbl>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注：此表既要装订在投标文件中，又要按投标人须知的规定与开标一览表、投标保证金汇款底单复印件及授权委托书一同密封装入开标文件，开标文件单独提交。</w:t>
      </w:r>
    </w:p>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217" w:name="_Toc4363"/>
      <w:r>
        <w:rPr>
          <w:rFonts w:hint="eastAsia" w:ascii="宋体" w:hAnsi="宋体" w:eastAsia="宋体"/>
          <w:color w:val="auto"/>
          <w:sz w:val="21"/>
          <w:szCs w:val="21"/>
          <w:highlight w:val="none"/>
        </w:rPr>
        <w:t>附件21.政府采购投标担保函</w:t>
      </w:r>
      <w:bookmarkEnd w:id="217"/>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政府采购投标担保函</w:t>
      </w:r>
    </w:p>
    <w:p>
      <w:pPr>
        <w:wordWrap w:val="0"/>
        <w:jc w:val="right"/>
        <w:rPr>
          <w:rFonts w:ascii="仿宋_GB2312" w:eastAsia="仿宋_GB2312"/>
          <w:color w:val="auto"/>
          <w:sz w:val="32"/>
          <w:szCs w:val="32"/>
          <w:highlight w:val="none"/>
        </w:rPr>
      </w:pPr>
      <w:r>
        <w:rPr>
          <w:rFonts w:hint="eastAsia" w:ascii="黑体" w:eastAsia="黑体"/>
          <w:color w:val="auto"/>
          <w:sz w:val="28"/>
          <w:szCs w:val="28"/>
          <w:highlight w:val="none"/>
        </w:rPr>
        <w:t xml:space="preserve"> 编号：</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（采购人或采购代理机构）：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鉴于（以下简称“投标人”）拟参加编号为</w:t>
      </w:r>
      <w:r>
        <w:rPr>
          <w:rFonts w:hint="eastAsia" w:ascii="宋体" w:hAnsi="宋体" w:eastAsia="宋体" w:cs="宋体"/>
          <w:color w:val="auto"/>
          <w:sz w:val="21"/>
          <w:szCs w:val="21"/>
          <w:highlight w:val="none"/>
          <w:u w:val="single"/>
        </w:rPr>
        <w:t xml:space="preserve">            的</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spacing w:after="0" w:line="48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（一）在投标人出现下列情形之一时，我方承担保证责任：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1．中标后投标人无正当理由不与采购人或者采购代理机构签订《政府采购合同》；</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2．招标文件规定的投标人应当缴纳保证金的其他情形。</w:t>
      </w:r>
    </w:p>
    <w:p>
      <w:pPr>
        <w:spacing w:after="0" w:line="48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（二）我方承担保证责任的最高金额为人民币元（大写），即本项目的投标保证金金额。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我方的保证期间为：自本保函生效之日起个月止。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2．我方在收到索赔通知及相关证明材料后，在</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个工作日内进行审查，符合应承担保证责任情形的，我方应按照你方的要求代投标人向你方支付投标保证金。</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2．我方按照本保函向你贵方履行了保证责任后，自我方向你贵方支付款项（支付款项从我方账户划出）之日起，保证责任终止。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3．按照法律法规的规定或出现我方保证责任终止的其它情形的，我方在本保函项下的保证责任亦终止。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1．依照法律规定或你方与投标人的另行约定，全部或者部分免除投标人投标保证金义务时，我方亦免除相应的保证责任。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2．因你方原因致使投标人发生本保函第一条第（一）款约定情形的，我方不承担保证责任。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3．因不可抗力造成投标人发生本保函第一条约定情形的，我方不承担保证责任。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4．你方或其他有权机关对招标文件进行任何澄清或修改，加重我方保证责任的，我方对加重部分不承担保证责任，但该澄清或修改经我方事先书面同意的除外。</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因本保函发生的纠纷，由你我双方协商解决，协商不成的，通过诉讼程序解决，诉讼管辖地法院为法院。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spacing w:after="0" w:line="480" w:lineRule="auto"/>
        <w:jc w:val="right"/>
        <w:rPr>
          <w:rFonts w:ascii="宋体" w:hAnsi="宋体" w:eastAsia="宋体" w:cs="宋体"/>
          <w:color w:val="auto"/>
          <w:sz w:val="21"/>
          <w:szCs w:val="21"/>
          <w:highlight w:val="none"/>
        </w:rPr>
      </w:pP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spacing w:after="0"/>
        <w:rPr>
          <w:rFonts w:ascii="宋体" w:hAnsi="宋体" w:eastAsia="宋体"/>
          <w:color w:val="auto"/>
          <w:sz w:val="21"/>
          <w:szCs w:val="21"/>
          <w:highlight w:val="none"/>
        </w:rPr>
      </w:pP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（1）若投标人不以投标担保函形式提交投标保证金，则无需在投标文件中提供此格式。</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（2）若投标人以投标担保函形式提交投标保证金，则应将投标担保函原件交予采购代理机构。</w:t>
      </w:r>
    </w:p>
    <w:p>
      <w:pPr>
        <w:spacing w:after="0"/>
        <w:rPr>
          <w:rFonts w:ascii="黑体" w:eastAsia="黑体"/>
          <w:color w:val="auto"/>
          <w:sz w:val="30"/>
          <w:szCs w:val="30"/>
          <w:highlight w:val="none"/>
        </w:rPr>
      </w:pPr>
      <w:r>
        <w:rPr>
          <w:rFonts w:hint="eastAsia" w:ascii="宋体" w:hAnsi="宋体" w:eastAsia="宋体"/>
          <w:color w:val="auto"/>
          <w:sz w:val="21"/>
          <w:szCs w:val="21"/>
          <w:highlight w:val="none"/>
        </w:rPr>
        <w:br w:type="page"/>
      </w:r>
      <w:bookmarkStart w:id="218" w:name="_Toc27534"/>
      <w:r>
        <w:rPr>
          <w:rStyle w:val="29"/>
          <w:rFonts w:hint="eastAsia" w:ascii="宋体" w:hAnsi="宋体" w:eastAsia="宋体" w:cs="宋体"/>
          <w:color w:val="auto"/>
          <w:sz w:val="21"/>
          <w:szCs w:val="21"/>
          <w:highlight w:val="none"/>
        </w:rPr>
        <w:t>附件22.政府采购履约担保函</w:t>
      </w:r>
      <w:bookmarkEnd w:id="218"/>
    </w:p>
    <w:p>
      <w:pPr>
        <w:jc w:val="center"/>
        <w:rPr>
          <w:rFonts w:ascii="黑体" w:eastAsia="黑体"/>
          <w:color w:val="auto"/>
          <w:sz w:val="28"/>
          <w:szCs w:val="28"/>
          <w:highlight w:val="none"/>
        </w:rPr>
      </w:pPr>
      <w:r>
        <w:rPr>
          <w:rFonts w:hint="eastAsia" w:ascii="黑体" w:eastAsia="黑体"/>
          <w:color w:val="auto"/>
          <w:sz w:val="28"/>
          <w:szCs w:val="28"/>
          <w:highlight w:val="none"/>
        </w:rPr>
        <w:t>政府采购履约担保函</w:t>
      </w:r>
    </w:p>
    <w:p>
      <w:pPr>
        <w:wordWrap w:val="0"/>
        <w:jc w:val="right"/>
        <w:rPr>
          <w:rFonts w:ascii="仿宋_GB2312" w:eastAsia="仿宋_GB2312"/>
          <w:color w:val="auto"/>
          <w:sz w:val="32"/>
          <w:szCs w:val="32"/>
          <w:highlight w:val="none"/>
        </w:rPr>
      </w:pPr>
      <w:r>
        <w:rPr>
          <w:rFonts w:hint="eastAsia" w:ascii="黑体" w:eastAsia="黑体"/>
          <w:color w:val="auto"/>
          <w:sz w:val="28"/>
          <w:szCs w:val="28"/>
          <w:highlight w:val="none"/>
        </w:rPr>
        <w:t xml:space="preserve">编号：  </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鉴于你方与（以下简称供应商）于年月日签定编号为   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（一）在供应商出现下列情形之一时，我方承担保证责任：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1．将中标项目转让给他人，或者在投标文件中未说明，且未经采购招标机构人同意，将中标项目分包给他人的；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2．主合同约定的应当缴纳履约保证金的情形: </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（1）未按主合同约定的质量、数量和期限供应货物/提供服务/完成工程的；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p>
      <w:pPr>
        <w:spacing w:after="0" w:line="480" w:lineRule="auto"/>
        <w:ind w:right="-1291" w:rightChars="-587"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（二）我方的保证范围是主合同约定的合同价款总额</w:t>
      </w:r>
    </w:p>
    <w:p>
      <w:pPr>
        <w:spacing w:after="0" w:line="480" w:lineRule="auto"/>
        <w:ind w:right="26" w:rightChars="1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%数额为元（大写），为。（即主合同履约保证金金额）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我方保证的期间为：自本合同生效之日起至供应商按照主合同约定的供货/完工期限届满后日内。</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如果供应商未按主合同约定向贵方供应货物/提供服务/完成工程的，由我方在保证金额内向你方支付上述款项。</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1．你方要求我方承担保证责任的，应在本保函保证期间内向我方发出书面索赔通知。索赔通知应写明要求索赔的金额，支付款项应到达的帐号。并附有证明供应商违约事实的证明材料。</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如果你方与供应商因货物质量问题产生争议，你方还需同时提供部门出具的质量检测报告，或经诉讼（仲裁）程序裁决后的裁决书、调解书，本保证人即按照检测结果或裁决书、调解书决定是否承担保证责任。</w:t>
      </w:r>
    </w:p>
    <w:p>
      <w:pPr>
        <w:spacing w:after="0" w:line="480" w:lineRule="auto"/>
        <w:ind w:right="-726" w:rightChars="-330"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2．我方收到你方的书面索赔通知及相应证明材料，在</w:t>
      </w:r>
    </w:p>
    <w:p>
      <w:pPr>
        <w:spacing w:after="0" w:line="480" w:lineRule="auto"/>
        <w:ind w:right="-726" w:rightChars="-33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工作日内进行核定后按照本保函的承诺承担保证责任。</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2．我方按照本保函向你方履行了保证责任后，自我方向你方支付款项（支付款项从我方账户划出）之日起，保证责任即终止。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3．按照法律法规的规定或出现应终止我方保证责任的其它情形的，我方在本保函项下的保证责任亦终止。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1．因你方违反主合同约定致使供应商不能履行义务的，我方不承担保证责任。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2．依照法律法规的规定或你方与供应商的另行约定，全部或者部分免除供应商应缴纳的保证金义务的，我方亦免除相应的保证责任。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3．因不可抗力造成供应商不能履行供货义务的，我方不承担保证责任。</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因本保函发生的纠纷，由你我双方协商解决，协商不成的，通过诉讼程序解决，诉讼管辖地法院为法院。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spacing w:after="0" w:line="480" w:lineRule="auto"/>
        <w:rPr>
          <w:rFonts w:ascii="宋体" w:hAnsi="宋体" w:eastAsia="宋体" w:cs="宋体"/>
          <w:color w:val="auto"/>
          <w:sz w:val="21"/>
          <w:szCs w:val="21"/>
          <w:highlight w:val="none"/>
        </w:rPr>
      </w:pPr>
    </w:p>
    <w:p>
      <w:pPr>
        <w:spacing w:after="0" w:line="480" w:lineRule="auto"/>
        <w:rPr>
          <w:rFonts w:ascii="宋体" w:hAnsi="宋体" w:eastAsia="宋体" w:cs="宋体"/>
          <w:color w:val="auto"/>
          <w:sz w:val="21"/>
          <w:szCs w:val="21"/>
          <w:highlight w:val="none"/>
        </w:rPr>
      </w:pP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（1）此格式为履约担保函格式，无需在投标文件中提供此格式。</w:t>
      </w:r>
    </w:p>
    <w:p>
      <w:pPr>
        <w:pStyle w:val="2"/>
        <w:rPr>
          <w:color w:val="auto"/>
          <w:highlight w:val="none"/>
        </w:rPr>
      </w:pPr>
    </w:p>
    <w:p>
      <w:pPr>
        <w:pStyle w:val="4"/>
        <w:spacing w:before="0" w:after="0" w:line="24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br w:type="page"/>
      </w:r>
    </w:p>
    <w:p>
      <w:pPr>
        <w:pStyle w:val="6"/>
        <w:spacing w:before="0" w:after="0" w:line="240" w:lineRule="auto"/>
        <w:rPr>
          <w:rFonts w:ascii="宋体" w:hAnsi="宋体" w:eastAsia="宋体" w:cs="宋体"/>
          <w:color w:val="auto"/>
          <w:sz w:val="21"/>
          <w:szCs w:val="21"/>
          <w:highlight w:val="none"/>
        </w:rPr>
      </w:pPr>
      <w:bookmarkStart w:id="219" w:name="_Toc17023"/>
      <w:r>
        <w:rPr>
          <w:rFonts w:hint="eastAsia" w:ascii="宋体" w:hAnsi="宋体" w:eastAsia="宋体" w:cs="宋体"/>
          <w:color w:val="auto"/>
          <w:sz w:val="21"/>
          <w:szCs w:val="21"/>
          <w:highlight w:val="none"/>
        </w:rPr>
        <w:t>附件23.获取招标文件登记表</w:t>
      </w:r>
      <w:bookmarkEnd w:id="219"/>
    </w:p>
    <w:p>
      <w:pPr>
        <w:pStyle w:val="4"/>
        <w:spacing w:before="0" w:after="0" w:line="240" w:lineRule="auto"/>
        <w:jc w:val="center"/>
        <w:rPr>
          <w:rFonts w:ascii="黑体" w:hAnsi="宋体"/>
          <w:color w:val="auto"/>
          <w:sz w:val="44"/>
          <w:szCs w:val="44"/>
          <w:highlight w:val="none"/>
        </w:rPr>
      </w:pPr>
      <w:bookmarkStart w:id="220" w:name="_Toc1968"/>
    </w:p>
    <w:p>
      <w:pPr>
        <w:spacing w:after="0"/>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获取招标文件登记表</w:t>
      </w:r>
      <w:bookmarkEnd w:id="220"/>
    </w:p>
    <w:tbl>
      <w:tblPr>
        <w:tblStyle w:val="20"/>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30"/>
        <w:gridCol w:w="58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获取招标文件时间</w:t>
            </w:r>
          </w:p>
        </w:tc>
        <w:tc>
          <w:tcPr>
            <w:tcW w:w="5898"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2021年    月    日    时    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拟投标项目名称</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项目编号</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供应商联系人</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电话</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手机</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传真</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电子邮箱</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单位地址及邮编</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76"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备注</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招标文件领取人签名</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招标文件发售人签名</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招标文件售价</w:t>
            </w:r>
          </w:p>
        </w:tc>
        <w:tc>
          <w:tcPr>
            <w:tcW w:w="5898"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人民币150元/份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8528" w:type="dxa"/>
            <w:gridSpan w:val="2"/>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注：开完发票后请把报名表格交还至前台</w:t>
            </w:r>
          </w:p>
        </w:tc>
      </w:tr>
    </w:tbl>
    <w:p>
      <w:pPr>
        <w:rPr>
          <w:rFonts w:ascii="宋体" w:hAnsi="宋体" w:eastAsia="宋体" w:cs="宋体"/>
          <w:color w:val="auto"/>
          <w:sz w:val="21"/>
          <w:szCs w:val="21"/>
          <w:highlight w:val="none"/>
        </w:rPr>
      </w:pPr>
    </w:p>
    <w:p>
      <w:pPr>
        <w:rPr>
          <w:color w:val="auto"/>
          <w:highlight w:val="none"/>
        </w:rPr>
      </w:pPr>
      <w:r>
        <w:rPr>
          <w:color w:val="auto"/>
          <w:highlight w:val="none"/>
        </w:rPr>
        <w:br w:type="page"/>
      </w:r>
    </w:p>
    <w:p>
      <w:pPr>
        <w:pStyle w:val="6"/>
        <w:spacing w:before="0" w:after="0" w:line="240" w:lineRule="auto"/>
        <w:rPr>
          <w:rFonts w:ascii="宋体" w:hAnsi="宋体" w:eastAsia="宋体" w:cs="宋体"/>
          <w:color w:val="auto"/>
          <w:sz w:val="21"/>
          <w:szCs w:val="21"/>
          <w:highlight w:val="none"/>
        </w:rPr>
      </w:pPr>
      <w:bookmarkStart w:id="221" w:name="_Toc11182"/>
      <w:r>
        <w:rPr>
          <w:rFonts w:hint="eastAsia" w:ascii="宋体" w:hAnsi="宋体" w:eastAsia="宋体" w:cs="宋体"/>
          <w:color w:val="auto"/>
          <w:sz w:val="21"/>
          <w:szCs w:val="21"/>
          <w:highlight w:val="none"/>
        </w:rPr>
        <w:t>附件 24.质疑函范本</w:t>
      </w:r>
      <w:bookmarkEnd w:id="221"/>
    </w:p>
    <w:p>
      <w:pPr>
        <w:spacing w:after="0" w:line="360" w:lineRule="auto"/>
        <w:jc w:val="center"/>
        <w:rPr>
          <w:rFonts w:ascii="宋体" w:hAnsi="宋体" w:eastAsia="宋体" w:cs="宋体"/>
          <w:color w:val="auto"/>
          <w:sz w:val="21"/>
          <w:szCs w:val="21"/>
          <w:highlight w:val="none"/>
        </w:rPr>
      </w:pPr>
    </w:p>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1.质疑函</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一、质疑供应商基本信息</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质疑供应商：</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地址：邮编：</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联系人：联系电话：</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授权代表：</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联系电话：</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地址：邮编：</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二、质疑项目基本情况</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质疑项目的名称：</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质疑项目的编号：包号：</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采购人名称：</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采购文件获取日期：</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三、质疑事项具体内容</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质疑事项1：</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事实依据：</w:t>
      </w:r>
    </w:p>
    <w:p>
      <w:pPr>
        <w:spacing w:after="0" w:line="360" w:lineRule="auto"/>
        <w:rPr>
          <w:rFonts w:ascii="宋体" w:hAnsi="宋体" w:eastAsia="宋体" w:cs="宋体"/>
          <w:color w:val="auto"/>
          <w:sz w:val="21"/>
          <w:szCs w:val="21"/>
          <w:highlight w:val="none"/>
          <w:u w:val="single"/>
        </w:rPr>
      </w:pP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法律依据：</w:t>
      </w: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质疑事项2</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四、与质疑事项相关的质疑请求</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请求：</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质疑函制作说明：</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质疑供应商提交质疑函时须提供质疑函、法人或者非法人组织的营业执照等证明文件或自然人的身份证复印件（质疑供应商为自然人）。如不是法定代表人或主要负责人提交质疑函的，应同时提供法定代表人或主要负责人有效的授权委托书。</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8.质疑函递交地址为采购代理机构办公地址，详细地址详见投标邀请书。</w:t>
      </w:r>
    </w:p>
    <w:p>
      <w:pPr>
        <w:pStyle w:val="2"/>
        <w:rPr>
          <w:color w:val="auto"/>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2.询问函、质疑函授权书参考格式</w:t>
      </w:r>
    </w:p>
    <w:p>
      <w:pPr>
        <w:spacing w:after="0" w:line="360" w:lineRule="auto"/>
        <w:rPr>
          <w:rFonts w:ascii="宋体" w:hAnsi="宋体" w:eastAsia="宋体" w:cs="宋体"/>
          <w:color w:val="auto"/>
          <w:sz w:val="21"/>
          <w:szCs w:val="21"/>
          <w:highlight w:val="none"/>
        </w:rPr>
      </w:pPr>
    </w:p>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法定代表人或负责人授权委托书</w:t>
      </w: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本委托书声明：在下面签字的</w:t>
      </w:r>
      <w:r>
        <w:rPr>
          <w:rFonts w:hint="eastAsia" w:ascii="宋体" w:hAnsi="宋体" w:eastAsia="宋体" w:cs="宋体"/>
          <w:color w:val="auto"/>
          <w:sz w:val="21"/>
          <w:szCs w:val="21"/>
          <w:highlight w:val="none"/>
          <w:u w:val="single"/>
        </w:rPr>
        <w:t xml:space="preserve">           （法定代表人或负责人姓名、职务）</w:t>
      </w:r>
      <w:r>
        <w:rPr>
          <w:rFonts w:hint="eastAsia" w:ascii="宋体" w:hAnsi="宋体" w:eastAsia="宋体" w:cs="宋体"/>
          <w:color w:val="auto"/>
          <w:sz w:val="21"/>
          <w:szCs w:val="21"/>
          <w:highlight w:val="none"/>
        </w:rPr>
        <w:t xml:space="preserve">代表 </w:t>
      </w:r>
      <w:r>
        <w:rPr>
          <w:rFonts w:hint="eastAsia" w:ascii="宋体" w:hAnsi="宋体" w:eastAsia="宋体" w:cs="宋体"/>
          <w:color w:val="auto"/>
          <w:sz w:val="21"/>
          <w:szCs w:val="21"/>
          <w:highlight w:val="none"/>
          <w:u w:val="single"/>
        </w:rPr>
        <w:t xml:space="preserve">            （供应商名称）</w:t>
      </w:r>
      <w:r>
        <w:rPr>
          <w:rFonts w:hint="eastAsia" w:ascii="宋体" w:hAnsi="宋体" w:eastAsia="宋体" w:cs="宋体"/>
          <w:color w:val="auto"/>
          <w:sz w:val="21"/>
          <w:szCs w:val="21"/>
          <w:highlight w:val="none"/>
        </w:rPr>
        <w:t>委托在下面签字的</w:t>
      </w:r>
      <w:r>
        <w:rPr>
          <w:rFonts w:hint="eastAsia" w:ascii="宋体" w:hAnsi="宋体" w:eastAsia="宋体" w:cs="宋体"/>
          <w:color w:val="auto"/>
          <w:sz w:val="21"/>
          <w:szCs w:val="21"/>
          <w:highlight w:val="none"/>
          <w:u w:val="single"/>
        </w:rPr>
        <w:t xml:space="preserve">          （授权代表的姓名、职务）</w:t>
      </w:r>
      <w:r>
        <w:rPr>
          <w:rFonts w:hint="eastAsia" w:ascii="宋体" w:hAnsi="宋体" w:eastAsia="宋体" w:cs="宋体"/>
          <w:color w:val="auto"/>
          <w:sz w:val="21"/>
          <w:szCs w:val="21"/>
          <w:highlight w:val="none"/>
        </w:rPr>
        <w:t>为本公司的合法代表人，就采购项目（采购编号：</w:t>
      </w:r>
      <w:r>
        <w:rPr>
          <w:rFonts w:hint="eastAsia" w:ascii="宋体" w:hAnsi="宋体" w:eastAsia="宋体" w:cs="宋体"/>
          <w:color w:val="auto"/>
          <w:sz w:val="21"/>
          <w:szCs w:val="21"/>
          <w:highlight w:val="none"/>
          <w:u w:val="single"/>
        </w:rPr>
        <w:t xml:space="preserve">          ）             （填写授权内容）</w:t>
      </w:r>
      <w:r>
        <w:rPr>
          <w:rFonts w:hint="eastAsia" w:ascii="宋体" w:hAnsi="宋体" w:eastAsia="宋体" w:cs="宋体"/>
          <w:color w:val="auto"/>
          <w:sz w:val="21"/>
          <w:szCs w:val="21"/>
          <w:highlight w:val="none"/>
        </w:rPr>
        <w:t>，以本公司的名义处理一切与之有关的事宜</w:t>
      </w:r>
      <w:r>
        <w:rPr>
          <w:rFonts w:hint="eastAsia" w:ascii="宋体" w:hAnsi="宋体" w:eastAsia="宋体" w:cs="宋体"/>
          <w:color w:val="auto"/>
          <w:sz w:val="21"/>
          <w:szCs w:val="21"/>
          <w:highlight w:val="none"/>
          <w:u w:val="single"/>
        </w:rPr>
        <w:t>（须提供法定代表人或负责人、授权代表身份证复印件）。</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本委托书于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日签字生效。</w:t>
      </w: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供应商名称（加盖公章）：</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法定代表人或负责人（签名或盖私章）：</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授权代表（签名或盖私章）：</w:t>
      </w:r>
    </w:p>
    <w:p>
      <w:pPr>
        <w:spacing w:after="0" w:line="360" w:lineRule="auto"/>
        <w:rPr>
          <w:rFonts w:ascii="仿宋" w:hAnsi="仿宋" w:eastAsia="仿宋"/>
          <w:color w:val="auto"/>
          <w:sz w:val="24"/>
          <w:highlight w:val="none"/>
        </w:rPr>
      </w:pPr>
      <w:r>
        <w:rPr>
          <w:rFonts w:hint="eastAsia" w:ascii="宋体" w:hAnsi="宋体" w:eastAsia="宋体" w:cs="宋体"/>
          <w:color w:val="auto"/>
          <w:sz w:val="21"/>
          <w:szCs w:val="21"/>
          <w:highlight w:val="none"/>
        </w:rPr>
        <w:t>日期：</w:t>
      </w:r>
    </w:p>
    <w:p>
      <w:pPr>
        <w:rPr>
          <w:color w:val="auto"/>
          <w:highlight w:val="none"/>
        </w:rPr>
      </w:pPr>
    </w:p>
    <w:sectPr>
      <w:footerReference r:id="rId11" w:type="first"/>
      <w:footerReference r:id="rId10" w:type="default"/>
      <w:pgSz w:w="11906" w:h="16838"/>
      <w:pgMar w:top="1440" w:right="1800" w:bottom="1440" w:left="1800" w:header="708" w:footer="708" w:gutter="0"/>
      <w:pgNumType w:start="1"/>
      <w:cols w:space="708"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康简标题宋">
    <w:altName w:val="宋体"/>
    <w:panose1 w:val="0201060900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2"/>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86</w:instrText>
                          </w:r>
                          <w:r>
                            <w:fldChar w:fldCharType="end"/>
                          </w:r>
                          <w:r>
                            <w:rPr>
                              <w:rFonts w:hint="eastAsia"/>
                            </w:rPr>
                            <w:instrText xml:space="preserve">-1</w:instrText>
                          </w:r>
                          <w:r>
                            <w:fldChar w:fldCharType="separate"/>
                          </w:r>
                          <w:r>
                            <w:t>85</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Bx8o09MBAACnAwAADgAAAAAAAAABACAAAAAeAQAA&#10;ZHJzL2Uyb0RvYy54bWxQSwUGAAAAAAYABgBZAQAAYwUAAAAA&#10;">
              <v:fill on="f" focussize="0,0"/>
              <v:stroke on="f"/>
              <v:imagedata o:title=""/>
              <o:lock v:ext="edit" aspectratio="f"/>
              <v:textbox inset="0mm,0mm,0mm,0mm" style="mso-fit-shape-to-text:t;">
                <w:txbxContent>
                  <w:p>
                    <w:pPr>
                      <w:pStyle w:val="12"/>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86</w:instrText>
                    </w:r>
                    <w:r>
                      <w:fldChar w:fldCharType="end"/>
                    </w:r>
                    <w:r>
                      <w:rPr>
                        <w:rFonts w:hint="eastAsia"/>
                      </w:rPr>
                      <w:instrText xml:space="preserve">-1</w:instrText>
                    </w:r>
                    <w:r>
                      <w:fldChar w:fldCharType="separate"/>
                    </w:r>
                    <w:r>
                      <w:t>85</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2"/>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86</w:instrText>
                          </w:r>
                          <w:r>
                            <w:fldChar w:fldCharType="end"/>
                          </w:r>
                          <w:r>
                            <w:rPr>
                              <w:rFonts w:hint="eastAsia"/>
                            </w:rPr>
                            <w:instrText xml:space="preserve">-1</w:instrText>
                          </w:r>
                          <w:r>
                            <w:fldChar w:fldCharType="separate"/>
                          </w:r>
                          <w:r>
                            <w:t>85</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Vi3kDRAQAApwMAAA4AAAAAAAAAAQAgAAAAHgEAAGRy&#10;cy9lMm9Eb2MueG1sUEsFBgAAAAAGAAYAWQEAAGEFAAAAAA==&#10;">
              <v:fill on="f" focussize="0,0"/>
              <v:stroke on="f"/>
              <v:imagedata o:title=""/>
              <o:lock v:ext="edit" aspectratio="f"/>
              <v:textbox inset="0mm,0mm,0mm,0mm" style="mso-fit-shape-to-text:t;">
                <w:txbxContent>
                  <w:p>
                    <w:pPr>
                      <w:pStyle w:val="12"/>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86</w:instrText>
                    </w:r>
                    <w:r>
                      <w:fldChar w:fldCharType="end"/>
                    </w:r>
                    <w:r>
                      <w:rPr>
                        <w:rFonts w:hint="eastAsia"/>
                      </w:rPr>
                      <w:instrText xml:space="preserve">-1</w:instrText>
                    </w:r>
                    <w:r>
                      <w:fldChar w:fldCharType="separate"/>
                    </w:r>
                    <w:r>
                      <w:t>85</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pPr>
      <w:r>
        <w:separator/>
      </w:r>
    </w:p>
  </w:footnote>
  <w:footnote w:type="continuationSeparator" w:id="5">
    <w:p>
      <w:pPr>
        <w:spacing w:before="0" w:after="0"/>
      </w:pPr>
      <w:r>
        <w:continuationSeparator/>
      </w:r>
    </w:p>
  </w:footnote>
  <w:footnote w:id="0">
    <w:p>
      <w:pPr>
        <w:pStyle w:val="16"/>
      </w:pPr>
      <w:r>
        <w:rPr>
          <w:rStyle w:val="25"/>
        </w:rPr>
        <w:footnoteRef/>
      </w:r>
      <w:r>
        <w:t xml:space="preserve"> </w:t>
      </w:r>
      <w:r>
        <w:rPr>
          <w:rFonts w:hint="eastAsia"/>
        </w:rPr>
        <w:t>从业人员、营业人员、资产总额填报上一年度数据，无上一年度数据的新成立企业可不填报。</w:t>
      </w:r>
    </w:p>
  </w:footnote>
  <w:footnote w:id="1">
    <w:p>
      <w:pPr>
        <w:pStyle w:val="16"/>
      </w:pPr>
      <w:r>
        <w:rPr>
          <w:rStyle w:val="25"/>
        </w:rPr>
        <w:footnoteRef/>
      </w:r>
      <w:r>
        <w:t xml:space="preserve">  </w:t>
      </w:r>
      <w:r>
        <w:rPr>
          <w:rFonts w:hint="eastAsia"/>
        </w:rPr>
        <w:t>从业人员、营业人员、资产总额填报上一年度数据，无上一年度数据的新成立企业可不填报。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r>
      <w:rPr>
        <w:rFonts w:hint="eastAsia"/>
      </w:rPr>
      <w:t>东莞市政府采购公开招标文件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87489"/>
    <w:multiLevelType w:val="singleLevel"/>
    <w:tmpl w:val="93587489"/>
    <w:lvl w:ilvl="0" w:tentative="0">
      <w:start w:val="1"/>
      <w:numFmt w:val="decimal"/>
      <w:suff w:val="nothing"/>
      <w:lvlText w:val="%1、"/>
      <w:lvlJc w:val="left"/>
    </w:lvl>
  </w:abstractNum>
  <w:abstractNum w:abstractNumId="1">
    <w:nsid w:val="BAA12ADA"/>
    <w:multiLevelType w:val="singleLevel"/>
    <w:tmpl w:val="BAA12ADA"/>
    <w:lvl w:ilvl="0" w:tentative="0">
      <w:start w:val="1"/>
      <w:numFmt w:val="decimal"/>
      <w:suff w:val="nothing"/>
      <w:lvlText w:val="（%1）"/>
      <w:lvlJc w:val="left"/>
    </w:lvl>
  </w:abstractNum>
  <w:abstractNum w:abstractNumId="2">
    <w:nsid w:val="CFF174A5"/>
    <w:multiLevelType w:val="singleLevel"/>
    <w:tmpl w:val="CFF174A5"/>
    <w:lvl w:ilvl="0" w:tentative="0">
      <w:start w:val="1"/>
      <w:numFmt w:val="decimal"/>
      <w:suff w:val="nothing"/>
      <w:lvlText w:val="%1、"/>
      <w:lvlJc w:val="left"/>
    </w:lvl>
  </w:abstractNum>
  <w:abstractNum w:abstractNumId="3">
    <w:nsid w:val="D0047B7E"/>
    <w:multiLevelType w:val="singleLevel"/>
    <w:tmpl w:val="D0047B7E"/>
    <w:lvl w:ilvl="0" w:tentative="0">
      <w:start w:val="1"/>
      <w:numFmt w:val="decimal"/>
      <w:suff w:val="nothing"/>
      <w:lvlText w:val="%1、"/>
      <w:lvlJc w:val="left"/>
    </w:lvl>
  </w:abstractNum>
  <w:abstractNum w:abstractNumId="4">
    <w:nsid w:val="E09EF6E1"/>
    <w:multiLevelType w:val="singleLevel"/>
    <w:tmpl w:val="E09EF6E1"/>
    <w:lvl w:ilvl="0" w:tentative="0">
      <w:start w:val="1"/>
      <w:numFmt w:val="decimal"/>
      <w:suff w:val="nothing"/>
      <w:lvlText w:val="（%1）"/>
      <w:lvlJc w:val="left"/>
    </w:lvl>
  </w:abstractNum>
  <w:abstractNum w:abstractNumId="5">
    <w:nsid w:val="F73DC5D7"/>
    <w:multiLevelType w:val="singleLevel"/>
    <w:tmpl w:val="F73DC5D7"/>
    <w:lvl w:ilvl="0" w:tentative="0">
      <w:start w:val="1"/>
      <w:numFmt w:val="decimal"/>
      <w:suff w:val="nothing"/>
      <w:lvlText w:val="（%1）"/>
      <w:lvlJc w:val="left"/>
    </w:lvl>
  </w:abstractNum>
  <w:abstractNum w:abstractNumId="6">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8"/>
    <w:multiLevelType w:val="multilevel"/>
    <w:tmpl w:val="00000008"/>
    <w:lvl w:ilvl="0" w:tentative="0">
      <w:start w:val="1"/>
      <w:numFmt w:val="chineseCountingThousand"/>
      <w:suff w:val="space"/>
      <w:lvlText w:val="第%1部分"/>
      <w:lvlJc w:val="center"/>
      <w:pPr>
        <w:ind w:left="3780"/>
      </w:pPr>
      <w:rPr>
        <w:rFonts w:hint="eastAsia" w:eastAsia="华康简标题宋"/>
        <w:b/>
        <w:bCs/>
        <w:i w:val="0"/>
        <w:iCs w:val="0"/>
        <w:sz w:val="32"/>
        <w:szCs w:val="32"/>
      </w:rPr>
    </w:lvl>
    <w:lvl w:ilvl="1" w:tentative="0">
      <w:start w:val="1"/>
      <w:numFmt w:val="decimal"/>
      <w:pStyle w:val="48"/>
      <w:suff w:val="space"/>
      <w:lvlText w:val="%2."/>
      <w:lvlJc w:val="left"/>
      <w:pPr>
        <w:ind w:left="360"/>
      </w:pPr>
      <w:rPr>
        <w:rFonts w:hint="default" w:ascii="Times New Roman" w:hAnsi="Times New Roman" w:eastAsia="宋体"/>
        <w:b/>
        <w:bCs/>
        <w:i w:val="0"/>
        <w:iCs w:val="0"/>
        <w:sz w:val="24"/>
        <w:szCs w:val="24"/>
      </w:rPr>
    </w:lvl>
    <w:lvl w:ilvl="2" w:tentative="0">
      <w:start w:val="1"/>
      <w:numFmt w:val="decimal"/>
      <w:suff w:val="space"/>
      <w:lvlText w:val="%2.%3"/>
      <w:lvlJc w:val="left"/>
      <w:pPr>
        <w:ind w:firstLine="425"/>
      </w:pPr>
      <w:rPr>
        <w:rFonts w:hint="default" w:ascii="Times New Roman" w:hAnsi="Times New Roman" w:eastAsia="宋体"/>
        <w:b w:val="0"/>
        <w:bCs w:val="0"/>
        <w:i w:val="0"/>
        <w:iCs w:val="0"/>
        <w:color w:val="auto"/>
        <w:sz w:val="24"/>
        <w:szCs w:val="24"/>
      </w:rPr>
    </w:lvl>
    <w:lvl w:ilvl="3" w:tentative="0">
      <w:start w:val="1"/>
      <w:numFmt w:val="lowerLetter"/>
      <w:suff w:val="space"/>
      <w:lvlText w:val="%4)"/>
      <w:lvlJc w:val="left"/>
      <w:pPr>
        <w:ind w:firstLine="425"/>
      </w:pPr>
      <w:rPr>
        <w:rFonts w:hint="eastAsia"/>
      </w:rPr>
    </w:lvl>
    <w:lvl w:ilvl="4" w:tentative="0">
      <w:start w:val="1"/>
      <w:numFmt w:val="decimal"/>
      <w:lvlText w:val="%1.%2.%3.%4.%5"/>
      <w:lvlJc w:val="left"/>
      <w:pPr>
        <w:tabs>
          <w:tab w:val="left" w:pos="0"/>
        </w:tabs>
        <w:ind w:left="2551" w:hanging="850"/>
      </w:pPr>
      <w:rPr>
        <w:rFonts w:hint="eastAsia"/>
      </w:rPr>
    </w:lvl>
    <w:lvl w:ilvl="5" w:tentative="0">
      <w:start w:val="1"/>
      <w:numFmt w:val="decimal"/>
      <w:lvlText w:val="%1.%2.%3.%4.%5.%6"/>
      <w:lvlJc w:val="left"/>
      <w:pPr>
        <w:tabs>
          <w:tab w:val="left" w:pos="0"/>
        </w:tabs>
        <w:ind w:left="3260" w:hanging="1134"/>
      </w:pPr>
      <w:rPr>
        <w:rFonts w:hint="eastAsia"/>
      </w:rPr>
    </w:lvl>
    <w:lvl w:ilvl="6" w:tentative="0">
      <w:start w:val="1"/>
      <w:numFmt w:val="decimal"/>
      <w:lvlText w:val="%1.%2.%3.%4.%5.%6.%7"/>
      <w:lvlJc w:val="left"/>
      <w:pPr>
        <w:tabs>
          <w:tab w:val="left" w:pos="0"/>
        </w:tabs>
        <w:ind w:left="3827" w:hanging="1276"/>
      </w:pPr>
      <w:rPr>
        <w:rFonts w:hint="eastAsia"/>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8">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206CABF7"/>
    <w:multiLevelType w:val="singleLevel"/>
    <w:tmpl w:val="206CABF7"/>
    <w:lvl w:ilvl="0" w:tentative="0">
      <w:start w:val="1"/>
      <w:numFmt w:val="decimal"/>
      <w:suff w:val="nothing"/>
      <w:lvlText w:val="（%1）"/>
      <w:lvlJc w:val="left"/>
    </w:lvl>
  </w:abstractNum>
  <w:abstractNum w:abstractNumId="10">
    <w:nsid w:val="2821B185"/>
    <w:multiLevelType w:val="singleLevel"/>
    <w:tmpl w:val="2821B185"/>
    <w:lvl w:ilvl="0" w:tentative="0">
      <w:start w:val="5"/>
      <w:numFmt w:val="chineseCounting"/>
      <w:suff w:val="nothing"/>
      <w:lvlText w:val="%1、"/>
      <w:lvlJc w:val="left"/>
      <w:rPr>
        <w:rFonts w:hint="eastAsia"/>
      </w:rPr>
    </w:lvl>
  </w:abstractNum>
  <w:abstractNum w:abstractNumId="11">
    <w:nsid w:val="3F88662E"/>
    <w:multiLevelType w:val="singleLevel"/>
    <w:tmpl w:val="3F88662E"/>
    <w:lvl w:ilvl="0" w:tentative="0">
      <w:start w:val="1"/>
      <w:numFmt w:val="decimal"/>
      <w:suff w:val="space"/>
      <w:lvlText w:val="%1)"/>
      <w:lvlJc w:val="left"/>
    </w:lvl>
  </w:abstractNum>
  <w:abstractNum w:abstractNumId="12">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0"/>
  </w:num>
  <w:num w:numId="3">
    <w:abstractNumId w:val="12"/>
  </w:num>
  <w:num w:numId="4">
    <w:abstractNumId w:val="8"/>
  </w:num>
  <w:num w:numId="5">
    <w:abstractNumId w:val="11"/>
  </w:num>
  <w:num w:numId="6">
    <w:abstractNumId w:val="9"/>
  </w:num>
  <w:num w:numId="7">
    <w:abstractNumId w:val="4"/>
  </w:num>
  <w:num w:numId="8">
    <w:abstractNumId w:val="5"/>
  </w:num>
  <w:num w:numId="9">
    <w:abstractNumId w:val="1"/>
  </w:num>
  <w:num w:numId="10">
    <w:abstractNumId w:val="2"/>
  </w:num>
  <w:num w:numId="11">
    <w:abstractNumId w:val="6"/>
  </w:num>
  <w:num w:numId="12">
    <w:abstractNumId w:val="0"/>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footnotePr>
    <w:footnote w:id="4"/>
    <w:footnote w:id="5"/>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6B"/>
    <w:rsid w:val="00006462"/>
    <w:rsid w:val="000260F3"/>
    <w:rsid w:val="000300E4"/>
    <w:rsid w:val="0003307E"/>
    <w:rsid w:val="000336BA"/>
    <w:rsid w:val="000359A1"/>
    <w:rsid w:val="0006605A"/>
    <w:rsid w:val="0007500F"/>
    <w:rsid w:val="0008282E"/>
    <w:rsid w:val="000A363F"/>
    <w:rsid w:val="000A42A8"/>
    <w:rsid w:val="000A5063"/>
    <w:rsid w:val="000A5DBD"/>
    <w:rsid w:val="000C4524"/>
    <w:rsid w:val="000D44A6"/>
    <w:rsid w:val="000D5273"/>
    <w:rsid w:val="000F09D9"/>
    <w:rsid w:val="000F0E98"/>
    <w:rsid w:val="001049A5"/>
    <w:rsid w:val="001242F3"/>
    <w:rsid w:val="0012550D"/>
    <w:rsid w:val="00134CAD"/>
    <w:rsid w:val="0013730B"/>
    <w:rsid w:val="00137853"/>
    <w:rsid w:val="00137E1C"/>
    <w:rsid w:val="00147012"/>
    <w:rsid w:val="00153E0B"/>
    <w:rsid w:val="00173126"/>
    <w:rsid w:val="00173905"/>
    <w:rsid w:val="00173E04"/>
    <w:rsid w:val="00175D29"/>
    <w:rsid w:val="001844F4"/>
    <w:rsid w:val="00185039"/>
    <w:rsid w:val="001A06D8"/>
    <w:rsid w:val="001A2D42"/>
    <w:rsid w:val="001A2EF7"/>
    <w:rsid w:val="001B41CF"/>
    <w:rsid w:val="001B5860"/>
    <w:rsid w:val="001C1135"/>
    <w:rsid w:val="001C15AE"/>
    <w:rsid w:val="001C4661"/>
    <w:rsid w:val="001C5689"/>
    <w:rsid w:val="001C6E4B"/>
    <w:rsid w:val="001F0070"/>
    <w:rsid w:val="001F4B02"/>
    <w:rsid w:val="002065A7"/>
    <w:rsid w:val="0021149E"/>
    <w:rsid w:val="00213021"/>
    <w:rsid w:val="00216BE9"/>
    <w:rsid w:val="0022503E"/>
    <w:rsid w:val="00225BB4"/>
    <w:rsid w:val="00226313"/>
    <w:rsid w:val="00240F5F"/>
    <w:rsid w:val="00244C00"/>
    <w:rsid w:val="00247AE0"/>
    <w:rsid w:val="002504F8"/>
    <w:rsid w:val="00260AC1"/>
    <w:rsid w:val="0026312D"/>
    <w:rsid w:val="0027078E"/>
    <w:rsid w:val="00284156"/>
    <w:rsid w:val="00285643"/>
    <w:rsid w:val="002867A1"/>
    <w:rsid w:val="002901F8"/>
    <w:rsid w:val="002A540A"/>
    <w:rsid w:val="002B4087"/>
    <w:rsid w:val="002B5F6C"/>
    <w:rsid w:val="002C165E"/>
    <w:rsid w:val="002C6C78"/>
    <w:rsid w:val="002D1594"/>
    <w:rsid w:val="002D3F9C"/>
    <w:rsid w:val="002D503C"/>
    <w:rsid w:val="002D7E27"/>
    <w:rsid w:val="002E17E5"/>
    <w:rsid w:val="002E6B7E"/>
    <w:rsid w:val="0030669E"/>
    <w:rsid w:val="00313902"/>
    <w:rsid w:val="00320CEA"/>
    <w:rsid w:val="00323B43"/>
    <w:rsid w:val="00326831"/>
    <w:rsid w:val="003274CE"/>
    <w:rsid w:val="003430F6"/>
    <w:rsid w:val="0038564C"/>
    <w:rsid w:val="00393B1D"/>
    <w:rsid w:val="003A1D97"/>
    <w:rsid w:val="003C3B19"/>
    <w:rsid w:val="003C412B"/>
    <w:rsid w:val="003C415C"/>
    <w:rsid w:val="003D36FB"/>
    <w:rsid w:val="003D37D8"/>
    <w:rsid w:val="003E2B8C"/>
    <w:rsid w:val="003F4822"/>
    <w:rsid w:val="00401CC0"/>
    <w:rsid w:val="00410F11"/>
    <w:rsid w:val="004203B9"/>
    <w:rsid w:val="00421BCF"/>
    <w:rsid w:val="004322A2"/>
    <w:rsid w:val="004358AB"/>
    <w:rsid w:val="00451EB4"/>
    <w:rsid w:val="00453AD3"/>
    <w:rsid w:val="00460B31"/>
    <w:rsid w:val="00462105"/>
    <w:rsid w:val="00475A80"/>
    <w:rsid w:val="00490B9E"/>
    <w:rsid w:val="00497577"/>
    <w:rsid w:val="004A05D7"/>
    <w:rsid w:val="004A2B28"/>
    <w:rsid w:val="004A69F1"/>
    <w:rsid w:val="004B3550"/>
    <w:rsid w:val="004D51A2"/>
    <w:rsid w:val="004D5AFB"/>
    <w:rsid w:val="004E04FD"/>
    <w:rsid w:val="004F1BB7"/>
    <w:rsid w:val="0050759C"/>
    <w:rsid w:val="005269A9"/>
    <w:rsid w:val="00546A42"/>
    <w:rsid w:val="0055408D"/>
    <w:rsid w:val="0057492D"/>
    <w:rsid w:val="00590819"/>
    <w:rsid w:val="00593D68"/>
    <w:rsid w:val="005A208B"/>
    <w:rsid w:val="005A7612"/>
    <w:rsid w:val="005C702E"/>
    <w:rsid w:val="005D01B8"/>
    <w:rsid w:val="005D066B"/>
    <w:rsid w:val="005F573A"/>
    <w:rsid w:val="005F7EB1"/>
    <w:rsid w:val="00604B81"/>
    <w:rsid w:val="00613417"/>
    <w:rsid w:val="0061545F"/>
    <w:rsid w:val="006175DE"/>
    <w:rsid w:val="006215AC"/>
    <w:rsid w:val="00621821"/>
    <w:rsid w:val="00622362"/>
    <w:rsid w:val="00622497"/>
    <w:rsid w:val="006276AD"/>
    <w:rsid w:val="006378D4"/>
    <w:rsid w:val="0064416A"/>
    <w:rsid w:val="0065365D"/>
    <w:rsid w:val="0065543F"/>
    <w:rsid w:val="006578CD"/>
    <w:rsid w:val="00664F6B"/>
    <w:rsid w:val="006731D2"/>
    <w:rsid w:val="00682986"/>
    <w:rsid w:val="006913C9"/>
    <w:rsid w:val="00691701"/>
    <w:rsid w:val="00691AE0"/>
    <w:rsid w:val="0069491E"/>
    <w:rsid w:val="006B7878"/>
    <w:rsid w:val="006C14BD"/>
    <w:rsid w:val="006C28E5"/>
    <w:rsid w:val="006D08E0"/>
    <w:rsid w:val="006D1BA8"/>
    <w:rsid w:val="006D393E"/>
    <w:rsid w:val="006D4AD8"/>
    <w:rsid w:val="006E0B58"/>
    <w:rsid w:val="006E0C4B"/>
    <w:rsid w:val="007110BA"/>
    <w:rsid w:val="00711465"/>
    <w:rsid w:val="0072310A"/>
    <w:rsid w:val="00723B11"/>
    <w:rsid w:val="007343A7"/>
    <w:rsid w:val="00734BB2"/>
    <w:rsid w:val="0075028E"/>
    <w:rsid w:val="007608B9"/>
    <w:rsid w:val="00761AAB"/>
    <w:rsid w:val="007724B4"/>
    <w:rsid w:val="007818FB"/>
    <w:rsid w:val="007916E7"/>
    <w:rsid w:val="00797C5D"/>
    <w:rsid w:val="00797D2F"/>
    <w:rsid w:val="007A34B9"/>
    <w:rsid w:val="007A6F47"/>
    <w:rsid w:val="007C4F46"/>
    <w:rsid w:val="007C7297"/>
    <w:rsid w:val="007C7A38"/>
    <w:rsid w:val="007D1B4F"/>
    <w:rsid w:val="007D2F9E"/>
    <w:rsid w:val="007D3175"/>
    <w:rsid w:val="007D48BF"/>
    <w:rsid w:val="007D5C45"/>
    <w:rsid w:val="007E2543"/>
    <w:rsid w:val="007E4A26"/>
    <w:rsid w:val="007F01B0"/>
    <w:rsid w:val="007F2CD8"/>
    <w:rsid w:val="007F4DC5"/>
    <w:rsid w:val="00806380"/>
    <w:rsid w:val="0081104F"/>
    <w:rsid w:val="00822299"/>
    <w:rsid w:val="00833E43"/>
    <w:rsid w:val="0083486A"/>
    <w:rsid w:val="00841378"/>
    <w:rsid w:val="00842B87"/>
    <w:rsid w:val="00845BEB"/>
    <w:rsid w:val="008472E6"/>
    <w:rsid w:val="00853463"/>
    <w:rsid w:val="0086026F"/>
    <w:rsid w:val="008640F5"/>
    <w:rsid w:val="008907DA"/>
    <w:rsid w:val="008A0587"/>
    <w:rsid w:val="008B7726"/>
    <w:rsid w:val="008D429E"/>
    <w:rsid w:val="008D5A10"/>
    <w:rsid w:val="008E319F"/>
    <w:rsid w:val="008E4452"/>
    <w:rsid w:val="008E619C"/>
    <w:rsid w:val="008F6E0E"/>
    <w:rsid w:val="008F79E1"/>
    <w:rsid w:val="00906F49"/>
    <w:rsid w:val="009108BB"/>
    <w:rsid w:val="00914604"/>
    <w:rsid w:val="00923533"/>
    <w:rsid w:val="00930A38"/>
    <w:rsid w:val="00934170"/>
    <w:rsid w:val="00942948"/>
    <w:rsid w:val="009474B5"/>
    <w:rsid w:val="00972D86"/>
    <w:rsid w:val="009736BF"/>
    <w:rsid w:val="0097392B"/>
    <w:rsid w:val="00976066"/>
    <w:rsid w:val="00980A66"/>
    <w:rsid w:val="009904F7"/>
    <w:rsid w:val="00990669"/>
    <w:rsid w:val="009910F6"/>
    <w:rsid w:val="009A7058"/>
    <w:rsid w:val="009C6AD9"/>
    <w:rsid w:val="009D55C3"/>
    <w:rsid w:val="009E398C"/>
    <w:rsid w:val="009E6A3C"/>
    <w:rsid w:val="009E6F05"/>
    <w:rsid w:val="00A10906"/>
    <w:rsid w:val="00A14EEF"/>
    <w:rsid w:val="00A25E78"/>
    <w:rsid w:val="00A56B6C"/>
    <w:rsid w:val="00A61230"/>
    <w:rsid w:val="00A813C5"/>
    <w:rsid w:val="00A824E6"/>
    <w:rsid w:val="00A858DC"/>
    <w:rsid w:val="00A94D14"/>
    <w:rsid w:val="00AB19CE"/>
    <w:rsid w:val="00AB3969"/>
    <w:rsid w:val="00AC187B"/>
    <w:rsid w:val="00AC5C21"/>
    <w:rsid w:val="00AE310E"/>
    <w:rsid w:val="00AE4FC5"/>
    <w:rsid w:val="00AF5F1F"/>
    <w:rsid w:val="00B027A4"/>
    <w:rsid w:val="00B236B3"/>
    <w:rsid w:val="00B26534"/>
    <w:rsid w:val="00B26806"/>
    <w:rsid w:val="00B31B24"/>
    <w:rsid w:val="00B4287F"/>
    <w:rsid w:val="00B4315F"/>
    <w:rsid w:val="00B60DAB"/>
    <w:rsid w:val="00B7194E"/>
    <w:rsid w:val="00B763B0"/>
    <w:rsid w:val="00B93045"/>
    <w:rsid w:val="00BA0892"/>
    <w:rsid w:val="00BA4130"/>
    <w:rsid w:val="00BB2CAF"/>
    <w:rsid w:val="00BC3E74"/>
    <w:rsid w:val="00BD450C"/>
    <w:rsid w:val="00BD630F"/>
    <w:rsid w:val="00BD7C1B"/>
    <w:rsid w:val="00BF17FD"/>
    <w:rsid w:val="00BF41D4"/>
    <w:rsid w:val="00BF5AFB"/>
    <w:rsid w:val="00C16734"/>
    <w:rsid w:val="00C17B47"/>
    <w:rsid w:val="00C25C77"/>
    <w:rsid w:val="00C303E7"/>
    <w:rsid w:val="00C319C2"/>
    <w:rsid w:val="00C62E44"/>
    <w:rsid w:val="00C63BD8"/>
    <w:rsid w:val="00C65954"/>
    <w:rsid w:val="00C7126B"/>
    <w:rsid w:val="00C72C24"/>
    <w:rsid w:val="00C73468"/>
    <w:rsid w:val="00C80EC4"/>
    <w:rsid w:val="00C8568E"/>
    <w:rsid w:val="00CB7EF0"/>
    <w:rsid w:val="00CC584A"/>
    <w:rsid w:val="00CC5E4E"/>
    <w:rsid w:val="00CD0979"/>
    <w:rsid w:val="00CD0EAB"/>
    <w:rsid w:val="00CE2AF3"/>
    <w:rsid w:val="00CE621D"/>
    <w:rsid w:val="00CE66E8"/>
    <w:rsid w:val="00D05388"/>
    <w:rsid w:val="00D114CD"/>
    <w:rsid w:val="00D14476"/>
    <w:rsid w:val="00D232FF"/>
    <w:rsid w:val="00D279AA"/>
    <w:rsid w:val="00D34544"/>
    <w:rsid w:val="00D44A97"/>
    <w:rsid w:val="00D45C0C"/>
    <w:rsid w:val="00D508A5"/>
    <w:rsid w:val="00D5104B"/>
    <w:rsid w:val="00D555D8"/>
    <w:rsid w:val="00D60778"/>
    <w:rsid w:val="00D64D28"/>
    <w:rsid w:val="00D6604D"/>
    <w:rsid w:val="00D677F1"/>
    <w:rsid w:val="00D7144B"/>
    <w:rsid w:val="00D74601"/>
    <w:rsid w:val="00D83E46"/>
    <w:rsid w:val="00D847B6"/>
    <w:rsid w:val="00DA6169"/>
    <w:rsid w:val="00DB5480"/>
    <w:rsid w:val="00DB6317"/>
    <w:rsid w:val="00DC5AD9"/>
    <w:rsid w:val="00DC691F"/>
    <w:rsid w:val="00DD02DE"/>
    <w:rsid w:val="00DD07B7"/>
    <w:rsid w:val="00DD113C"/>
    <w:rsid w:val="00DE0BEB"/>
    <w:rsid w:val="00DE4856"/>
    <w:rsid w:val="00DF485B"/>
    <w:rsid w:val="00E21B77"/>
    <w:rsid w:val="00E40CAD"/>
    <w:rsid w:val="00E44530"/>
    <w:rsid w:val="00E61D2E"/>
    <w:rsid w:val="00E62B7F"/>
    <w:rsid w:val="00E726BC"/>
    <w:rsid w:val="00E72821"/>
    <w:rsid w:val="00E81DDC"/>
    <w:rsid w:val="00E81F67"/>
    <w:rsid w:val="00E83650"/>
    <w:rsid w:val="00E83A31"/>
    <w:rsid w:val="00E93E51"/>
    <w:rsid w:val="00E97CC0"/>
    <w:rsid w:val="00EA2524"/>
    <w:rsid w:val="00EC092D"/>
    <w:rsid w:val="00EC0DF8"/>
    <w:rsid w:val="00ED378B"/>
    <w:rsid w:val="00EE08F9"/>
    <w:rsid w:val="00EE5B3F"/>
    <w:rsid w:val="00EF728A"/>
    <w:rsid w:val="00EF7D0D"/>
    <w:rsid w:val="00F00FF7"/>
    <w:rsid w:val="00F02093"/>
    <w:rsid w:val="00F068E3"/>
    <w:rsid w:val="00F10B5F"/>
    <w:rsid w:val="00F16CEE"/>
    <w:rsid w:val="00F218C1"/>
    <w:rsid w:val="00F321EB"/>
    <w:rsid w:val="00F346CF"/>
    <w:rsid w:val="00F3610C"/>
    <w:rsid w:val="00F4774B"/>
    <w:rsid w:val="00F52A5F"/>
    <w:rsid w:val="00F55954"/>
    <w:rsid w:val="00F61962"/>
    <w:rsid w:val="00F62865"/>
    <w:rsid w:val="00F64022"/>
    <w:rsid w:val="00F64660"/>
    <w:rsid w:val="00F97062"/>
    <w:rsid w:val="00F9745D"/>
    <w:rsid w:val="00F97C6D"/>
    <w:rsid w:val="00FC7B53"/>
    <w:rsid w:val="00FD48CC"/>
    <w:rsid w:val="00FE62D1"/>
    <w:rsid w:val="00FF26BF"/>
    <w:rsid w:val="01024D97"/>
    <w:rsid w:val="018023CE"/>
    <w:rsid w:val="01881AD6"/>
    <w:rsid w:val="01B938AA"/>
    <w:rsid w:val="01D000F6"/>
    <w:rsid w:val="01DF1BAD"/>
    <w:rsid w:val="02126CDB"/>
    <w:rsid w:val="021832B7"/>
    <w:rsid w:val="024E2E49"/>
    <w:rsid w:val="02A741FD"/>
    <w:rsid w:val="02C16E5D"/>
    <w:rsid w:val="02D964CF"/>
    <w:rsid w:val="0340787C"/>
    <w:rsid w:val="03486AC7"/>
    <w:rsid w:val="03707410"/>
    <w:rsid w:val="037F03E3"/>
    <w:rsid w:val="038418A4"/>
    <w:rsid w:val="03A0770F"/>
    <w:rsid w:val="03A27BF9"/>
    <w:rsid w:val="03A448B8"/>
    <w:rsid w:val="03AD071E"/>
    <w:rsid w:val="03F9267C"/>
    <w:rsid w:val="04082923"/>
    <w:rsid w:val="042A2209"/>
    <w:rsid w:val="04540A7E"/>
    <w:rsid w:val="047162C6"/>
    <w:rsid w:val="04DF1036"/>
    <w:rsid w:val="05A97DEC"/>
    <w:rsid w:val="05C81981"/>
    <w:rsid w:val="06BC41F2"/>
    <w:rsid w:val="070A2472"/>
    <w:rsid w:val="07197D08"/>
    <w:rsid w:val="071C2CFD"/>
    <w:rsid w:val="071E5C55"/>
    <w:rsid w:val="073F1A42"/>
    <w:rsid w:val="073F7319"/>
    <w:rsid w:val="07595F41"/>
    <w:rsid w:val="07615EC0"/>
    <w:rsid w:val="077005AB"/>
    <w:rsid w:val="078F4581"/>
    <w:rsid w:val="07995C5E"/>
    <w:rsid w:val="07BE179A"/>
    <w:rsid w:val="07BF027F"/>
    <w:rsid w:val="08031A31"/>
    <w:rsid w:val="081A5CC7"/>
    <w:rsid w:val="08A276E5"/>
    <w:rsid w:val="09061A75"/>
    <w:rsid w:val="09182241"/>
    <w:rsid w:val="093C069F"/>
    <w:rsid w:val="09855177"/>
    <w:rsid w:val="09870F93"/>
    <w:rsid w:val="09F1637C"/>
    <w:rsid w:val="0A25628F"/>
    <w:rsid w:val="0AA534D5"/>
    <w:rsid w:val="0AA650EB"/>
    <w:rsid w:val="0AB8066A"/>
    <w:rsid w:val="0AF47339"/>
    <w:rsid w:val="0B0659BA"/>
    <w:rsid w:val="0B22594B"/>
    <w:rsid w:val="0BAD0870"/>
    <w:rsid w:val="0BC044BE"/>
    <w:rsid w:val="0BDF26F7"/>
    <w:rsid w:val="0C264099"/>
    <w:rsid w:val="0C2B4952"/>
    <w:rsid w:val="0C7B2220"/>
    <w:rsid w:val="0CF21113"/>
    <w:rsid w:val="0D773597"/>
    <w:rsid w:val="0D890E47"/>
    <w:rsid w:val="0DC64A00"/>
    <w:rsid w:val="0DFC60BA"/>
    <w:rsid w:val="0E4249F1"/>
    <w:rsid w:val="0F7C5FF6"/>
    <w:rsid w:val="0FC63FBD"/>
    <w:rsid w:val="106C564D"/>
    <w:rsid w:val="107B7B8F"/>
    <w:rsid w:val="107C67CE"/>
    <w:rsid w:val="109D68CB"/>
    <w:rsid w:val="10A949B8"/>
    <w:rsid w:val="11200D07"/>
    <w:rsid w:val="11DA73AF"/>
    <w:rsid w:val="12C60D80"/>
    <w:rsid w:val="131F7A3A"/>
    <w:rsid w:val="132645D0"/>
    <w:rsid w:val="13455ABC"/>
    <w:rsid w:val="1370322B"/>
    <w:rsid w:val="1399581A"/>
    <w:rsid w:val="13B27845"/>
    <w:rsid w:val="13B85EB4"/>
    <w:rsid w:val="141A03E1"/>
    <w:rsid w:val="143B2E0B"/>
    <w:rsid w:val="14672B11"/>
    <w:rsid w:val="14892735"/>
    <w:rsid w:val="14942047"/>
    <w:rsid w:val="14CC769D"/>
    <w:rsid w:val="156A50B0"/>
    <w:rsid w:val="15D359D7"/>
    <w:rsid w:val="15D81E0F"/>
    <w:rsid w:val="163C77BE"/>
    <w:rsid w:val="1679588C"/>
    <w:rsid w:val="16994962"/>
    <w:rsid w:val="169E64A9"/>
    <w:rsid w:val="16A71041"/>
    <w:rsid w:val="16AA24BF"/>
    <w:rsid w:val="16F72341"/>
    <w:rsid w:val="17680CAB"/>
    <w:rsid w:val="176E4128"/>
    <w:rsid w:val="1783371F"/>
    <w:rsid w:val="17E62B67"/>
    <w:rsid w:val="180F4499"/>
    <w:rsid w:val="18221ECE"/>
    <w:rsid w:val="1919710F"/>
    <w:rsid w:val="19A2789F"/>
    <w:rsid w:val="1A460CF5"/>
    <w:rsid w:val="1A7F297D"/>
    <w:rsid w:val="1AB16AC1"/>
    <w:rsid w:val="1B034A52"/>
    <w:rsid w:val="1B1F34AD"/>
    <w:rsid w:val="1B8D5DC6"/>
    <w:rsid w:val="1BBD40A3"/>
    <w:rsid w:val="1BFE1D3B"/>
    <w:rsid w:val="1C2775EC"/>
    <w:rsid w:val="1C750ECE"/>
    <w:rsid w:val="1CF63050"/>
    <w:rsid w:val="1D0836D7"/>
    <w:rsid w:val="1D196139"/>
    <w:rsid w:val="1DB85900"/>
    <w:rsid w:val="1E010AF7"/>
    <w:rsid w:val="1E0178EB"/>
    <w:rsid w:val="1E301173"/>
    <w:rsid w:val="1E38333E"/>
    <w:rsid w:val="1E5F573B"/>
    <w:rsid w:val="1EA40BB4"/>
    <w:rsid w:val="1F43381C"/>
    <w:rsid w:val="1FA4148D"/>
    <w:rsid w:val="20121621"/>
    <w:rsid w:val="201A421D"/>
    <w:rsid w:val="204E554F"/>
    <w:rsid w:val="20590035"/>
    <w:rsid w:val="209E611B"/>
    <w:rsid w:val="20DB1357"/>
    <w:rsid w:val="20FC799E"/>
    <w:rsid w:val="21EA4C1C"/>
    <w:rsid w:val="22154DDD"/>
    <w:rsid w:val="22213E42"/>
    <w:rsid w:val="22336873"/>
    <w:rsid w:val="238C2182"/>
    <w:rsid w:val="239015D1"/>
    <w:rsid w:val="23BB4E7D"/>
    <w:rsid w:val="23C172D6"/>
    <w:rsid w:val="23F04F64"/>
    <w:rsid w:val="241E318F"/>
    <w:rsid w:val="244209E3"/>
    <w:rsid w:val="245F0F43"/>
    <w:rsid w:val="24814CBE"/>
    <w:rsid w:val="24AC168B"/>
    <w:rsid w:val="258C3BEC"/>
    <w:rsid w:val="260E3862"/>
    <w:rsid w:val="262569FC"/>
    <w:rsid w:val="26344C98"/>
    <w:rsid w:val="266D40AF"/>
    <w:rsid w:val="26F56CE2"/>
    <w:rsid w:val="272D6243"/>
    <w:rsid w:val="27435D49"/>
    <w:rsid w:val="27A34F71"/>
    <w:rsid w:val="27B36A67"/>
    <w:rsid w:val="27EB0D9B"/>
    <w:rsid w:val="283C0D8D"/>
    <w:rsid w:val="286602C8"/>
    <w:rsid w:val="28665C95"/>
    <w:rsid w:val="290B3EB9"/>
    <w:rsid w:val="291418C2"/>
    <w:rsid w:val="2950768C"/>
    <w:rsid w:val="295B22E8"/>
    <w:rsid w:val="296B05A3"/>
    <w:rsid w:val="297A5FC4"/>
    <w:rsid w:val="2A1113BC"/>
    <w:rsid w:val="2A8D4F8F"/>
    <w:rsid w:val="2A911082"/>
    <w:rsid w:val="2A917B34"/>
    <w:rsid w:val="2AD949D1"/>
    <w:rsid w:val="2AE3766F"/>
    <w:rsid w:val="2B7E4054"/>
    <w:rsid w:val="2BD81F0A"/>
    <w:rsid w:val="2BF22742"/>
    <w:rsid w:val="2C987C56"/>
    <w:rsid w:val="2CFF149A"/>
    <w:rsid w:val="2D201865"/>
    <w:rsid w:val="2D4B5CEA"/>
    <w:rsid w:val="2D652658"/>
    <w:rsid w:val="2DC80C49"/>
    <w:rsid w:val="2DCA6355"/>
    <w:rsid w:val="2DE46B7D"/>
    <w:rsid w:val="2DF0699F"/>
    <w:rsid w:val="2E166748"/>
    <w:rsid w:val="2E556F01"/>
    <w:rsid w:val="2E8E20B4"/>
    <w:rsid w:val="2ED06066"/>
    <w:rsid w:val="2ED1223D"/>
    <w:rsid w:val="2EE470F7"/>
    <w:rsid w:val="2EEE7431"/>
    <w:rsid w:val="2F000139"/>
    <w:rsid w:val="2F303D74"/>
    <w:rsid w:val="2F4326B0"/>
    <w:rsid w:val="2F561B8A"/>
    <w:rsid w:val="2F9F42DC"/>
    <w:rsid w:val="2FF37AB3"/>
    <w:rsid w:val="30823F5D"/>
    <w:rsid w:val="30925B88"/>
    <w:rsid w:val="30FF27D2"/>
    <w:rsid w:val="31170995"/>
    <w:rsid w:val="31264A30"/>
    <w:rsid w:val="316127C5"/>
    <w:rsid w:val="31884E67"/>
    <w:rsid w:val="31A0275E"/>
    <w:rsid w:val="31ED6B08"/>
    <w:rsid w:val="328464CE"/>
    <w:rsid w:val="328C66E2"/>
    <w:rsid w:val="32AB70C5"/>
    <w:rsid w:val="32DC33E0"/>
    <w:rsid w:val="335D0AF5"/>
    <w:rsid w:val="3370088C"/>
    <w:rsid w:val="33A3154A"/>
    <w:rsid w:val="33DC2F78"/>
    <w:rsid w:val="33EC5217"/>
    <w:rsid w:val="3428227C"/>
    <w:rsid w:val="35260F83"/>
    <w:rsid w:val="35602226"/>
    <w:rsid w:val="356B72E7"/>
    <w:rsid w:val="3572424F"/>
    <w:rsid w:val="35FC3844"/>
    <w:rsid w:val="36AD519D"/>
    <w:rsid w:val="36B57705"/>
    <w:rsid w:val="37895298"/>
    <w:rsid w:val="37A103ED"/>
    <w:rsid w:val="37EA5E6E"/>
    <w:rsid w:val="37FF016F"/>
    <w:rsid w:val="38427C0B"/>
    <w:rsid w:val="3869068D"/>
    <w:rsid w:val="387C5ABE"/>
    <w:rsid w:val="389B3A1E"/>
    <w:rsid w:val="38EB6119"/>
    <w:rsid w:val="39FE0BE9"/>
    <w:rsid w:val="3A3C1AAF"/>
    <w:rsid w:val="3A51228C"/>
    <w:rsid w:val="3A552E60"/>
    <w:rsid w:val="3A5D642F"/>
    <w:rsid w:val="3AB210FC"/>
    <w:rsid w:val="3AD95C13"/>
    <w:rsid w:val="3B261E51"/>
    <w:rsid w:val="3BCD72F7"/>
    <w:rsid w:val="3C323C11"/>
    <w:rsid w:val="3C414142"/>
    <w:rsid w:val="3CF737A2"/>
    <w:rsid w:val="3D10295A"/>
    <w:rsid w:val="3E0572FD"/>
    <w:rsid w:val="3E1A5292"/>
    <w:rsid w:val="3E5A7FE7"/>
    <w:rsid w:val="3EC8179E"/>
    <w:rsid w:val="3EF66B2E"/>
    <w:rsid w:val="3F217914"/>
    <w:rsid w:val="3F2D6CDF"/>
    <w:rsid w:val="3FD70BB0"/>
    <w:rsid w:val="3FFB55AC"/>
    <w:rsid w:val="401C5F9D"/>
    <w:rsid w:val="401C690C"/>
    <w:rsid w:val="401D7195"/>
    <w:rsid w:val="40CE3DC0"/>
    <w:rsid w:val="40D7455A"/>
    <w:rsid w:val="40E743E5"/>
    <w:rsid w:val="4110038E"/>
    <w:rsid w:val="41734CBA"/>
    <w:rsid w:val="41DD7057"/>
    <w:rsid w:val="420F7A65"/>
    <w:rsid w:val="4216611A"/>
    <w:rsid w:val="423E300F"/>
    <w:rsid w:val="425656C8"/>
    <w:rsid w:val="4257273C"/>
    <w:rsid w:val="425D7213"/>
    <w:rsid w:val="42677B61"/>
    <w:rsid w:val="42756DB0"/>
    <w:rsid w:val="42B21AD2"/>
    <w:rsid w:val="42FD694D"/>
    <w:rsid w:val="434A6D8F"/>
    <w:rsid w:val="43FA5777"/>
    <w:rsid w:val="44044D92"/>
    <w:rsid w:val="441C1611"/>
    <w:rsid w:val="443C440B"/>
    <w:rsid w:val="443F7DBF"/>
    <w:rsid w:val="44514F52"/>
    <w:rsid w:val="448965CB"/>
    <w:rsid w:val="44FA2D53"/>
    <w:rsid w:val="4571374F"/>
    <w:rsid w:val="458B1BB0"/>
    <w:rsid w:val="4611075B"/>
    <w:rsid w:val="46214818"/>
    <w:rsid w:val="467A0297"/>
    <w:rsid w:val="468B7125"/>
    <w:rsid w:val="46C4691F"/>
    <w:rsid w:val="47567B40"/>
    <w:rsid w:val="479D1D34"/>
    <w:rsid w:val="47B609C0"/>
    <w:rsid w:val="482D31EA"/>
    <w:rsid w:val="485970A0"/>
    <w:rsid w:val="48A41906"/>
    <w:rsid w:val="48B65C71"/>
    <w:rsid w:val="48F303D7"/>
    <w:rsid w:val="492837FF"/>
    <w:rsid w:val="492E6A57"/>
    <w:rsid w:val="4A0030EE"/>
    <w:rsid w:val="4AC36065"/>
    <w:rsid w:val="4B3C1577"/>
    <w:rsid w:val="4B56715B"/>
    <w:rsid w:val="4B7501F5"/>
    <w:rsid w:val="4B8C2DEB"/>
    <w:rsid w:val="4BD311F0"/>
    <w:rsid w:val="4BFA3C9F"/>
    <w:rsid w:val="4C0E3379"/>
    <w:rsid w:val="4C107F48"/>
    <w:rsid w:val="4C3277BC"/>
    <w:rsid w:val="4CC25C70"/>
    <w:rsid w:val="4CC353EB"/>
    <w:rsid w:val="4CF36F3C"/>
    <w:rsid w:val="4D1906F1"/>
    <w:rsid w:val="4D1E146B"/>
    <w:rsid w:val="4D4F67BA"/>
    <w:rsid w:val="4D603399"/>
    <w:rsid w:val="4D867EE1"/>
    <w:rsid w:val="4DBC4C65"/>
    <w:rsid w:val="4DD03BE2"/>
    <w:rsid w:val="4DF6568D"/>
    <w:rsid w:val="4E381F57"/>
    <w:rsid w:val="4E550010"/>
    <w:rsid w:val="4E5F14CB"/>
    <w:rsid w:val="4F07189B"/>
    <w:rsid w:val="4F3705F8"/>
    <w:rsid w:val="4F535092"/>
    <w:rsid w:val="4FAC3540"/>
    <w:rsid w:val="4FBB12F4"/>
    <w:rsid w:val="4FCF1583"/>
    <w:rsid w:val="4FFA7625"/>
    <w:rsid w:val="501B0BF9"/>
    <w:rsid w:val="507D2599"/>
    <w:rsid w:val="5096229D"/>
    <w:rsid w:val="50DC4184"/>
    <w:rsid w:val="51475B39"/>
    <w:rsid w:val="514C3EA7"/>
    <w:rsid w:val="515D4679"/>
    <w:rsid w:val="519336F6"/>
    <w:rsid w:val="519849E5"/>
    <w:rsid w:val="51B36892"/>
    <w:rsid w:val="52506DA7"/>
    <w:rsid w:val="532106A7"/>
    <w:rsid w:val="533B2B84"/>
    <w:rsid w:val="5350798B"/>
    <w:rsid w:val="537A7243"/>
    <w:rsid w:val="539C1B81"/>
    <w:rsid w:val="53AC614D"/>
    <w:rsid w:val="53AE750F"/>
    <w:rsid w:val="53F263AD"/>
    <w:rsid w:val="5435526F"/>
    <w:rsid w:val="547173A9"/>
    <w:rsid w:val="549A6BFA"/>
    <w:rsid w:val="54E72921"/>
    <w:rsid w:val="550C3FED"/>
    <w:rsid w:val="55806F07"/>
    <w:rsid w:val="55FA2961"/>
    <w:rsid w:val="565E7F4F"/>
    <w:rsid w:val="56775789"/>
    <w:rsid w:val="56857D06"/>
    <w:rsid w:val="56914056"/>
    <w:rsid w:val="56DB613D"/>
    <w:rsid w:val="57FC2169"/>
    <w:rsid w:val="58096275"/>
    <w:rsid w:val="581C04F1"/>
    <w:rsid w:val="582E6EF7"/>
    <w:rsid w:val="58434392"/>
    <w:rsid w:val="584E30E6"/>
    <w:rsid w:val="58C47EAB"/>
    <w:rsid w:val="58F9507D"/>
    <w:rsid w:val="59014D02"/>
    <w:rsid w:val="59222444"/>
    <w:rsid w:val="5974007D"/>
    <w:rsid w:val="597B384D"/>
    <w:rsid w:val="59996DA8"/>
    <w:rsid w:val="59C30F1B"/>
    <w:rsid w:val="5A0D5854"/>
    <w:rsid w:val="5A20156F"/>
    <w:rsid w:val="5AC7121C"/>
    <w:rsid w:val="5AD90B8D"/>
    <w:rsid w:val="5AE12927"/>
    <w:rsid w:val="5AF404A8"/>
    <w:rsid w:val="5B2243E9"/>
    <w:rsid w:val="5B4E1A44"/>
    <w:rsid w:val="5B666742"/>
    <w:rsid w:val="5B873201"/>
    <w:rsid w:val="5B89551D"/>
    <w:rsid w:val="5B967767"/>
    <w:rsid w:val="5B9E55DE"/>
    <w:rsid w:val="5BB102B4"/>
    <w:rsid w:val="5C286807"/>
    <w:rsid w:val="5C446BC8"/>
    <w:rsid w:val="5C4C687B"/>
    <w:rsid w:val="5C7C2768"/>
    <w:rsid w:val="5CB23AE6"/>
    <w:rsid w:val="5CF55792"/>
    <w:rsid w:val="5CFD533A"/>
    <w:rsid w:val="5D103A34"/>
    <w:rsid w:val="5D893B14"/>
    <w:rsid w:val="5DA97135"/>
    <w:rsid w:val="5E2B7D62"/>
    <w:rsid w:val="5EA06921"/>
    <w:rsid w:val="5ED5006A"/>
    <w:rsid w:val="5EF66822"/>
    <w:rsid w:val="5F576E4B"/>
    <w:rsid w:val="5F7A2C30"/>
    <w:rsid w:val="5FBE370A"/>
    <w:rsid w:val="60292845"/>
    <w:rsid w:val="612E1A5D"/>
    <w:rsid w:val="61816046"/>
    <w:rsid w:val="62391564"/>
    <w:rsid w:val="62816669"/>
    <w:rsid w:val="62934D6F"/>
    <w:rsid w:val="62BA0953"/>
    <w:rsid w:val="62D03A7C"/>
    <w:rsid w:val="62F16BCB"/>
    <w:rsid w:val="62F648FE"/>
    <w:rsid w:val="63193441"/>
    <w:rsid w:val="63341DB1"/>
    <w:rsid w:val="63A10995"/>
    <w:rsid w:val="63C23EFA"/>
    <w:rsid w:val="63E727E5"/>
    <w:rsid w:val="63F520A2"/>
    <w:rsid w:val="643A070A"/>
    <w:rsid w:val="644C573D"/>
    <w:rsid w:val="648667A7"/>
    <w:rsid w:val="64DB383A"/>
    <w:rsid w:val="65032F85"/>
    <w:rsid w:val="65136B50"/>
    <w:rsid w:val="657E2A35"/>
    <w:rsid w:val="65A94E9D"/>
    <w:rsid w:val="65C60A92"/>
    <w:rsid w:val="65FC67D6"/>
    <w:rsid w:val="66165B7D"/>
    <w:rsid w:val="662203DD"/>
    <w:rsid w:val="66690856"/>
    <w:rsid w:val="66DD6702"/>
    <w:rsid w:val="67717763"/>
    <w:rsid w:val="679406CB"/>
    <w:rsid w:val="67C35C0B"/>
    <w:rsid w:val="67EE5681"/>
    <w:rsid w:val="6835707A"/>
    <w:rsid w:val="68652AB3"/>
    <w:rsid w:val="68AD17BB"/>
    <w:rsid w:val="68D94D22"/>
    <w:rsid w:val="692B2E4A"/>
    <w:rsid w:val="694303FB"/>
    <w:rsid w:val="696A0B34"/>
    <w:rsid w:val="698D6A17"/>
    <w:rsid w:val="69EE3535"/>
    <w:rsid w:val="69F954C1"/>
    <w:rsid w:val="6A1B53B3"/>
    <w:rsid w:val="6A2031B6"/>
    <w:rsid w:val="6A440C53"/>
    <w:rsid w:val="6AC61F6F"/>
    <w:rsid w:val="6ADE74F0"/>
    <w:rsid w:val="6B1002C0"/>
    <w:rsid w:val="6B723594"/>
    <w:rsid w:val="6B805156"/>
    <w:rsid w:val="6BD50977"/>
    <w:rsid w:val="6BEA2A9B"/>
    <w:rsid w:val="6C9C0875"/>
    <w:rsid w:val="6CAA3931"/>
    <w:rsid w:val="6CE16403"/>
    <w:rsid w:val="6D3933CA"/>
    <w:rsid w:val="6D7B4F14"/>
    <w:rsid w:val="6D7B61EC"/>
    <w:rsid w:val="6DD049FF"/>
    <w:rsid w:val="6E09491E"/>
    <w:rsid w:val="6E0D3655"/>
    <w:rsid w:val="6E5F4465"/>
    <w:rsid w:val="6E8C54DA"/>
    <w:rsid w:val="6EC07F0A"/>
    <w:rsid w:val="6EF11E03"/>
    <w:rsid w:val="6F111C62"/>
    <w:rsid w:val="6F2176E5"/>
    <w:rsid w:val="6F3053CA"/>
    <w:rsid w:val="6F592303"/>
    <w:rsid w:val="6F5F5B74"/>
    <w:rsid w:val="6F9B1C65"/>
    <w:rsid w:val="6FD47A25"/>
    <w:rsid w:val="6FFB146E"/>
    <w:rsid w:val="701A5C74"/>
    <w:rsid w:val="705D2716"/>
    <w:rsid w:val="706516C3"/>
    <w:rsid w:val="70896E68"/>
    <w:rsid w:val="708E3F52"/>
    <w:rsid w:val="715B60E9"/>
    <w:rsid w:val="718443C3"/>
    <w:rsid w:val="71EA1FED"/>
    <w:rsid w:val="72C16204"/>
    <w:rsid w:val="72E13547"/>
    <w:rsid w:val="730313F6"/>
    <w:rsid w:val="731E1007"/>
    <w:rsid w:val="73277D2D"/>
    <w:rsid w:val="73370D24"/>
    <w:rsid w:val="7359268C"/>
    <w:rsid w:val="739503EB"/>
    <w:rsid w:val="73A05B28"/>
    <w:rsid w:val="73C07D69"/>
    <w:rsid w:val="74B42AE4"/>
    <w:rsid w:val="750A429D"/>
    <w:rsid w:val="755D38A7"/>
    <w:rsid w:val="75614792"/>
    <w:rsid w:val="75784473"/>
    <w:rsid w:val="757E044C"/>
    <w:rsid w:val="75977BC3"/>
    <w:rsid w:val="75B161B3"/>
    <w:rsid w:val="75E470E3"/>
    <w:rsid w:val="763D7D49"/>
    <w:rsid w:val="76736B32"/>
    <w:rsid w:val="76904E06"/>
    <w:rsid w:val="76E3765E"/>
    <w:rsid w:val="76FC2AFA"/>
    <w:rsid w:val="77653671"/>
    <w:rsid w:val="778546CC"/>
    <w:rsid w:val="77B56730"/>
    <w:rsid w:val="77C04A8B"/>
    <w:rsid w:val="77D85DB3"/>
    <w:rsid w:val="780252A0"/>
    <w:rsid w:val="78027772"/>
    <w:rsid w:val="78640816"/>
    <w:rsid w:val="78A50513"/>
    <w:rsid w:val="796518DD"/>
    <w:rsid w:val="796E0C55"/>
    <w:rsid w:val="79AA0532"/>
    <w:rsid w:val="79FE1DDD"/>
    <w:rsid w:val="7A075767"/>
    <w:rsid w:val="7A212062"/>
    <w:rsid w:val="7A282A11"/>
    <w:rsid w:val="7AC21562"/>
    <w:rsid w:val="7AD474A4"/>
    <w:rsid w:val="7B5350AD"/>
    <w:rsid w:val="7B697C89"/>
    <w:rsid w:val="7B8D34C3"/>
    <w:rsid w:val="7B971D84"/>
    <w:rsid w:val="7BF32F03"/>
    <w:rsid w:val="7C0521AE"/>
    <w:rsid w:val="7C1724A5"/>
    <w:rsid w:val="7C223D0F"/>
    <w:rsid w:val="7C687F99"/>
    <w:rsid w:val="7C8E3CCF"/>
    <w:rsid w:val="7CA54112"/>
    <w:rsid w:val="7CE50CE4"/>
    <w:rsid w:val="7D0F54CC"/>
    <w:rsid w:val="7D2E5ABF"/>
    <w:rsid w:val="7E2142A2"/>
    <w:rsid w:val="7E4F5384"/>
    <w:rsid w:val="7E5A6DFA"/>
    <w:rsid w:val="7E624D62"/>
    <w:rsid w:val="7E7B0BF2"/>
    <w:rsid w:val="7E8D75B6"/>
    <w:rsid w:val="7EB2417D"/>
    <w:rsid w:val="7EF760EE"/>
    <w:rsid w:val="7F2A21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7"/>
    <w:unhideWhenUsed/>
    <w:qFormat/>
    <w:uiPriority w:val="9"/>
    <w:pPr>
      <w:keepNext/>
      <w:keepLines/>
      <w:spacing w:line="360" w:lineRule="auto"/>
      <w:outlineLvl w:val="2"/>
    </w:pPr>
    <w:rPr>
      <w:rFonts w:eastAsia="宋体"/>
      <w:b/>
      <w:bCs/>
      <w:sz w:val="24"/>
      <w:szCs w:val="32"/>
    </w:rPr>
  </w:style>
  <w:style w:type="paragraph" w:styleId="6">
    <w:name w:val="heading 4"/>
    <w:basedOn w:val="1"/>
    <w:next w:val="1"/>
    <w:link w:val="2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spacing w:before="161"/>
      <w:ind w:left="120"/>
    </w:pPr>
    <w:rPr>
      <w:rFonts w:ascii="宋体" w:hAnsi="宋体" w:eastAsia="宋体" w:cs="宋体"/>
      <w:sz w:val="24"/>
      <w:lang w:val="zh-CN" w:bidi="zh-CN"/>
    </w:rPr>
  </w:style>
  <w:style w:type="paragraph" w:styleId="3">
    <w:name w:val="Body Text First Indent"/>
    <w:basedOn w:val="2"/>
    <w:unhideWhenUsed/>
    <w:qFormat/>
    <w:uiPriority w:val="99"/>
    <w:pPr>
      <w:ind w:firstLine="420" w:firstLineChars="100"/>
    </w:pPr>
    <w:rPr>
      <w:rFonts w:ascii="Times New Roman" w:hAnsi="Times New Roman" w:cs="Times New Roman"/>
    </w:rPr>
  </w:style>
  <w:style w:type="paragraph" w:styleId="7">
    <w:name w:val="Normal Indent"/>
    <w:basedOn w:val="1"/>
    <w:qFormat/>
    <w:uiPriority w:val="0"/>
    <w:pPr>
      <w:ind w:firstLine="420" w:firstLineChars="200"/>
    </w:pPr>
    <w:rPr>
      <w:rFonts w:asciiTheme="minorHAnsi" w:hAnsiTheme="minorHAnsi"/>
      <w:szCs w:val="24"/>
    </w:rPr>
  </w:style>
  <w:style w:type="paragraph" w:styleId="8">
    <w:name w:val="annotation text"/>
    <w:basedOn w:val="1"/>
    <w:semiHidden/>
    <w:unhideWhenUsed/>
    <w:qFormat/>
    <w:uiPriority w:val="99"/>
  </w:style>
  <w:style w:type="paragraph" w:styleId="9">
    <w:name w:val="toc 3"/>
    <w:basedOn w:val="1"/>
    <w:next w:val="1"/>
    <w:unhideWhenUsed/>
    <w:qFormat/>
    <w:uiPriority w:val="39"/>
    <w:pPr>
      <w:tabs>
        <w:tab w:val="right" w:leader="dot" w:pos="8296"/>
      </w:tabs>
      <w:ind w:left="838" w:leftChars="381"/>
    </w:pPr>
    <w:rPr>
      <w:sz w:val="21"/>
      <w:szCs w:val="21"/>
    </w:rPr>
  </w:style>
  <w:style w:type="paragraph" w:styleId="10">
    <w:name w:val="Plain Text"/>
    <w:basedOn w:val="1"/>
    <w:link w:val="40"/>
    <w:qFormat/>
    <w:uiPriority w:val="0"/>
    <w:pPr>
      <w:widowControl w:val="0"/>
      <w:adjustRightInd/>
      <w:snapToGrid/>
      <w:spacing w:after="0"/>
      <w:jc w:val="both"/>
    </w:pPr>
    <w:rPr>
      <w:rFonts w:ascii="宋体" w:hAnsi="Courier New" w:eastAsia="宋体" w:cs="Times New Roman"/>
      <w:b/>
      <w:kern w:val="2"/>
      <w:sz w:val="21"/>
      <w:szCs w:val="20"/>
    </w:rPr>
  </w:style>
  <w:style w:type="paragraph" w:styleId="11">
    <w:name w:val="Balloon Text"/>
    <w:basedOn w:val="1"/>
    <w:link w:val="43"/>
    <w:semiHidden/>
    <w:unhideWhenUsed/>
    <w:qFormat/>
    <w:uiPriority w:val="99"/>
    <w:pPr>
      <w:spacing w:after="0"/>
    </w:pPr>
    <w:rPr>
      <w:sz w:val="18"/>
      <w:szCs w:val="18"/>
    </w:rPr>
  </w:style>
  <w:style w:type="paragraph" w:styleId="12">
    <w:name w:val="footer"/>
    <w:basedOn w:val="1"/>
    <w:link w:val="42"/>
    <w:unhideWhenUsed/>
    <w:qFormat/>
    <w:uiPriority w:val="99"/>
    <w:pPr>
      <w:tabs>
        <w:tab w:val="center" w:pos="4153"/>
        <w:tab w:val="right" w:pos="8306"/>
      </w:tabs>
    </w:pPr>
    <w:rPr>
      <w:sz w:val="18"/>
      <w:szCs w:val="18"/>
    </w:rPr>
  </w:style>
  <w:style w:type="paragraph" w:styleId="13">
    <w:name w:val="header"/>
    <w:basedOn w:val="1"/>
    <w:link w:val="41"/>
    <w:unhideWhenUsed/>
    <w:qFormat/>
    <w:uiPriority w:val="99"/>
    <w:pPr>
      <w:pBdr>
        <w:bottom w:val="single" w:color="auto" w:sz="6" w:space="1"/>
      </w:pBdr>
      <w:tabs>
        <w:tab w:val="center" w:pos="4153"/>
        <w:tab w:val="right" w:pos="8306"/>
      </w:tabs>
      <w:jc w:val="center"/>
    </w:pPr>
    <w:rPr>
      <w:sz w:val="18"/>
      <w:szCs w:val="18"/>
    </w:rPr>
  </w:style>
  <w:style w:type="paragraph" w:styleId="14">
    <w:name w:val="toc 1"/>
    <w:basedOn w:val="1"/>
    <w:next w:val="1"/>
    <w:semiHidden/>
    <w:unhideWhenUsed/>
    <w:qFormat/>
    <w:uiPriority w:val="39"/>
  </w:style>
  <w:style w:type="paragraph" w:styleId="15">
    <w:name w:val="toc 4"/>
    <w:basedOn w:val="1"/>
    <w:next w:val="1"/>
    <w:unhideWhenUsed/>
    <w:qFormat/>
    <w:uiPriority w:val="39"/>
    <w:pPr>
      <w:tabs>
        <w:tab w:val="right" w:leader="dot" w:pos="8296"/>
      </w:tabs>
      <w:spacing w:after="120"/>
      <w:ind w:left="1320" w:leftChars="600"/>
    </w:pPr>
  </w:style>
  <w:style w:type="paragraph" w:styleId="16">
    <w:name w:val="footnote text"/>
    <w:basedOn w:val="1"/>
    <w:semiHidden/>
    <w:unhideWhenUsed/>
    <w:qFormat/>
    <w:uiPriority w:val="99"/>
    <w:rPr>
      <w:sz w:val="18"/>
    </w:rPr>
  </w:style>
  <w:style w:type="paragraph" w:styleId="17">
    <w:name w:val="toc 2"/>
    <w:basedOn w:val="1"/>
    <w:next w:val="1"/>
    <w:unhideWhenUsed/>
    <w:qFormat/>
    <w:uiPriority w:val="39"/>
    <w:pPr>
      <w:tabs>
        <w:tab w:val="right" w:leader="dot" w:pos="8296"/>
      </w:tabs>
      <w:spacing w:after="0" w:line="360" w:lineRule="auto"/>
      <w:ind w:left="440" w:leftChars="200"/>
      <w:jc w:val="center"/>
    </w:pPr>
    <w:rPr>
      <w:rFonts w:ascii="宋体" w:hAnsi="宋体" w:eastAsia="宋体"/>
      <w:sz w:val="30"/>
      <w:szCs w:val="30"/>
    </w:rPr>
  </w:style>
  <w:style w:type="paragraph" w:styleId="18">
    <w:name w:val="Normal (Web)"/>
    <w:basedOn w:val="1"/>
    <w:link w:val="45"/>
    <w:qFormat/>
    <w:uiPriority w:val="0"/>
    <w:pPr>
      <w:widowControl w:val="0"/>
      <w:adjustRightInd/>
      <w:snapToGrid/>
      <w:spacing w:after="0"/>
      <w:jc w:val="both"/>
    </w:pPr>
    <w:rPr>
      <w:rFonts w:eastAsia="宋体" w:asciiTheme="minorHAnsi" w:hAnsiTheme="minorHAnsi"/>
      <w:kern w:val="2"/>
      <w:sz w:val="24"/>
      <w:szCs w:val="24"/>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Emphasis"/>
    <w:basedOn w:val="21"/>
    <w:qFormat/>
    <w:uiPriority w:val="20"/>
    <w:rPr>
      <w:i/>
      <w:iCs/>
    </w:rPr>
  </w:style>
  <w:style w:type="character" w:styleId="23">
    <w:name w:val="Hyperlink"/>
    <w:qFormat/>
    <w:uiPriority w:val="99"/>
    <w:rPr>
      <w:rFonts w:hint="eastAsia" w:ascii="宋体" w:hAnsi="宋体" w:eastAsia="宋体" w:cs="宋体"/>
      <w:b/>
      <w:color w:val="0031C1"/>
      <w:kern w:val="0"/>
      <w:sz w:val="18"/>
      <w:szCs w:val="18"/>
      <w:u w:val="none"/>
      <w:lang w:eastAsia="en-US"/>
    </w:rPr>
  </w:style>
  <w:style w:type="character" w:styleId="24">
    <w:name w:val="annotation reference"/>
    <w:basedOn w:val="21"/>
    <w:semiHidden/>
    <w:unhideWhenUsed/>
    <w:qFormat/>
    <w:uiPriority w:val="99"/>
    <w:rPr>
      <w:sz w:val="21"/>
      <w:szCs w:val="21"/>
    </w:rPr>
  </w:style>
  <w:style w:type="character" w:styleId="25">
    <w:name w:val="footnote reference"/>
    <w:basedOn w:val="21"/>
    <w:semiHidden/>
    <w:unhideWhenUsed/>
    <w:qFormat/>
    <w:uiPriority w:val="99"/>
    <w:rPr>
      <w:vertAlign w:val="superscript"/>
    </w:rPr>
  </w:style>
  <w:style w:type="character" w:customStyle="1" w:styleId="26">
    <w:name w:val="标题 2 Char"/>
    <w:basedOn w:val="21"/>
    <w:link w:val="4"/>
    <w:qFormat/>
    <w:uiPriority w:val="9"/>
    <w:rPr>
      <w:rFonts w:asciiTheme="majorHAnsi" w:hAnsiTheme="majorHAnsi" w:eastAsiaTheme="majorEastAsia" w:cstheme="majorBidi"/>
      <w:b/>
      <w:bCs/>
      <w:sz w:val="32"/>
      <w:szCs w:val="32"/>
    </w:rPr>
  </w:style>
  <w:style w:type="character" w:customStyle="1" w:styleId="27">
    <w:name w:val="标题 3 Char"/>
    <w:basedOn w:val="21"/>
    <w:link w:val="5"/>
    <w:qFormat/>
    <w:uiPriority w:val="9"/>
    <w:rPr>
      <w:rFonts w:ascii="Tahoma" w:hAnsi="Tahoma" w:eastAsia="宋体"/>
      <w:b/>
      <w:bCs/>
      <w:sz w:val="24"/>
      <w:szCs w:val="32"/>
    </w:rPr>
  </w:style>
  <w:style w:type="paragraph" w:styleId="28">
    <w:name w:val="List Paragraph"/>
    <w:basedOn w:val="1"/>
    <w:qFormat/>
    <w:uiPriority w:val="34"/>
    <w:pPr>
      <w:ind w:firstLine="420" w:firstLineChars="200"/>
    </w:pPr>
  </w:style>
  <w:style w:type="character" w:customStyle="1" w:styleId="29">
    <w:name w:val="标题 4 Char"/>
    <w:basedOn w:val="21"/>
    <w:link w:val="6"/>
    <w:qFormat/>
    <w:uiPriority w:val="9"/>
    <w:rPr>
      <w:rFonts w:asciiTheme="majorHAnsi" w:hAnsiTheme="majorHAnsi" w:eastAsiaTheme="majorEastAsia" w:cstheme="majorBidi"/>
      <w:b/>
      <w:bCs/>
      <w:sz w:val="28"/>
      <w:szCs w:val="28"/>
    </w:rPr>
  </w:style>
  <w:style w:type="character" w:customStyle="1" w:styleId="30">
    <w:name w:val="正文缩进2格 Char"/>
    <w:link w:val="31"/>
    <w:qFormat/>
    <w:uiPriority w:val="0"/>
    <w:rPr>
      <w:rFonts w:ascii="仿宋_GB2312" w:hAnsi="宋体" w:eastAsia="仿宋_GB2312"/>
      <w:kern w:val="2"/>
      <w:sz w:val="31"/>
    </w:rPr>
  </w:style>
  <w:style w:type="paragraph" w:customStyle="1" w:styleId="31">
    <w:name w:val="正文缩进2格"/>
    <w:basedOn w:val="1"/>
    <w:link w:val="30"/>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32">
    <w:name w:val="正文缩进4格"/>
    <w:basedOn w:val="31"/>
    <w:qFormat/>
    <w:uiPriority w:val="0"/>
    <w:pPr>
      <w:ind w:left="2" w:firstLine="538" w:firstLineChars="192"/>
    </w:pPr>
    <w:rPr>
      <w:color w:val="0000FF"/>
      <w:sz w:val="28"/>
    </w:rPr>
  </w:style>
  <w:style w:type="character" w:customStyle="1" w:styleId="33">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34">
    <w:name w:val="_Style 3"/>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35">
    <w:name w:val="标题1"/>
    <w:qFormat/>
    <w:uiPriority w:val="0"/>
    <w:rPr>
      <w:rFonts w:ascii="Times New Roman" w:hAnsi="Times New Roman" w:eastAsia="宋体" w:cs="Times New Roman"/>
      <w:b/>
      <w:kern w:val="0"/>
      <w:sz w:val="24"/>
      <w:szCs w:val="20"/>
      <w:lang w:eastAsia="en-US"/>
    </w:rPr>
  </w:style>
  <w:style w:type="character" w:customStyle="1" w:styleId="36">
    <w:name w:val="标题 3.1 Char"/>
    <w:link w:val="37"/>
    <w:qFormat/>
    <w:uiPriority w:val="0"/>
    <w:rPr>
      <w:rFonts w:ascii="宋体" w:hAnsi="宋体" w:eastAsia="宋体"/>
      <w:b/>
      <w:color w:val="FF0000"/>
      <w:kern w:val="2"/>
      <w:sz w:val="32"/>
    </w:rPr>
  </w:style>
  <w:style w:type="paragraph" w:customStyle="1" w:styleId="37">
    <w:name w:val="标题 3.1"/>
    <w:basedOn w:val="5"/>
    <w:link w:val="36"/>
    <w:qFormat/>
    <w:uiPriority w:val="0"/>
    <w:pPr>
      <w:widowControl w:val="0"/>
      <w:tabs>
        <w:tab w:val="left" w:pos="1440"/>
        <w:tab w:val="left" w:pos="1620"/>
      </w:tabs>
      <w:adjustRightInd/>
      <w:snapToGrid/>
      <w:spacing w:line="600" w:lineRule="exact"/>
      <w:jc w:val="both"/>
    </w:pPr>
    <w:rPr>
      <w:rFonts w:ascii="宋体" w:hAnsi="宋体"/>
      <w:bCs w:val="0"/>
      <w:color w:val="FF0000"/>
      <w:kern w:val="2"/>
      <w:szCs w:val="22"/>
    </w:rPr>
  </w:style>
  <w:style w:type="character" w:customStyle="1" w:styleId="38">
    <w:name w:val="样式 楷体_GB2312 小四"/>
    <w:qFormat/>
    <w:uiPriority w:val="0"/>
    <w:rPr>
      <w:rFonts w:ascii="楷体_GB2312" w:hAnsi="楷体_GB2312" w:eastAsia="仿宋_GB2312"/>
      <w:sz w:val="24"/>
    </w:rPr>
  </w:style>
  <w:style w:type="character" w:customStyle="1" w:styleId="39">
    <w:name w:val="纯文本 Char"/>
    <w:qFormat/>
    <w:uiPriority w:val="0"/>
    <w:rPr>
      <w:rFonts w:ascii="宋体" w:hAnsi="Courier New" w:eastAsia="宋体" w:cs="Times New Roman"/>
      <w:b/>
      <w:kern w:val="2"/>
      <w:sz w:val="21"/>
      <w:szCs w:val="20"/>
    </w:rPr>
  </w:style>
  <w:style w:type="character" w:customStyle="1" w:styleId="40">
    <w:name w:val="纯文本 Char1"/>
    <w:basedOn w:val="21"/>
    <w:link w:val="10"/>
    <w:semiHidden/>
    <w:qFormat/>
    <w:uiPriority w:val="99"/>
    <w:rPr>
      <w:rFonts w:ascii="宋体" w:hAnsi="Courier New" w:eastAsia="宋体" w:cs="Courier New"/>
      <w:sz w:val="21"/>
      <w:szCs w:val="21"/>
    </w:rPr>
  </w:style>
  <w:style w:type="character" w:customStyle="1" w:styleId="41">
    <w:name w:val="页眉 Char"/>
    <w:basedOn w:val="21"/>
    <w:link w:val="13"/>
    <w:qFormat/>
    <w:uiPriority w:val="99"/>
    <w:rPr>
      <w:rFonts w:ascii="Tahoma" w:hAnsi="Tahoma"/>
      <w:sz w:val="18"/>
      <w:szCs w:val="18"/>
    </w:rPr>
  </w:style>
  <w:style w:type="character" w:customStyle="1" w:styleId="42">
    <w:name w:val="页脚 Char"/>
    <w:basedOn w:val="21"/>
    <w:link w:val="12"/>
    <w:qFormat/>
    <w:uiPriority w:val="99"/>
    <w:rPr>
      <w:rFonts w:ascii="Tahoma" w:hAnsi="Tahoma"/>
      <w:sz w:val="18"/>
      <w:szCs w:val="18"/>
    </w:rPr>
  </w:style>
  <w:style w:type="character" w:customStyle="1" w:styleId="43">
    <w:name w:val="批注框文本 Char"/>
    <w:basedOn w:val="21"/>
    <w:link w:val="11"/>
    <w:semiHidden/>
    <w:qFormat/>
    <w:uiPriority w:val="99"/>
    <w:rPr>
      <w:rFonts w:ascii="Tahoma" w:hAnsi="Tahoma"/>
      <w:sz w:val="18"/>
      <w:szCs w:val="18"/>
    </w:rPr>
  </w:style>
  <w:style w:type="paragraph" w:customStyle="1" w:styleId="44">
    <w:name w:val="Char Char2 Char"/>
    <w:basedOn w:val="1"/>
    <w:qFormat/>
    <w:uiPriority w:val="0"/>
    <w:pPr>
      <w:widowControl w:val="0"/>
      <w:adjustRightInd/>
      <w:snapToGrid/>
      <w:spacing w:after="0"/>
      <w:jc w:val="both"/>
    </w:pPr>
    <w:rPr>
      <w:rFonts w:ascii="宋体" w:hAnsi="宋体" w:eastAsia="宋体" w:cs="Times New Roman"/>
      <w:b/>
      <w:kern w:val="2"/>
      <w:sz w:val="28"/>
      <w:szCs w:val="28"/>
    </w:rPr>
  </w:style>
  <w:style w:type="character" w:customStyle="1" w:styleId="45">
    <w:name w:val="普通(网站) Char"/>
    <w:link w:val="18"/>
    <w:qFormat/>
    <w:uiPriority w:val="0"/>
    <w:rPr>
      <w:rFonts w:eastAsia="宋体"/>
      <w:kern w:val="2"/>
      <w:sz w:val="24"/>
      <w:szCs w:val="24"/>
    </w:rPr>
  </w:style>
  <w:style w:type="paragraph" w:customStyle="1" w:styleId="46">
    <w:name w:val="列出段落1"/>
    <w:basedOn w:val="1"/>
    <w:qFormat/>
    <w:uiPriority w:val="99"/>
    <w:pPr>
      <w:widowControl w:val="0"/>
      <w:adjustRightInd/>
      <w:snapToGrid/>
      <w:spacing w:after="0" w:line="360" w:lineRule="auto"/>
      <w:ind w:firstLine="420" w:firstLineChars="200"/>
      <w:jc w:val="both"/>
    </w:pPr>
    <w:rPr>
      <w:rFonts w:ascii="Times New Roman" w:hAnsi="Times New Roman" w:eastAsia="宋体" w:cs="Times New Roman"/>
      <w:kern w:val="2"/>
      <w:sz w:val="24"/>
      <w:szCs w:val="24"/>
    </w:rPr>
  </w:style>
  <w:style w:type="character" w:customStyle="1" w:styleId="47">
    <w:name w:val="p141"/>
    <w:qFormat/>
    <w:uiPriority w:val="0"/>
    <w:rPr>
      <w:sz w:val="21"/>
      <w:szCs w:val="21"/>
    </w:rPr>
  </w:style>
  <w:style w:type="paragraph" w:customStyle="1" w:styleId="48">
    <w:name w:val="ncgp标题2"/>
    <w:qFormat/>
    <w:uiPriority w:val="99"/>
    <w:pPr>
      <w:widowControl w:val="0"/>
      <w:numPr>
        <w:ilvl w:val="1"/>
        <w:numId w:val="1"/>
      </w:numPr>
      <w:spacing w:beforeLines="50"/>
      <w:jc w:val="both"/>
      <w:outlineLvl w:val="1"/>
    </w:pPr>
    <w:rPr>
      <w:rFonts w:ascii="Times New Roman" w:hAnsi="Times New Roman" w:eastAsia="宋体" w:cs="Times New Roman"/>
      <w:b/>
      <w:bCs/>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51F6C7-4A4C-4B29-9E62-8F1CAB44186D}">
  <ds:schemaRefs/>
</ds:datastoreItem>
</file>

<file path=docProps/app.xml><?xml version="1.0" encoding="utf-8"?>
<Properties xmlns="http://schemas.openxmlformats.org/officeDocument/2006/extended-properties" xmlns:vt="http://schemas.openxmlformats.org/officeDocument/2006/docPropsVTypes">
  <Template>Normal</Template>
  <Manager>HLR</Manager>
  <Company>广东三方诚信招标有限公司东莞分公司</Company>
  <Pages>1</Pages>
  <Words>7873</Words>
  <Characters>44881</Characters>
  <Lines>374</Lines>
  <Paragraphs>105</Paragraphs>
  <TotalTime>0</TotalTime>
  <ScaleCrop>false</ScaleCrop>
  <LinksUpToDate>false</LinksUpToDate>
  <CharactersWithSpaces>52649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文件</cp:category>
  <dcterms:created xsi:type="dcterms:W3CDTF">2021-03-23T00:35:00Z</dcterms:created>
  <dc:creator>广东三方诚信招标有限公司东莞分公司</dc:creator>
  <cp:keywords>文件格式版本</cp:keywords>
  <cp:lastModifiedBy>嗨呀</cp:lastModifiedBy>
  <cp:lastPrinted>2021-04-12T07:52:00Z</cp:lastPrinted>
  <dcterms:modified xsi:type="dcterms:W3CDTF">2021-04-14T02:09:50Z</dcterms:modified>
  <dc:subject>公开招标文件版本</dc:subject>
  <dc:title>公开招标文件版本</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95BFD5230EC64E44AA206DFADB202406</vt:lpwstr>
  </property>
</Properties>
</file>