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0"/>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7"/>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东莞滨海湾新区交椅湾智慧道路(二期）滨海湾大道、中海路、华海路、振海路、东海路前端设备采购项目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441900011-2021-00040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Arial" w:hAnsi="Arial" w:eastAsia="黑体" w:cs="Arial"/>
                <w:bCs/>
                <w:color w:val="auto"/>
                <w:kern w:val="2"/>
                <w:sz w:val="32"/>
                <w:szCs w:val="24"/>
                <w:highlight w:val="none"/>
              </w:rPr>
              <w:t>东莞滨海湾新区管理委员会</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23"/>
        <w:rPr>
          <w:color w:val="auto"/>
          <w:sz w:val="32"/>
          <w:szCs w:val="32"/>
          <w:highlight w:val="none"/>
        </w:rPr>
        <w:sectPr>
          <w:footerReference r:id="rId6" w:type="first"/>
          <w:headerReference r:id="rId4" w:type="default"/>
          <w:footerReference r:id="rId5" w:type="default"/>
          <w:pgSz w:w="11906" w:h="16838"/>
          <w:pgMar w:top="1440" w:right="1800" w:bottom="1440" w:left="1800" w:header="708" w:footer="708" w:gutter="0"/>
          <w:pgNumType w:fmt="decimal"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1"/>
                    <a:srcRect l="6033" t="52170" r="5754" b="9299"/>
                    <a:stretch>
                      <a:fillRect/>
                    </a:stretch>
                  </pic:blipFill>
                  <pic:spPr>
                    <a:xfrm>
                      <a:off x="0" y="0"/>
                      <a:ext cx="3716020" cy="633730"/>
                    </a:xfrm>
                    <a:prstGeom prst="rect">
                      <a:avLst/>
                    </a:prstGeom>
                  </pic:spPr>
                </pic:pic>
              </a:graphicData>
            </a:graphic>
          </wp:inline>
        </w:drawing>
      </w:r>
    </w:p>
    <w:p>
      <w:pPr>
        <w:pStyle w:val="23"/>
        <w:rPr>
          <w:color w:val="auto"/>
          <w:sz w:val="40"/>
          <w:szCs w:val="40"/>
          <w:highlight w:val="none"/>
        </w:rPr>
      </w:pPr>
      <w:r>
        <w:rPr>
          <w:rFonts w:hint="eastAsia"/>
          <w:color w:val="auto"/>
          <w:sz w:val="40"/>
          <w:szCs w:val="40"/>
          <w:highlight w:val="none"/>
        </w:rPr>
        <w:t>目录</w:t>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119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135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138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r>
        <w:rPr>
          <w:rFonts w:hint="eastAsia"/>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东莞滨海湾新区管理委员会</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东莞滨海湾新区交椅湾智慧道路(二期）滨海湾大道、中海路、华海路、振海路、东海路前端设备采购项目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441900011-2021-00040</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东莞滨海湾新区交椅湾智慧道路(二期）滨海湾大道、中海路、华海路、振海路、东海路前端设备采购项目</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rPr>
        <w:t>82</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262</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039.71</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投标人具有在有效期内建筑机电工程专业承包甲级资质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城市及道路照明工程专业承包</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建筑机电安装工程专业承包</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一级资质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市政公用工程施工总承包</w:t>
      </w:r>
      <w:r>
        <w:rPr>
          <w:rFonts w:hint="eastAsia" w:ascii="宋体" w:hAnsi="宋体" w:eastAsia="宋体"/>
          <w:color w:val="auto"/>
          <w:sz w:val="21"/>
          <w:szCs w:val="21"/>
          <w:highlight w:val="none"/>
          <w:lang w:val="en-US" w:eastAsia="zh-CN"/>
        </w:rPr>
        <w:t>甲级</w:t>
      </w:r>
      <w:r>
        <w:rPr>
          <w:rFonts w:hint="eastAsia" w:ascii="宋体" w:hAnsi="宋体" w:eastAsia="宋体"/>
          <w:color w:val="auto"/>
          <w:sz w:val="21"/>
          <w:szCs w:val="21"/>
          <w:highlight w:val="none"/>
        </w:rPr>
        <w:t>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市政公用工程施工总承包一级资质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机电工程施工总承包</w:t>
      </w:r>
      <w:r>
        <w:rPr>
          <w:rFonts w:hint="eastAsia" w:ascii="宋体" w:hAnsi="宋体" w:eastAsia="宋体"/>
          <w:color w:val="auto"/>
          <w:sz w:val="21"/>
          <w:szCs w:val="21"/>
          <w:highlight w:val="none"/>
          <w:lang w:val="en-US" w:eastAsia="zh-CN"/>
        </w:rPr>
        <w:t>甲级</w:t>
      </w:r>
      <w:r>
        <w:rPr>
          <w:rFonts w:hint="eastAsia" w:ascii="宋体" w:hAnsi="宋体" w:eastAsia="宋体"/>
          <w:color w:val="auto"/>
          <w:sz w:val="21"/>
          <w:szCs w:val="21"/>
          <w:highlight w:val="none"/>
        </w:rPr>
        <w:t>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机电工程施工总承包一级资质</w:t>
      </w:r>
      <w:r>
        <w:rPr>
          <w:rFonts w:hint="eastAsia" w:ascii="宋体" w:hAnsi="宋体" w:eastAsia="宋体"/>
          <w:color w:val="auto"/>
          <w:sz w:val="21"/>
          <w:szCs w:val="21"/>
          <w:highlight w:val="none"/>
          <w:lang w:eastAsia="zh-CN"/>
        </w:rPr>
        <w:t>）；</w:t>
      </w:r>
    </w:p>
    <w:p>
      <w:pPr>
        <w:spacing w:after="0" w:line="360" w:lineRule="auto"/>
        <w:ind w:firstLine="411" w:firstLineChars="196"/>
        <w:rPr>
          <w:rFonts w:hint="default" w:ascii="宋体" w:hAnsi="宋体" w:eastAsia="宋体"/>
          <w:b/>
          <w:color w:val="auto"/>
          <w:sz w:val="21"/>
          <w:szCs w:val="21"/>
          <w:highlight w:val="none"/>
          <w:lang w:val="en-US" w:eastAsia="zh-CN"/>
        </w:rPr>
      </w:pPr>
      <w:r>
        <w:rPr>
          <w:rFonts w:hint="eastAsia" w:ascii="宋体" w:hAnsi="宋体" w:eastAsia="宋体"/>
          <w:color w:val="auto"/>
          <w:sz w:val="21"/>
          <w:szCs w:val="21"/>
          <w:highlight w:val="none"/>
          <w:lang w:val="en-US" w:eastAsia="zh-CN"/>
        </w:rPr>
        <w:t>注：上述资质要求，依据住房和城乡建设部2020年11月30日关于印发《建设工程企业资质管理制度改革方案》的通知，在更换资质证书前有效期内适用于本项目资质证书的均为有效资格条件。</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五、投标截止时间、开标时间及地点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pStyle w:val="13"/>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ind w:firstLine="422" w:firstLineChars="200"/>
        <w:rPr>
          <w:rFonts w:ascii="宋体" w:hAnsi="宋体" w:eastAsia="宋体"/>
          <w:bCs/>
          <w:color w:val="auto"/>
          <w:sz w:val="21"/>
          <w:szCs w:val="21"/>
          <w:highlight w:val="none"/>
        </w:rPr>
      </w:pPr>
      <w:r>
        <w:rPr>
          <w:rFonts w:hint="eastAsia" w:ascii="宋体" w:hAnsi="宋体" w:eastAsia="宋体"/>
          <w:b/>
          <w:color w:val="auto"/>
          <w:sz w:val="21"/>
          <w:szCs w:val="21"/>
          <w:highlight w:val="none"/>
        </w:rPr>
        <w:t>六、采购人及采购代理机构的名称、地址和联系方法：</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采购人联系人：陈小姐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地址：东莞市长安镇滨海湾新区湾区一号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联系电话：0769-26889679</w:t>
      </w:r>
    </w:p>
    <w:p>
      <w:pPr>
        <w:bidi w:val="0"/>
        <w:rPr>
          <w:color w:val="auto"/>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rPr>
        <w:t>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2021年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234" w:name="_GoBack"/>
      <w:bookmarkEnd w:id="234"/>
      <w:bookmarkStart w:id="1" w:name="_Toc14146"/>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26"/>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u w:val="single"/>
                <w:lang w:val="en-US" w:eastAsia="zh-CN"/>
              </w:rPr>
              <w:t>捌拾叁万</w:t>
            </w:r>
            <w:r>
              <w:rPr>
                <w:rFonts w:hint="eastAsia" w:ascii="宋体" w:hAnsi="宋体" w:eastAsia="宋体"/>
                <w:b/>
                <w:color w:val="auto"/>
                <w:sz w:val="21"/>
                <w:szCs w:val="21"/>
                <w:highlight w:val="none"/>
              </w:rPr>
              <w:t>元整</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lang w:val="en-US" w:eastAsia="zh-CN"/>
              </w:rPr>
              <w:t>830,000.00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号：6232590699050026010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shd w:val="clear" w:color="auto" w:fill="auto"/>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履约保证金</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b/>
                <w:bCs/>
                <w:color w:val="auto"/>
                <w:sz w:val="18"/>
                <w:szCs w:val="18"/>
                <w:highlight w:val="none"/>
              </w:rPr>
            </w:pPr>
            <w:r>
              <w:rPr>
                <w:rFonts w:hint="eastAsia" w:ascii="宋体" w:eastAsia="宋体" w:cs="宋体"/>
                <w:color w:val="auto"/>
                <w:sz w:val="21"/>
                <w:szCs w:val="21"/>
                <w:highlight w:val="none"/>
              </w:rPr>
              <w:t>商务评审（10）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90" w:type="dxa"/>
            <w:vMerge w:val="restart"/>
            <w:tcBorders>
              <w:top w:val="single" w:color="auto" w:sz="4" w:space="0"/>
              <w:left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607" w:type="dxa"/>
            <w:vMerge w:val="restart"/>
            <w:tcBorders>
              <w:top w:val="single" w:color="auto" w:sz="4" w:space="0"/>
              <w:left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投标人实力</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w:t>
            </w:r>
            <w:r>
              <w:rPr>
                <w:rFonts w:hint="eastAsia" w:ascii="宋体" w:hAnsi="宋体" w:eastAsia="宋体" w:cs="宋体"/>
                <w:color w:val="auto"/>
                <w:kern w:val="2"/>
                <w:sz w:val="21"/>
                <w:szCs w:val="21"/>
                <w:highlight w:val="none"/>
                <w:lang w:val="zh-CN"/>
              </w:rPr>
              <w:t>质量管理体系认证证书、环境管理体系认证证书、</w:t>
            </w:r>
            <w:r>
              <w:rPr>
                <w:rFonts w:hint="eastAsia" w:ascii="宋体" w:eastAsia="宋体" w:cs="宋体"/>
                <w:bCs/>
                <w:color w:val="auto"/>
                <w:sz w:val="21"/>
                <w:szCs w:val="21"/>
                <w:highlight w:val="none"/>
                <w:lang w:val="zh-CN"/>
              </w:rPr>
              <w:t>职业健康安全管理体系认证</w:t>
            </w:r>
            <w:r>
              <w:rPr>
                <w:rFonts w:hint="eastAsia" w:ascii="宋体" w:eastAsia="宋体" w:cs="宋体"/>
                <w:bCs/>
                <w:color w:val="auto"/>
                <w:sz w:val="21"/>
                <w:szCs w:val="21"/>
                <w:highlight w:val="none"/>
              </w:rPr>
              <w:t>证书</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能源管理</w:t>
            </w:r>
            <w:r>
              <w:rPr>
                <w:rFonts w:hint="eastAsia" w:ascii="宋体" w:hAnsi="宋体" w:eastAsia="宋体" w:cs="宋体"/>
                <w:color w:val="auto"/>
                <w:kern w:val="2"/>
                <w:sz w:val="21"/>
                <w:szCs w:val="21"/>
                <w:highlight w:val="none"/>
                <w:lang w:val="zh-CN"/>
              </w:rPr>
              <w:t>体系认证证书的，每提供一个证书得</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zh-CN"/>
              </w:rPr>
              <w:t>分，本项最高得</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分。</w:t>
            </w:r>
          </w:p>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val="zh-CN"/>
              </w:rPr>
              <w:t>提供</w:t>
            </w:r>
            <w:r>
              <w:rPr>
                <w:rFonts w:hint="eastAsia" w:ascii="宋体" w:hAnsi="宋体" w:eastAsia="宋体" w:cs="宋体"/>
                <w:color w:val="auto"/>
                <w:kern w:val="2"/>
                <w:sz w:val="21"/>
                <w:szCs w:val="21"/>
                <w:highlight w:val="none"/>
              </w:rPr>
              <w:t>有效</w:t>
            </w:r>
            <w:r>
              <w:rPr>
                <w:rFonts w:hint="eastAsia" w:ascii="宋体" w:hAnsi="宋体" w:eastAsia="宋体" w:cs="宋体"/>
                <w:color w:val="auto"/>
                <w:kern w:val="2"/>
                <w:sz w:val="21"/>
                <w:szCs w:val="21"/>
                <w:highlight w:val="none"/>
                <w:lang w:val="zh-CN"/>
              </w:rPr>
              <w:t>证书复印件</w:t>
            </w:r>
            <w:r>
              <w:rPr>
                <w:rFonts w:hint="eastAsia" w:ascii="宋体" w:hAnsi="宋体" w:eastAsia="宋体" w:cs="宋体"/>
                <w:color w:val="auto"/>
                <w:kern w:val="2"/>
                <w:sz w:val="21"/>
                <w:szCs w:val="21"/>
                <w:highlight w:val="none"/>
              </w:rPr>
              <w:t>并加盖公章</w:t>
            </w:r>
            <w:r>
              <w:rPr>
                <w:rFonts w:hint="eastAsia" w:ascii="宋体" w:hAnsi="宋体" w:eastAsia="宋体" w:cs="宋体"/>
                <w:color w:val="auto"/>
                <w:kern w:val="2"/>
                <w:sz w:val="21"/>
                <w:szCs w:val="21"/>
                <w:highlight w:val="none"/>
                <w:lang w:val="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690" w:type="dxa"/>
            <w:vMerge w:val="continue"/>
            <w:tcBorders>
              <w:left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p>
        </w:tc>
        <w:tc>
          <w:tcPr>
            <w:tcW w:w="1607" w:type="dxa"/>
            <w:vMerge w:val="continue"/>
            <w:tcBorders>
              <w:left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投标人具有信息安全服务资质认证证书，得2分，无不得分。</w:t>
            </w:r>
          </w:p>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val="zh-CN"/>
              </w:rPr>
              <w:t>提供</w:t>
            </w:r>
            <w:r>
              <w:rPr>
                <w:rFonts w:hint="eastAsia" w:ascii="宋体" w:hAnsi="宋体" w:eastAsia="宋体" w:cs="宋体"/>
                <w:color w:val="auto"/>
                <w:kern w:val="2"/>
                <w:sz w:val="21"/>
                <w:szCs w:val="21"/>
                <w:highlight w:val="none"/>
              </w:rPr>
              <w:t>有效</w:t>
            </w:r>
            <w:r>
              <w:rPr>
                <w:rFonts w:hint="eastAsia" w:ascii="宋体" w:hAnsi="宋体" w:eastAsia="宋体" w:cs="宋体"/>
                <w:color w:val="auto"/>
                <w:kern w:val="2"/>
                <w:sz w:val="21"/>
                <w:szCs w:val="21"/>
                <w:highlight w:val="none"/>
                <w:lang w:val="zh-CN"/>
              </w:rPr>
              <w:t>证书复印件</w:t>
            </w:r>
            <w:r>
              <w:rPr>
                <w:rFonts w:hint="eastAsia" w:ascii="宋体" w:hAnsi="宋体" w:eastAsia="宋体" w:cs="宋体"/>
                <w:color w:val="auto"/>
                <w:kern w:val="2"/>
                <w:sz w:val="21"/>
                <w:szCs w:val="21"/>
                <w:highlight w:val="none"/>
              </w:rPr>
              <w:t>并加盖投标人公章</w:t>
            </w:r>
            <w:r>
              <w:rPr>
                <w:rFonts w:hint="eastAsia" w:ascii="宋体" w:hAnsi="宋体" w:eastAsia="宋体" w:cs="宋体"/>
                <w:color w:val="auto"/>
                <w:kern w:val="2"/>
                <w:sz w:val="21"/>
                <w:szCs w:val="21"/>
                <w:highlight w:val="none"/>
                <w:lang w:val="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业绩情况</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投标人具有</w:t>
            </w:r>
            <w:r>
              <w:rPr>
                <w:rFonts w:hint="eastAsia" w:ascii="宋体" w:hAnsi="宋体" w:eastAsia="宋体" w:cs="宋体"/>
                <w:color w:val="auto"/>
                <w:kern w:val="2"/>
                <w:sz w:val="21"/>
                <w:szCs w:val="21"/>
                <w:highlight w:val="none"/>
              </w:rPr>
              <w:t>智慧（智能）灯杆（路灯）的设备销售</w:t>
            </w:r>
            <w:r>
              <w:rPr>
                <w:rFonts w:hint="eastAsia" w:ascii="宋体" w:hAnsi="宋体" w:eastAsia="宋体" w:cs="宋体"/>
                <w:color w:val="auto"/>
                <w:kern w:val="2"/>
                <w:sz w:val="21"/>
                <w:szCs w:val="21"/>
                <w:highlight w:val="none"/>
                <w:lang w:eastAsia="zh-Hans"/>
              </w:rPr>
              <w:t>或改造或</w:t>
            </w:r>
            <w:r>
              <w:rPr>
                <w:rFonts w:hint="eastAsia" w:ascii="宋体" w:hAnsi="宋体" w:eastAsia="宋体" w:cs="宋体"/>
                <w:color w:val="auto"/>
                <w:kern w:val="2"/>
                <w:sz w:val="21"/>
                <w:szCs w:val="21"/>
                <w:highlight w:val="none"/>
              </w:rPr>
              <w:t>能源管理或安装</w:t>
            </w:r>
            <w:r>
              <w:rPr>
                <w:rFonts w:hint="eastAsia" w:ascii="宋体" w:hAnsi="宋体" w:eastAsia="宋体" w:cs="宋体"/>
                <w:color w:val="auto"/>
                <w:kern w:val="2"/>
                <w:sz w:val="21"/>
                <w:szCs w:val="21"/>
                <w:highlight w:val="none"/>
                <w:lang w:val="zh-CN"/>
              </w:rPr>
              <w:t>类项目业绩</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zh-CN"/>
              </w:rPr>
              <w:t>，每提供一个得</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zh-CN"/>
              </w:rPr>
              <w:t>分，本项最高得</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分。</w:t>
            </w:r>
          </w:p>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注：需提供</w:t>
            </w:r>
            <w:r>
              <w:rPr>
                <w:rFonts w:hint="eastAsia" w:ascii="宋体" w:hAnsi="宋体" w:eastAsia="宋体" w:cs="宋体"/>
                <w:color w:val="auto"/>
                <w:kern w:val="2"/>
                <w:sz w:val="21"/>
                <w:szCs w:val="21"/>
                <w:highlight w:val="none"/>
              </w:rPr>
              <w:t>合同</w:t>
            </w:r>
            <w:r>
              <w:rPr>
                <w:rFonts w:hint="eastAsia" w:ascii="宋体" w:hAnsi="宋体" w:eastAsia="宋体" w:cs="宋体"/>
                <w:color w:val="auto"/>
                <w:kern w:val="2"/>
                <w:sz w:val="21"/>
                <w:szCs w:val="21"/>
                <w:highlight w:val="none"/>
                <w:lang w:val="zh-CN"/>
              </w:rPr>
              <w:t>复印件加盖投标人公章，</w:t>
            </w:r>
            <w:r>
              <w:rPr>
                <w:rFonts w:hint="eastAsia" w:ascii="宋体" w:hAnsi="宋体" w:eastAsia="宋体" w:cs="宋体"/>
                <w:color w:val="auto"/>
                <w:kern w:val="2"/>
                <w:sz w:val="21"/>
                <w:szCs w:val="21"/>
                <w:highlight w:val="none"/>
              </w:rPr>
              <w:t>否则不得分。合同清单含有智慧（智能）灯杆（路灯）予以同等计分。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18"/>
                <w:szCs w:val="18"/>
                <w:highlight w:val="none"/>
              </w:rPr>
            </w:pPr>
            <w:r>
              <w:rPr>
                <w:rFonts w:hint="eastAsia" w:ascii="宋体" w:eastAsia="宋体" w:cs="宋体"/>
                <w:color w:val="auto"/>
                <w:sz w:val="21"/>
                <w:szCs w:val="21"/>
                <w:highlight w:val="none"/>
              </w:rPr>
              <w:t>技术评审（60）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技术响应情况</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对用户需求书中带“▲”技术要求条款的技术指标进行响应，若全部响应为满足或优于的得</w:t>
            </w:r>
            <w:r>
              <w:rPr>
                <w:rFonts w:hint="eastAsia" w:ascii="宋体" w:hAnsi="宋体" w:eastAsia="宋体" w:cs="宋体"/>
                <w:color w:val="auto"/>
                <w:kern w:val="2"/>
                <w:sz w:val="21"/>
                <w:szCs w:val="21"/>
                <w:highlight w:val="none"/>
              </w:rPr>
              <w:t>30</w:t>
            </w:r>
            <w:r>
              <w:rPr>
                <w:rFonts w:hint="eastAsia" w:ascii="宋体" w:hAnsi="宋体" w:eastAsia="宋体" w:cs="宋体"/>
                <w:color w:val="auto"/>
                <w:kern w:val="2"/>
                <w:sz w:val="21"/>
                <w:szCs w:val="21"/>
                <w:highlight w:val="none"/>
                <w:lang w:val="zh-CN"/>
              </w:rPr>
              <w:t>分，不满足或者不响应的每一个扣</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zh-CN"/>
              </w:rPr>
              <w:t>分，扣完为止，本项最低得0分。</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注：用户需求书中带“▲”技术要求条款，必须提供证明文件，否则视为不响应。用户需求书中未要求证明文件的须提供所投产品的彩页</w:t>
            </w:r>
            <w:r>
              <w:rPr>
                <w:rFonts w:hint="eastAsia" w:ascii="宋体" w:hAnsi="宋体" w:eastAsia="宋体" w:cs="宋体"/>
                <w:color w:val="auto"/>
                <w:kern w:val="2"/>
                <w:sz w:val="21"/>
                <w:szCs w:val="21"/>
                <w:highlight w:val="none"/>
              </w:rPr>
              <w:t>复印件</w:t>
            </w:r>
            <w:r>
              <w:rPr>
                <w:rFonts w:hint="eastAsia" w:ascii="宋体" w:hAnsi="宋体" w:eastAsia="宋体" w:cs="宋体"/>
                <w:color w:val="auto"/>
                <w:kern w:val="2"/>
                <w:sz w:val="21"/>
                <w:szCs w:val="21"/>
                <w:highlight w:val="none"/>
                <w:lang w:val="zh-CN"/>
              </w:rPr>
              <w:t>或制造商的公开网址链接及参数截图或制造商针对本项目所作的技术参数说明</w:t>
            </w:r>
            <w:r>
              <w:rPr>
                <w:rFonts w:hint="eastAsia" w:ascii="宋体" w:hAnsi="宋体" w:eastAsia="宋体" w:cs="宋体"/>
                <w:color w:val="auto"/>
                <w:kern w:val="2"/>
                <w:sz w:val="21"/>
                <w:szCs w:val="21"/>
                <w:highlight w:val="none"/>
              </w:rPr>
              <w:t>复印件</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rPr>
              <w:t>具有资质的第三方</w:t>
            </w:r>
            <w:r>
              <w:rPr>
                <w:rFonts w:hint="eastAsia" w:ascii="宋体" w:hAnsi="宋体" w:eastAsia="宋体" w:cs="宋体"/>
                <w:color w:val="auto"/>
                <w:kern w:val="2"/>
                <w:sz w:val="21"/>
                <w:szCs w:val="21"/>
                <w:highlight w:val="none"/>
                <w:lang w:val="zh-CN"/>
              </w:rPr>
              <w:t>检测机构出具的检测报告复印件加盖投标人公章。（投标人必须按货物实际参数进行响应，否则视为提供虚假材料谋取中标资格。）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项目实施计划方案</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根据投标人所提供的项目实施方案(包括不限于供货计划、安装调试和验收方案等)进行评审：</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方案科学完整合理，针对性强，可行性强，可操作性强，得10分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方案合理完整，针对性一般，可行性一般，可操作性一般，得5分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方案基本完整，针对性差，可行性差，可操作性差，得2分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方案不完整，得1分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进度安排方案</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根据投标人提供的进度安排方案进行综合评审：</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方案科学完整合理，针对性强，可行性强，可操作性强，得5分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方案合理完整，针对性一般，可行性一般，可操作性一般，得3分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方案基本完整，针对性差，可行性差，可操作性差，得2分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方案不完整，得1分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应急方案</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根据投标人提供的应急方案进行综合评审：</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方案科学完整合理，针对性强，可行性强，可操作性强，得5分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方案合理完整，针对性一般，可行性一般，可操作性一般，得3分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方案基本完整，针对性差，可行性差，可操作性差，得2分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方案不完整，得1分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售后服务方案</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根据投标人提供的售后服务方案进行综合评审：</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方案科学完整合理，针对性强，可行性强，可操作性强，得10分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方案合理完整，针对性一般，可行性一般，可操作性一般，得5分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方案基本完整，针对性差，可行性差，可操作性差，得2分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方案不完整，得1分</w:t>
            </w:r>
            <w:r>
              <w:rPr>
                <w:rFonts w:hint="eastAsia" w:ascii="宋体" w:hAnsi="宋体" w:eastAsia="宋体" w:cs="宋体"/>
                <w:color w:val="auto"/>
                <w:kern w:val="2"/>
                <w:sz w:val="21"/>
                <w:szCs w:val="21"/>
                <w:highlight w:val="none"/>
                <w:lang w:val="zh-CN"/>
              </w:rPr>
              <w:t>；</w:t>
            </w:r>
          </w:p>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ind w:firstLine="422" w:firstLineChars="200"/>
              <w:jc w:val="both"/>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注：（1）无特殊说明外，以上评审项，同一证明文件不重复计分；</w:t>
            </w:r>
          </w:p>
          <w:p>
            <w:pPr>
              <w:widowControl w:val="0"/>
              <w:tabs>
                <w:tab w:val="left" w:pos="907"/>
              </w:tabs>
              <w:adjustRightInd/>
              <w:snapToGrid/>
              <w:spacing w:after="0"/>
              <w:ind w:firstLine="422" w:firstLineChars="200"/>
              <w:jc w:val="both"/>
              <w:rPr>
                <w:rFonts w:ascii="宋体" w:hAnsi="宋体" w:eastAsia="宋体" w:cs="宋体"/>
                <w:color w:val="auto"/>
                <w:sz w:val="18"/>
                <w:szCs w:val="18"/>
                <w:highlight w:val="none"/>
              </w:rPr>
            </w:pPr>
            <w:r>
              <w:rPr>
                <w:rFonts w:hint="eastAsia" w:ascii="宋体" w:hAnsi="宋体" w:eastAsia="宋体" w:cs="Times New Roman"/>
                <w:b/>
                <w:color w:val="auto"/>
                <w:sz w:val="21"/>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ascii="宋体" w:eastAsia="宋体" w:cs="宋体"/>
                <w:color w:val="auto"/>
                <w:sz w:val="18"/>
                <w:szCs w:val="18"/>
                <w:highlight w:val="none"/>
                <w:lang w:val="zh-CN"/>
              </w:rPr>
            </w:pPr>
            <w:r>
              <w:rPr>
                <w:rFonts w:hint="eastAsia" w:ascii="宋体" w:eastAsia="宋体" w:cs="宋体"/>
                <w:color w:val="auto"/>
                <w:sz w:val="21"/>
                <w:szCs w:val="21"/>
                <w:highlight w:val="none"/>
              </w:rPr>
              <w:t>价格评审（30）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8"/>
              <w:spacing w:line="240" w:lineRule="auto"/>
              <w:ind w:firstLine="0" w:firstLineChars="0"/>
              <w:jc w:val="center"/>
              <w:rPr>
                <w:rFonts w:hint="eastAsia" w:ascii="宋体" w:eastAsia="宋体" w:cs="宋体"/>
                <w:color w:val="auto"/>
                <w:sz w:val="18"/>
                <w:szCs w:val="18"/>
                <w:highlight w:val="none"/>
                <w:lang w:eastAsia="zh-CN"/>
              </w:rPr>
            </w:pPr>
            <w:r>
              <w:rPr>
                <w:rFonts w:hint="eastAsia" w:ascii="宋体" w:hAnsi="宋体" w:eastAsia="宋体" w:cs="宋体"/>
                <w:color w:val="auto"/>
                <w:kern w:val="2"/>
                <w:sz w:val="21"/>
                <w:szCs w:val="21"/>
                <w:highlight w:val="none"/>
                <w:lang w:val="en-US" w:eastAsia="zh-CN" w:bidi="ar-SA"/>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pPr>
              <w:adjustRightInd/>
              <w:snapToGrid/>
              <w:spacing w:after="0" w:line="360" w:lineRule="auto"/>
              <w:ind w:firstLine="420" w:firstLineChars="200"/>
              <w:rPr>
                <w:rFonts w:ascii="宋体" w:hAnsi="宋体" w:eastAsia="宋体" w:cs="宋体"/>
                <w:color w:val="auto"/>
                <w:sz w:val="18"/>
                <w:szCs w:val="18"/>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pPr>
        <w:pStyle w:val="2"/>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4"/>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项目概况</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全面对接粤港澳大湾区建设，加快推进新型智慧城市建设，打造兴业宜居智慧湾区新城，依据《广东省信息基础设施建设三年行动计划（2018-2020年）》（粤府办〔2018〕14号）、《东莞市信息基础设施建设三年行动提升计划（2018-2020年）实施方案》（东府办〔2018 〕 82 号）等文件精神，推进滨海湾新区基于智慧灯杆的智慧道路建设，基本实现新建道路智慧路灯的全覆盖，旨在建成集智慧照明、5G微基站、信息发布、视频监控、环境气象监测、信息广播、紧急呼叫等多功能于一体的智慧灯杆，形成滨海湾新区模范智慧灯杆项目，全面提升新区形象及智慧化水平，全面推动湾区智慧城市发展。</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本期项目建设内容如下：</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（1）道路公共服务设施</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本期道路公共服务设施建设范围包括滨海湾大道（4.46 公里）、中海路（2.62 公里）、振海路（1.58 公里）、华海路（1.69 公里）、东海路（2.65 公里）5 条道路，共新建1124根智慧灯杆。包含智慧照明、智慧安防、交通出行、城市管理、便民生活、生态环境等。</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（2）道路配套设施建设</w:t>
      </w:r>
    </w:p>
    <w:p>
      <w:pPr>
        <w:spacing w:line="360" w:lineRule="auto"/>
        <w:ind w:firstLine="420" w:firstLineChars="200"/>
        <w:rPr>
          <w:color w:val="auto"/>
          <w:highlight w:val="none"/>
        </w:rPr>
      </w:pPr>
      <w:r>
        <w:rPr>
          <w:rFonts w:hint="eastAsia" w:ascii="宋体" w:hAnsi="宋体" w:eastAsia="宋体" w:cs="Times New Roman"/>
          <w:color w:val="auto"/>
          <w:sz w:val="21"/>
          <w:szCs w:val="21"/>
          <w:highlight w:val="none"/>
        </w:rPr>
        <w:t>包括管道配套改造、通电设施、综合智慧灯杆基础施工建设。</w:t>
      </w:r>
    </w:p>
    <w:p>
      <w:pPr>
        <w:pStyle w:val="35"/>
        <w:spacing w:after="0" w:line="360" w:lineRule="auto"/>
        <w:ind w:left="440" w:leftChars="200" w:firstLine="0" w:firstLineChars="0"/>
        <w:rPr>
          <w:rFonts w:ascii="宋体" w:hAnsi="宋体" w:eastAsia="宋体" w:cs="宋体"/>
          <w:color w:val="auto"/>
          <w:sz w:val="21"/>
          <w:szCs w:val="21"/>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建设目标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滨海湾新区管委会希望通过智慧道路解决方案提升道路智慧水平，从而实现道路整体智慧化，同步贯彻落实《东莞滨海湾新区城市总体规划（2018-2035年）》，打造创新、绿色、智慧湾区新城。新区道路都将建成“智慧道路”，形成一张共享共建、集约高效的城市智慧感知物联网，实现对城市照明、公安、交通、市政、生态、通信等重要领域的精确化管理，以及对城市资源的集约化利用。创新道路“管、运、养”一体化模式，实现道路展示可视化、公共服务智慧化、城市治理决策科学化，提升城市治理现代化能力。创建粤港澳大湾区“智慧道路”应用优秀示范区。具体目标如下：</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城市管理平台统一化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基于滨海湾智慧道路管理平台的建设，实现对公共服务、治安防范、城市治理等统一管理。</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城市管理精细化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现路灯智慧化，支持远程控制、光控、钟控功能，为城市路灯管理带来方便，实现二次节能，减少财政负担。支持对路灯及相关部件状态远程智能巡检，及时抢修，快速高效。实现路网感知，汇聚数据分析，智能管控，精细管理。</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基础设施物联化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普通塔杆只与电有关联，多功能智慧灯杆将供电与网络结合在塔杆上，为智能设备提供标准的供电与网络接口，将各智能设备高度集成在塔杆上，接入后台系统，形成一套标准的物联网体系。</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公共服务集约化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通过共建共享，共杆、共视频，实现视频监控、智慧照明、感知设备、信息发布等公共服务资源集约化建设。</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城市环境宜居化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多种杆体的整合，一方面美化了道路环境，节约了城市资源；另一方面环境监测数字化，建成大气、噪声、环境指数等检测体系，实时监控新区环境，将促进新区居民生存环境得到改善。</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5G通信规模化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杆塔复用，支持4G/5G微基站挂载，促进电信网络规模化进行广覆盖、快覆盖，缩短施工周期、提高效率、降低建网成本，支撑4G/5G“网络强国”战略实施。</w:t>
      </w: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信息发布规范化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集成在智慧灯杆上的LED显示屏，通过路灯管理平台上的信息发布模块实现环境信息、相关政府政策、实时消息、公益广告等的实时推送。</w:t>
      </w:r>
    </w:p>
    <w:p>
      <w:pPr>
        <w:pStyle w:val="35"/>
        <w:spacing w:after="0" w:line="360" w:lineRule="auto"/>
        <w:ind w:left="440" w:leftChars="200" w:firstLine="0" w:firstLineChars="0"/>
        <w:rPr>
          <w:rFonts w:ascii="宋体" w:hAnsi="宋体" w:eastAsia="宋体"/>
          <w:b/>
          <w:color w:val="auto"/>
          <w:sz w:val="24"/>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项目相关标准规范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DBJT 15-164-2019广东省智慧灯杆技术规范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东莞市智慧灯杆技术和工程建设规范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深圳市多功能杆智能系统技术与工程建设规范（试行）</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广州市智慧杆及道路合杆整治技术导则</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广州市智慧灯杆（多功能杆）系统技术及工程建设规范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智慧杆系统建设与运维技术规范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上海市道路合杆整治技术导则</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江苏省多功能杆智能系统技术与工程建设规范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699-2015 优质碳素结构钢</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700-2006 碳素结构钢</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1220-2007 不锈钢棒</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1591-2018低合金高强度结构钢</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4208-2017 外壳防护等级(IP代码)</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4943.1-2011信息技术设备 安全 第1部分：通用要求</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8702-2014 电磁环境控制限值</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8898-2011 音视频及类似电子设备的安全</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13912-2002 金属覆盖层 钢铁制件热浸镀锌层 技术要求及试验方法</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14886-2016 道路交通信号灯设置与安装规范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14887-2011 道路交通信号灯</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15629.15-2010 信息技术 系统间远程通信和信息交换 局域网和城域网 特定要求 第15部分：低速无线个域网（WPAN）媒体访问控制和物理层规范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18592-2001金属覆盖层 钢铁制品热浸镀铝 技术条件</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GB/Z 20177.1-2006 控制网络LONWORKS技术规范第1部分：协议规范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GB/Z 20177.2-2006 控制网络LONWORKS技术规范第2部分：电力线信道规范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GB/Z 20177.3-2006 控制网络LONWORKS技术规范第3部分：自由拓扑双绞线信道规范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GB/Z 20177.4-2006 控制网络LONWORKS技术规范第4部分：基于隧道技术在IP信道上传输控制网络协议的规范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20815-2006 视频安防监控数字录像设备</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22239一2019 信息安全技术 网络安全等级保护基本要求</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25000.1-2010 软件工程 软件产品质量要求与评价（SQuaRE）SQuaRE指南</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50007-2011 建筑地基基础设计规范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50009-2012 建筑结构荷载规范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50017-2017 钢结构设计规范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50052-2009 供配电系统设计规范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50057-2010 建筑物防雷设计规范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50068-2018 建筑结构可靠性设计统一标准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50135-2006 高耸结构设计规范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50174-2017数据中心设计规范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50217-2018电力工程电缆设计标准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 50252-2018工业安装工程施工质量验收统一标准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50260-2013 电力设施抗震设计规范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50289-2016 城市工程管线综合规划规范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50343-2012 建筑物电子信息系统防雷技术规范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50348-2018 安全防范工程技术规范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50526-2010 公共广播系统工程技术规范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50661-2011 钢结构焊接规范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50689-2011 通信局站防雷与接地工程设计规范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50838-2015 城市综合管廊工程技术规范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51038_2015 城市道路交通标志和标线设置规范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 51120-2015 通信局(站)防雷与接地工程验收规范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YD/T 1429-2006 通信局(站)在用防雷系统的技术要求和检测方法</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YD 5125-2014 通信设备安装工程施工监理规范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CJJ 45-2015 城市道路照明设计标准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CJJ 89-2012 城市道路照明工程施工及验收规程</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DB44/T 1898-2016 LED道路照明工程技术规范</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SZDB/Z 147-2015 简易型电动汽车交流供电装置</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IEEE 802.3 Institute of Electrical and Electronics Engineers 电气和电子工程师协会 802.3标准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IEEE 802.11 Institute of Electrical and Electronics Engineers 电气和电子工程师协会 802.11标准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IEEE 802.15.4 Institute of Electrical and Electronics Engineers 电气和电子工程师协会 802.15.4标准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IEEE 802.11 a/ac/b/g/n Institute of Electrical and Electronics Engineers 电气和电子工程师协会 802.11 a/ac/b/g/n标准</w:t>
      </w:r>
    </w:p>
    <w:p>
      <w:pPr>
        <w:numPr>
          <w:ilvl w:val="0"/>
          <w:numId w:val="2"/>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GB/T28181-2016 公共安全视频监控联网系统信息传输、交换、控制技术要求</w:t>
      </w:r>
    </w:p>
    <w:p>
      <w:pPr>
        <w:pStyle w:val="13"/>
        <w:keepNext w:val="0"/>
        <w:keepLines w:val="0"/>
        <w:pageBreakBefore w:val="0"/>
        <w:widowControl/>
        <w:kinsoku/>
        <w:wordWrap/>
        <w:overflowPunct/>
        <w:topLinePunct w:val="0"/>
        <w:autoSpaceDE/>
        <w:autoSpaceDN/>
        <w:bidi w:val="0"/>
        <w:adjustRightInd w:val="0"/>
        <w:snapToGrid w:val="0"/>
        <w:spacing w:before="0" w:after="0" w:line="360" w:lineRule="auto"/>
        <w:ind w:left="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注：如有最新的标准，以最新标准为准</w:t>
      </w:r>
    </w:p>
    <w:p>
      <w:pPr>
        <w:pStyle w:val="13"/>
        <w:keepNext w:val="0"/>
        <w:keepLines w:val="0"/>
        <w:pageBreakBefore w:val="0"/>
        <w:widowControl/>
        <w:kinsoku/>
        <w:wordWrap/>
        <w:overflowPunct/>
        <w:topLinePunct w:val="0"/>
        <w:autoSpaceDE/>
        <w:autoSpaceDN/>
        <w:bidi w:val="0"/>
        <w:adjustRightInd w:val="0"/>
        <w:snapToGrid w:val="0"/>
        <w:spacing w:before="0" w:after="0" w:line="360" w:lineRule="auto"/>
        <w:ind w:left="0" w:firstLine="420" w:firstLineChars="200"/>
        <w:textAlignment w:val="auto"/>
        <w:rPr>
          <w:rFonts w:hint="default"/>
          <w:color w:val="auto"/>
          <w:sz w:val="21"/>
          <w:szCs w:val="21"/>
          <w:highlight w:val="none"/>
          <w:lang w:val="en-US" w:eastAsia="zh-CN"/>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采购清单</w:t>
      </w:r>
    </w:p>
    <w:p>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1、滨海湾大道智慧道路建设工程</w:t>
      </w:r>
    </w:p>
    <w:tbl>
      <w:tblPr>
        <w:tblStyle w:val="26"/>
        <w:tblW w:w="838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8"/>
        <w:gridCol w:w="1941"/>
        <w:gridCol w:w="4340"/>
        <w:gridCol w:w="719"/>
        <w:gridCol w:w="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8"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41"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34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719"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69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941"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34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19"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69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前端设备</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8米普通灯杆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1.名称:8米普通灯杆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8米A类智慧灯杆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1.名称:8米A类智慧灯杆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8米A1类智慧灯杆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1.名称:8米A1类智慧灯杆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10米E类智慧灯杆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1.名称:10米E类智慧灯杆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10米B类智慧灯杆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2.规格:10m，Y型牌整合杆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10米C类 交通标志牌杆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1.名称:10米C类 交通标志牌杆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13米普通灯杆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2.规格:13m，普通灯杆（不具备滑槽）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13米A类智慧灯杆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2.规格:13m，带滑槽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13米B类智慧灯杆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2.规格:Y/T型整合杆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13米B1类智慧灯杆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1.名称:13米B1类智慧灯杆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2.规格:r型牌整合杆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13米C类智慧灯杆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2.规格:13m，交通标志牌杆（F型）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13米D类智慧灯杆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1.名称:13米D类智慧灯杆（龙门架型）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2.规格:交通卡口杆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13米E类智慧灯杆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1.名称:13米E类智慧灯杆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2.规格:交通信号灯杆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13米E1类智慧灯杆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1.名称:13米E1类智慧灯杆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2.规格:交通信号灯杆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13米E2类智慧灯杆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1.名称:13米E2类智慧灯杆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 投光灯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13米F类智慧灯杆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1.名称:13米F类智慧灯杆（龙门架型）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13米F1类智慧灯杆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1.名称:13米F1类智慧灯杆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2.规格:13m，带滑槽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13米H类智慧灯杆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1.名称:13米H类智慧灯杆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2.规格:13m，交通标志牌杆（T型）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13米A类智慧灯杆（利旧）</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3.含场内运输</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电子警察杆（L型）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1.名称:电子警察杆（L型）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电子警察杆（T型）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1.名称:电子警察杆（T型）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2.规格及参数详见图纸，不含地笼</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机动车信号灯（箭头左转）</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1.类型:机动车信号灯（箭头左转）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机动车信号灯（箭头直行）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1.类型:机动车信号灯（箭头直行）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机动车信号灯（满盘灯）</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1.类型:机动车信号灯（满盘灯）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1）、静态红人动态绿人二合一加双位双色倒计时两单元*1，灯盘显示单元直径尺寸：300mm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2）、显示屏*1，P10双色2扫模组，显示区域尺寸：320*1920mm，信号输入方式：RJ45以太网接口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3）、左右两侧带递减灯带（能接入机动车信号灯信号进行控制），带语音提示器*1，带按钮*1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多功能人行灯一体机（双面）</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1、名称:多功能人行灯一体机（双面）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1）、静态红人动态绿人二合一加双位双色倒计时两单元*2，灯盘显示单元直径尺寸：300mm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2）、显示屏*2，P10双色2扫模组，显示区域尺寸：320*1920mm，信号输入方式：RJ45以太网接口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3）、左右两侧带递减灯带（能接入机动车信号灯信号进行控制），带语音提示器*2，带按钮*2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多功能人行灯一体机(双面）基础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1、名称:多功能人行灯一体机(双面）基础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人行信号灯组</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1.类型：人行信号灯组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2、灯架材质、规格:Φ300,LED式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3.具体见设计说明</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立柱式三色信号灯</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1.类型:立柱式三色信号灯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立柱式三色信号灯杆件（单立杆）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1.类型:立柱式三色信号灯杆件（单立杆）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3.规格尺寸:φ114*4*5000mm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警示柱(0.16*1.2m)</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1.名称:警示柱(0.16*1.2m)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2.材质、规格:钢质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人行横道标志牌杆(0.8*0.8mm）</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1.类型:人行横道标志牌杆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4.基础、垫层:材料品种、厚度:0.5*0.5*0.95 C25基础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5.备注:含基础挖土方回填及余方弃置</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（禁止左转标志牌）单立杆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1.类型:（禁止左转标志牌）单立杆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（减速让行标志牌）单立杆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1.类型:减速让行标志牌杆（△0.9m）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4.基础、垫层:材料品种、厚度:0.5*0.5*0.7 C25基础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5.备注:含基础挖土方回填及余方弃置</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（变窄警告标牌单面A=900mm）单立杆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1.类型:（变窄警告标牌单面A=900mm）单立杆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（汇流警告标牌单面A=900mm）单立杆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1.类型:（汇流警告标牌单面A=900mm）单立杆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掉头标志(0.8*0.8m)牌 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1.类型:掉头标志(0.8*0.8m)牌 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指路标志牌(5m*2.4m板面)杆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1.名称:指路标志牌(5m*2.4m板面)杆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2.材质：钢质,下主体为正十六边形，杆体下对边450mm,上对边380mm,材质Q355B,壁厚10mm,上主杆为圆形，杆体直径168mm; 横臂为正八边形，杆体上对边150mm,下对边225mm,材质Q355B,壁厚6mm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3.主杆8.1米，横臂6米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分车道牌标志牌(4.2m*2.4m板面)杆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1.名称:分车道牌标志牌(4.2m*2.4m板面)杆基础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2.材质：钢质,下主体为正十六边形，杆体下对边450mm,上对边380mm,材质Q355B,壁厚10mm,上主杆为圆形，杆体直径168mm; 横臂为正八边形，杆体上对边150mm,下对边225mm,材质Q355B,壁厚6mm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3.主杆8.1米，横臂6米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r型标志杆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1.名称:r型标志杆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2.材质：钢质,下主体为正十六边形，杆体下对边300mm,上对边220mm,材质Q355B,壁厚8mm,横臂1为正八边形，杆体上对边120mm,下对边168mm,材质Q355B,壁厚8mm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3.规格尺寸：主杆7米，横臂4米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（禁止驶入标志牌）单立杆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1.类型:（禁止驶入标志牌）0.8*0.8m单立杆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1.名称:综合设备箱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2.规格:包含箱体、配电单元、分仓单元等配件（不含信号机）</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综合设备箱基础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2.尺寸：1700*1100*900mm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3.接地要求:L50*5镀锌角钢 L=2.5m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串口服务器</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1.规格:串口服务器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2.1路RS485转以太网串口服务器</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开关电源</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1.规格:开关电源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2.两组输出电源，5V，24V</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单灯控制器</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1.名称:单灯控制器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2.规格:Lora节点</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网关设备</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2.技术参数：2*RS485(or 2*RS232),1*DI/DO,3*GE (10/100/1000M RJ45),2*GE COMBO,1*LTE (dual SIM),1*USB3.0,GPS/GLONASS/BDS,9.6-60VDC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电子警察</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6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1.电子警察(4个路口，12个方向，共45个车道）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2.含违法抓拍正向电警(900万微光电警卡口AI筒型摄像机20台)，400万双目AI球型摄像机12台，镜头-C/CS Lens-12MP-20/50mm-C/CS-1" F1.4 （20+26台），闯红灯抓拍反向电警(26台),LED智能补光灯90套，交通技术成像补光装置45套，背杆式机箱12套，智慧交通终端管理设备12台（智能管理终端（含配件）+2T硬盘（一块2T）），8口接入网络交换机12台，千M单模单纤网络收发器（40KM）12对，信号检测器3台，标志牌12块1000*300mm，电子警察抱箍579块，新建电子警察杆3杆，8路网络防雷器3个，电源防雷器3个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3.数十种全结构化信息，为业务快速决策提供全方位的特征数据；</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4.主设备详见：主要货物详细功能及技术参数要求；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9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测速卡口</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1.测速卡口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2.含测速卡口(900万微光电警卡口AI筒型摄像机4台)，电子警察违停球机（400万双目AI球型摄像机）2台，镜头-C/CS Lens-12MP-50mm-C/CS-1" F1.4 （4台），窄波测速雷达8台，LED智能补光灯8套，交通技术成像补光装置8套，背杆式机箱2套，智慧交通终端管理设备2台（智能管理终端（含配件）+2T硬盘（一块2T）），8口接入网络交换机2台，千M单模单纤网络收发器（40KM）2对，信号检测器1台，标志牌2块1*0.3m，2.4*1.2m标志牌2块，电子警察抱箍90块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3.详细见图纸说明。</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4.主设备详见：主要货物详细功能及技术参数要求；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3.内置GPU芯片，支持深度学习算法，有效提升检测准确率、支持机动车、非机动车、人脸、人体检测；支持优选；支持抓拍；支持上报最优的抓图；支持机动车属性提取，含摄像机支架 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监控摄像机（利旧）</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1.规格、型号：高清枪（400W）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2.规格:内置GPU芯片，支持深度学习算法，有效提升检测准确率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，支持四种智能资源切换：通用行为分析、人脸检测、车辆检测、人数统计，含支架制作安装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2.内置GPU芯片，支持深度学习算法，有效提升检测准确率，支持四种智能资源切换：通用行为分析、人脸检测、车辆检测、人数统计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1）音频采样、位率 8kHz～44.1kHz，16bit，8kbps-320kbps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2）供电方式 DC12V/2A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3）通讯方式 RJ45通讯接口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紧急呼叫（利旧）</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公共广播+紧急呼叫系统软件</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1.名称:公共广播+紧急呼叫系统软件</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1.名称：信息发布屏（大）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2.类别、型号：800X1600mm，双面屏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灯 珠 SMD1919定制，像素构成 1R1G1B，分辨率 52*52，点间距 3.846mm，模组尺寸 200mm*200mm，材质全铸铝+冷板标准支架，外观颜色 月光银，整机尺寸：910mm*1724mm*130mm，整机重量 60kg，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维护方式 后维护防护等级 IP65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1.名称:环境监测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1.气象监测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1.道路井盖监测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积水监测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1.积水监测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2.量程:2.5m，精度:1cm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3.供电方式：DC 5V-18V。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4.传输方式：RS485。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5.功耗：静态功耗&lt;2mA,最大功耗小于 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6.最大测深：2.5米</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7.详见：主要货物详细功能及技术参数要求；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1.名称：AP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2.规格:Lora网关，内核 ARM Cortex-A53</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1.名称：正向多目标雷达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1）工作频率：81.00GHz~81.25GHz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2）工作模式：正装，DC24V供电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3）接口：RS232、RS485</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2.规格：2个千兆光口,6个千兆电口,2个千兆COMBO 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（1）符合 GB 25280-2016 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（2）符合 GB/T 20999-2017 通信协议标准；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（3）系统开放数据接口与协议，可与多种协议的中心控制系统及上端平台互联；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（4）时钟：支持高精度工业级时钟校准，内置 GPS 授时功能；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（5）控制模式：具备云控制模式，支持感应、绿波协调、中心控制、本地优化、行人自助、手动等多种控制模式；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（6）输出：最大可驱动 36 独立相位。</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r>
              <w:rPr>
                <w:rFonts w:hint="eastAsia" w:ascii="宋体" w:hAnsi="宋体" w:eastAsia="宋体" w:cs="宋体"/>
                <w:color w:val="auto"/>
                <w:sz w:val="21"/>
                <w:szCs w:val="21"/>
                <w:highlight w:val="none"/>
              </w:rPr>
              <w:t>；</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1.类型:路名牌（1.2*0.4m)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1.类型:Y型标志牌牌面（φ0.8m*6）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1.类型:r型标志牌牌面（φ0.8m*4）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1.类型:汇流警告标牌单面A=900mm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1.类型:桥名标志牌（1.5*0.66m）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1.类型:变窄警告标牌单面A=900mm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1.类型:小型路名牌(竖1m*2m)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1.类型:T形路口标志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1.类型:指路标志牌（4*2.4m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1.类型:分车道牌标志牌(4.2m*2.4m板面)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1.类型:指路标志牌(5m*2.4m板面)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1.类型:指路标志牌(T型2*4*2.4m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1.类型:分流标志(0.8*0.8m)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2.材质:太阳能供电发光</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1.类型:警示柱(0.16*1.2m) 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1.类型:人行横道标志(0.8*0.8m）双面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1.类型:禁止左转标志牌(0.8*0.8m）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1.类型:变窄警告标牌单面A=900mm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1.类型:汇流警告标牌单面A=900mm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1.类型:禁止驶入标志牌(0.8*0.8m)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热熔型标线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1、材料品种:环保热熔型涂料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2、形式:人行横道线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3、人行横道线长度为4m，宽度0.4m，标线厚度为4.5mm；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智慧灯杆基础改造</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10米智慧灯杆B型杆体基础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6.备注:含基础挖土方回填及余方弃置</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10米智慧灯杆C型杆体基础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10米智慧灯杆E型杆体基础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1.名称:10米智慧灯杆E型杆体基础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13米智慧灯杆B型杆体基础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6.备注:含基础挖土方回填及余方弃置</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13米智慧灯杆B1型杆体基础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1.名称:13米智慧灯杆B1型杆体基础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6.备注:含基础挖土方回填及余方弃置</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13米智慧灯杆C型杆体基础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13米智慧灯杆D型杆体基础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1.名称:13米智慧灯杆D型杆体基础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13米智慧灯杆E型杆体基础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1.名称:13米智慧灯杆E型杆体基础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13米智慧灯杆E1型杆体基础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1.名称:13米智慧灯杆E1型杆体基础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13米智慧灯杆E2型杆体基础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1.名称:13米智慧灯杆E2型杆体基础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13米智慧灯杆F型杆体基础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1.名称:13米智慧灯杆F型杆体基础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13米智慧灯杆F1型杆体基础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1.名称:13米智慧灯杆F1型杆体基础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13米智慧灯杆H型杆体基础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1.名称:13米智慧灯杆H型杆体基础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新建F杆标志牌基础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1.名称:新建F杆标志牌基础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3.其他:详见施工图纸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4.钻孔灌注桩</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新建r标志牌基础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1.名称:新建r标志牌基础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3.其他:详见施工图纸                     </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拆除原有13米智慧灯杆基础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1.名称:拆除原有13米智慧灯杆基础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2、尺寸：1.5*1.5*2.2m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3.规格型号：HDPE,8∅110 δ=6.3mm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3.规格型号：HDPE,6∅110 δ=6.3mm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3.规格型号：HDPE,4∅110 δ=6.3mm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3.规格型号：HDPE,2∅110 δ=6.3mm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1.名称:双壁波纹通信保护管，HDPE,2∅110 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1.名称:聚氯乙烯通信保护管，HDPE,8φ75,δ=6.3mm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1.名称:双壁波纹通信保护管，HDPE,4φ50,δ=6.3mm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1.名称:双壁波纹通信保护管，HDPE,1孔50,δ=2.3mm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77"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手孔井（550X550手孔）</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1.图集:手孔井（550X550手孔）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2.垫层、基础材质及厚度:C15混凝土垫层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3.砌筑材料品种、规格、强度等级:标准砖240*115*53,大小：1230*1230*1000mm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4.勾缝、抹面要求:15mm厚1:2.5水泥砂浆内抹面、20mm厚1:2.5水泥砂浆外抹面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5.混凝土强度等级:C25混凝土盖板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6.井盖材质及规格:重型球墨铸铁井盖550*550mm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过路线井</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1.名称:过路线井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4.井盖:接线井盖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人(手)孔井</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2.填方材料品种:回填土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281"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管道改造</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现浇C15砼垫层 10cm厚</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1.现浇C15砼垫层 10cm厚</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供电子系统</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2.规格:ZA-YJV-4×25+1×16mm²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2.规格:ZA-YJV-4×35+1×16mm²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12473.33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2.规格:ZR-YJV-5×16mm²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2.规格:ZR-YJV-3×10mm²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2.型号:RVSP-4*1.5mm²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2.型号:RVV-3x6mm²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2.型号:RVVP-2x2.5mm²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2.型号:RVVP-3x1.0mm²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2.型号:RVV-3x2.5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2.型号:RVSP-4*0.75mm²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超五类网线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1.名称:超五类网线</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4芯单模光纤</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1.名称:4芯单模光纤</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2.型号:RVV-3x10mm²</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2.型号:RVV-4x1.5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2.型号:RVV-5x1.5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1.名称:穿刺线夹25\2.5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1.名称:树脂灌胶恢复绝缘</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200KVA箱式变压器</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1.名称:200KVA箱式变压器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2.含G01进线柜1台、G02计量柜1台、G03出线柜1台、P01计量柜1台、P02进线柜1台、P03出线柜1台、P04补偿柜1台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200KVA带环网出线箱式变压器</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1.名称:200KVA带环网出线箱式变压器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2.含G01进线柜1台、G02计量柜1台、G03出线柜1台、P01计量柜1台、P02进线柜1台、P03出线柜1台、P04补偿柜1台</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（200KVA箱式变压器）美化</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1.名称:（200KVA箱式变压器）美化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3.砖砌基础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4.其他:详见施工图纸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箱变基础围栏</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1.名称:箱变基础围栏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2.基础:清水砼基础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3.围栏材质、规格:Φ5mm镀锌铁丝网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4.其它:详见图纸</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变压器系统调试</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1.名称：变压器系统调试</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智能公交站台</w:t>
            </w:r>
          </w:p>
        </w:tc>
        <w:tc>
          <w:tcPr>
            <w:tcW w:w="71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1.名称:智能公交电子站牌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2.其它:钢架构：公交站台主体结构、55寸高亮LCD屏、LED灯箱光源及电源、球形摄像头：球形和半球形、安卓主机、温湿度传感器、电子站牌中央控制器、交换机、4G路由器、安装调试费用</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1.填方材料品种:一般土壤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2.密实度:按规范要求</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1.部位:站台底层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满堂基础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现浇构件钢筋</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1.钢筋种类、规格:现浇构件圆钢 φ25内</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无梁板</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1.混凝土种类:现浇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块料楼地面</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1.部位:站台顶层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2.面层:环保透水砖（230*110*45mm）</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1.部位:设备基础二次浇灌（立柱基础、坐凳基础）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预埋铁件</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1.部位:设备基础预埋螺栓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型材屋面</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1.部位:双层镀锌板顶棚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2.材质:镀锌板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3.面层:氟碳漆</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金属面油漆</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1.腻子种类:佛碳漆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2.油漆品种、刷漆遍数:两遍</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全玻(无框玻璃)幕墙</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1.玻璃品种、规格、颜色:8.0mm钢化玻璃</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8"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194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智慧发光道钉</w:t>
            </w:r>
          </w:p>
        </w:tc>
        <w:tc>
          <w:tcPr>
            <w:tcW w:w="43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1.名称:智慧发光道钉（黄闪）</w:t>
            </w:r>
          </w:p>
        </w:tc>
        <w:tc>
          <w:tcPr>
            <w:tcW w:w="719"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bl>
    <w:p>
      <w:pPr>
        <w:pStyle w:val="13"/>
        <w:keepNext w:val="0"/>
        <w:keepLines w:val="0"/>
        <w:pageBreakBefore w:val="0"/>
        <w:widowControl/>
        <w:shd w:val="clea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rPr>
      </w:pPr>
    </w:p>
    <w:p>
      <w:pPr>
        <w:pStyle w:val="35"/>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textAlignment w:val="auto"/>
        <w:outlineLvl w:val="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东海路智慧道路建设工程</w:t>
      </w:r>
    </w:p>
    <w:tbl>
      <w:tblPr>
        <w:tblStyle w:val="26"/>
        <w:tblW w:w="8403"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00"/>
        <w:gridCol w:w="1973"/>
        <w:gridCol w:w="4236"/>
        <w:gridCol w:w="744"/>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73"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236"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744"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75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973"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236"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44"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5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前端设备</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12米A类智慧灯杆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12米B类智慧灯杆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2.规格:Y/T型整合杆12m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12米C类智慧灯杆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2.规格:交通标志牌杆(F型)12m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12米F类智慧灯杆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1.名称:12米F类智慧灯杆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2.规格:电子警察灯杆12m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12米普通灯杆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12米E类智慧灯杆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1.名称:12米E类智慧灯杆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3.灯臂类型:泛光灯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5.备注:不含地笼</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20米高空瞭望杆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1.名称:20米高空瞭望杆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2.杆体材质：塔体钢板采用Q345B板材，塔筒采用套接连接，塔筒截面为正16边形、加强板及加强圈等材料为Q345B，其他附属构件除了注明外均用Q235B材料</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3.含高空瞭望球，规格：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1）图像传感器1/1.8" 逐行扫描CMOS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2）有效图像：尺寸1920x1080，帧率支持30/25fps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3）最低照度彩色模式：0.0007Lux，黑白模式：0.0005Lux</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4）镜头：C接口，镜头焦距范围不低于16.7-1000mm，光学变倍数不低于60倍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5）光敏控制：保证摄像机的彩转黑与激光开关精确同步，内部智能延时分析，不受迎面车灯照射影响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6）激光波长：激光波长范围大于940nm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7）夜视距离：在夜晚较暗条件下，夜视距离大于2.2公里（2.2公里处能看清人的活动）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8）云台控制：实现360°连续旋转，俯仰﹣45°~+45°，定位精度≤0.1°水平速度0.01°~30°，垂直速度0.01°~15°/s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9）视频编码：H.265/H.264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10）智能支持虚焦检测、进入/离开区域、拌线入侵、物品搬移、场景变更、人员聚集、音频异常侦测、人脸侦测、徘徊检测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11）外部接口：1个RJ45千兆以太网口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12）电源AC24V/DC36V±5%，标配AC220V-&gt;DC36V电源适配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13）工作温度：-40~60℃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14）防护等级：IP66，IK10</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立柱式三色信号灯组</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1.类型:立柱式三色信号灯组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1）、静态红人动态绿人二合一加双位双色倒计时两单元*1，灯盘显示单元直径尺寸：300mm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2）、显示屏*1，P10双色2扫模组，显示区域尺寸：320*1920mm，信号输入方式：RJ45以太网接口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3）、左右两侧带递减灯带（能接入机动车信号灯信号进行控制），带语音提示器*1，带按钮*1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人行信号灯组</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1.类型：人行信号灯组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2、灯架材质、规格:LED式，发光直径300mm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3.具体见设计说明</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（人行横道标志）单立杆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1.类型:人行横道标志牌杆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4.基础、垫层:材料品种、厚度:0.5*0.5*0.95 C25基础</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（分流标志牌）单立杆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1.类型:（分流标志牌）单立杆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（掉头标志牌）单立杆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1.名称:综合设备箱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2.规格:包含箱体、配电单元、分仓单元等配件（不含信号机）</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综合设备箱基础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2.尺寸：1700*1100*900mm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3.接地要求:L50*5镀锌角钢 L=2.5m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控制器</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1.名称:单灯控制器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2.规格:Lora节点</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网关设备</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2.技术参数：2*RS485(or 2*RS232),1*DI/DO,3*GE (10/100/1000M RJ45),2*GE COMBO,1*LTE (dual SIM),1*USB3.0,GPS/GLONASS/BDS,9.6-60VDC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电子警察</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1.电子警察(4个方向、2个路口，共16个车道）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2.含违法抓拍正向电警（900万微光电警卡口AI筒型摄像机5台)，400万双目AI球型摄像机4台，镜头-C/CS Lens-12MP-20/50mm-C/CS-1" F1.4 （5+8台），闯红灯抓拍反向电警8台，LED智能补光灯28套，交通技术成像补光装置15套，背杆式机箱4套，智慧交通终端管理设备4台（智能管理终端（含配件）+2T硬盘（一块2T）），8口接入网络交换机4台，千M单模单纤网络收发器（40KM）4对，信号检测器2台，标志牌4块1000*300mm，电子警察抱箍180块，8路网络防雷器2个，电源防雷器2个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3.数十种全结构化信息，为业务快速决策提供全方位的特征数据；</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4.主设备详见：主要货物详细功能及技术参数要求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3.内置GPU芯片，支持深度学习算法，有效提升检测准确率、支持机动车、非机动车、人脸、人体检测；支持优选；支持抓拍；支持上报最优的抓图；支持机动车属性提取，含摄像机支架 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1.规格、型号：高清枪（400W）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2.规格:内置GPU芯片，支持深度学习算法，有效提升检测准确率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，支持四种智能资源切换：通用行为分析、人脸检测、车辆检测、人数统计，含支架制作安装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2.内置GPU芯片，支持深度学习算法，有效提升检测准确率，支持四种智能资源切换：通用行为分析、人脸检测、车辆检测、人数统计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1）音频采样、位率 8kHz～44.1kHz，16bit，8kbps-320kbps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2）供电方式 DC12V/2A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3）通讯方式 RJ45通讯接口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1.名称：信息发布屏（大）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2.类别、型号：800X1600mm，双面屏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灯 珠 SMD1919定制，像素构成 1R1G1B，分辨率 52*52，点间距 3.846mm，模组尺寸 200mm*200mm，材质全铸铝+冷板标准支架，外观颜色 月光银，整机尺寸：910mm*1724mm*130mm，整机重量 60kg，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维护方式 后维护防护等级 IP65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1.名称:环境监测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1.气象监测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1.道路井盖监测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积水监测</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1.积水监测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2.量程:2.5m，精度:1cm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3.供电方式：DC 5V-18V。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4.传输方式：RS485。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5.功耗：静态功耗&lt;2mA,最大功耗小于 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6.最大测深：2.5米</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7.详见：主要货物详细功能及技术参数要求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1.名称：AP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2.规格:Lora网关，内核 ARM Cortex-A53</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1.名称：正向多目标雷达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1）工作频率：81.00GHz~81.25GHz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2）工作模式：正装，DC24V供电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3）接口：RS232、RS485</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2.规格型号：2个千兆光口,6个千兆电口,2个千兆COMBO 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（1）符合 GB 25280-2016 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（2）符合 GB/T 20999-2017 通信协议标准；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（3）系统开放数据接口与协议，可与多种协议的中心控制系统及上端平台互联；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（4）时钟：支持高精度工业级时钟校准，内置 GPS 授时功能；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（5）控制模式：具备云控制模式，支持感应、绿波协调、中心控制、本地优化、行人自助、手动等多种控制模式；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（6）输出：最大可驱动 36 独立相位。</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1.类型:路名牌（1.2*0.4m)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1.类型:Y型标志牌牌面（φ0.8m*6）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1.类型:限高标志（φ0.8m+0.8*0.3m)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1.类型:F型车道指示标志牌（4.2*2.4m）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1.类型:F型指路标志牌（4.8*2.4m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1.类型:分流标志(0.8*0.8m）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1.类型:人行横道标志牌（0.8*0.8）</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1.类型:限高标志（φ0.8m）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热熔型标线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1、材料品种:环保热熔型涂料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2、形式:人行横道线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3、人行横道线长度为4m，宽度0.4m，标线厚度为4.5mm；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智慧灯杆基础改造</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12米智慧灯杆B型杆体基础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12米智慧灯杆C型杆体基础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12米智慧灯杆F型杆体基础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1.名称:12米智慧灯杆F型杆体基础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5.备注:钻孔灌注桩D800,5000mm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12米智慧灯杆E型杆体基础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1.名称:12米智慧灯杆E型杆体基础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新建20米瞭望杆基础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1.名称:新建20米瞭望杆基础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3.备注:钻孔灌注桩D1500,8000mm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4.接地要求:L50*5角钢</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1.拆除原有灯杆基础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2.尺寸:1.3m*1.3m*2.2m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3.规格型号：HDPE,6∅110 δ=6.3mm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1.名称:双壁波纹通信保护管，HDPE,1∅110 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1.名称:双壁波纹通信保护管，HDPE,2孔110,δ=6.3mm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1.名称:聚氯乙烯通信保护管，HDPE,8φ75,δ=6.3mm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单页手孔（SK1）</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（550X550手孔）</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1.图集:手孔井（550X550手孔）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2.垫层、基础材质及厚度:C15混凝土垫层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3.砌筑材料品种、规格、强度等级:标准砖240*115*53,大小：1230*1230*1000mm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4.勾缝、抹面要求:15mm厚1:2.5水泥砂浆内抹面、20mm厚1:2.5水泥砂浆外抹面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5.混凝土强度等级:C25混凝土盖板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6.井盖材质及规格:重型球墨铸铁井盖550*550mm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人(手)孔井</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回填细沙</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2.填方材料品种:细沙</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209"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管道改造</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供电子系统</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2.规格:ZA-YJV-4×25+1×16mm²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5238.99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2.规格:ZA-YJV-4x35+1x16mm²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6943.51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2.规格:ZA-YJV-5×10mm²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2.规格:ZA-YJV-5×16mm²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2.型号:RVSP-4*1.5mm²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2.型号:RVV-3x6mm²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2.型号:RVVP-2x2.5mm²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2.规格:ZR-RVVP-3x1.0mm²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2.规格:ZR-RVV-3x2.5mm²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2.型号:RVSP-4*0.75mm²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超五类网线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1.名称:超五类网线</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4芯单模光纤</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1.名称：4芯单模光纤</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2.型号:RVV-3x10mm²</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2.型号:RVV-3x1.5</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2.型号:RVV-4x1.5</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2.型号:RVV-5x1.5</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1.名称:树脂灌胶恢复绝缘</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315KVA箱式变压器(利旧)</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1.名称:315KVA箱式变压器(利旧)</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（160KVA箱式变压器）美化</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1.名称:（160KVA箱式变压器）美化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过路线井</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1.名称:过路线井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4.井盖:接线井盖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3.砖砌基础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4.其他:详见施工图纸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箱变基础围栏</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1.名称:箱变基础围栏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2.基础:清水砼基础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3.围栏材质、规格:Φ5mm镀锌铁丝网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4.其它:详见图纸</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1.送配电装置系统</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变压器系统调试</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1.名称：变压器系统调试</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交通标志板拆除</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小型路名牌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09"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智能公交站台</w:t>
            </w:r>
          </w:p>
        </w:tc>
        <w:tc>
          <w:tcPr>
            <w:tcW w:w="74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1.名称:智能公交电子站牌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2.其它:钢架构：公交站台主体结构、55寸高亮LCD屏、LED灯箱光源及电源、球形摄像头：球形和半球形、安卓主机、温湿度传感器、电子站牌中央控制器、交换机、4G路由器、安装调试费用</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站</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1.填方材料品种:一般土壤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2.密实度:按规范要求</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1.部位:站台底层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满堂基础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现浇构件钢筋</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1.钢筋种类、规格:现浇构件圆钢 φ25内</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无梁板</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1.混凝土种类:现浇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块料楼地面</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1.部位:站台顶层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2.面层:环保透水砖（230*110*45mm）</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1.部位:设备基础二次浇灌（立柱基础、坐凳基础）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预埋铁件</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1.部位:设备基础预埋螺栓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型材屋面</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1.部位:双层镀锌板顶棚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2.材质:镀锌板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3.面层:氟碳漆</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金属面油漆</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1.腻子种类:佛碳漆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2.油漆品种、刷漆遍数:两遍</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全玻(无框玻璃)幕墙</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1.玻璃品种、规格、颜色:8.0mm钢化玻璃</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197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智慧发光道钉</w:t>
            </w:r>
          </w:p>
        </w:tc>
        <w:tc>
          <w:tcPr>
            <w:tcW w:w="423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1.名称:智慧发光道钉（黄闪）</w:t>
            </w:r>
          </w:p>
        </w:tc>
        <w:tc>
          <w:tcPr>
            <w:tcW w:w="74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color w:val="auto"/>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华海路智慧道路建设工程</w:t>
      </w:r>
    </w:p>
    <w:tbl>
      <w:tblPr>
        <w:tblStyle w:val="26"/>
        <w:tblW w:w="841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7"/>
        <w:gridCol w:w="1884"/>
        <w:gridCol w:w="4292"/>
        <w:gridCol w:w="675"/>
        <w:gridCol w:w="8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84"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292"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67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87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884"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292"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67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87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前端设备</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12米A类智慧灯杆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12米B类智慧灯杆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2.规格:Y/T型整合杆12m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12米C类智慧灯杆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2.规格:交通标志牌杆(F型)12m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12米普通灯杆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12米E类智慧灯杆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1.名称:12米E类智慧灯杆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2.规格:交通信号灯杆12m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3.灯臂类型:泛光灯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12米E1类智慧灯杆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1.名称:12米E1类智慧灯杆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2.规格:交通信号灯杆12m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3.灯臂类型:泛光灯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5.备注:不含地笼</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1.名称:机动车信号灯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同一方向红、黄、绿三色方向指示信号灯应为三个几何位置分立单元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2.参数:1）、静态红人动态绿人二合一加双位双色倒计时两单元*1，灯盘显示单元直径尺寸：300mm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2）、显示屏*1，P10双色2扫模组，显示区域尺寸：320*1920mm，信号输入方式：RJ45以太网接口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3）、左右两侧带递减灯带（能接入机动车信号灯信号进行控制），带语音提示器*1，带按钮*1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人行信号灯灯组</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1.类型：人行信号灯灯组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2、灯架材质、规格:LED式，直径300mm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3.具体见设计说明</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1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单立杆（掉头标志杆）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1.类型:单立杆（掉头标志杆）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3.规格尺寸:φ89*4.0*3500mm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Y型标志牌+限高标志（带文字辅助标志）整合杆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1.类型:Y型标志牌+限高标志（带文字辅助标志）整合杆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2.材质、型号:杆高：7m，主杆为正十六边形，杆体下对边300mm，上对边220mm,；材质Q355B,；壁厚8mm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横臂1为正八边形，杆体上对边120mm，下对边168mm,；材质Q355B，壁厚4mm；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横臂2为正八边形，杆体上对边120mm，下对边140mm,；材质Q355B，壁厚4mm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1.名称:综合设备箱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2.规格:包含箱体、配电单元、分仓单元等配件（不含信号机）</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综合设备箱基础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2.尺寸：1700*1100*900mm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3.接地要求:L50*5镀锌角钢 L=2.5m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控制器</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1.名称:单灯控制器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2.规格:Lora节点</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网关设备</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2.技术参数：2*RS485(or 2*RS232),1*DI/DO,3*GE (10/100/1000M RJ45),2*GE COMBO,1*LTE (dual SIM),1*USB3.0,GPS/GLONASS/BDS,9.6-60VDC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3.内置GPU芯片，支持深度学习算法，有效提升检测准确率，支持机动车、非机动车、人脸、人体检测；支持优选；支持抓拍；支持上报最优的抓图；支持机动车属性提取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4.含摄像机支架 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5.详见：主要货物详细功能及技术参数要求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1.规格、型号：高清枪（400W）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2.规格:内置GPU芯片，支持深度学习算法，有效提升检测准确率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，支持四种智能资源切换：通用行为分析、人脸检测、车辆检测、人数统计，含支架制作安装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2.内置GPU芯片，支持深度学习算法，有效提升检测准确率，支持四种智能资源切换：通用行为分析、人脸检测、车辆检测、人数统计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1）音频采样、位率 8kHz～44.1kHz，16bit，8kbps-320kbps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2）供电方式 DC12V/2A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3）通讯方式 RJ45通讯接口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1.信息发布屏（大）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2.类别:型号：800X1600mm，双面屏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灯 珠 SMD1919定制，像素构成 1R1G1B，分辨率 52*52，点间距 3.846mm，模组尺寸 200mm*200mm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材质 全铸铝+冷板标准支架，外观颜色 月光银，整机尺寸 910mm*1724mm*130mm，整机重量 60kg，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维护方式 后维护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防护等级 IP65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1.名称:环境监测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1.气象监测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1.道路井盖监测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积水监测</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1.积水监测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2.量程:2.5m，精度:1cm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3.供电方式：DC 5V-18V。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4.传输方式：RS485。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5.功耗：静态功耗&lt;2mA,最大功耗小于 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6.最大测深：2.5米</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7.详见：主要货物详细功能及技术参数要求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1.名称：AP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2.规格:Lora网关，内核 ARM Cortex-A53</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1.名称：正向多目标雷达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1）工作频率：81.00GHz~81.25GHz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2）工作模式：正装，DC24V供电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3）接口：RS232、RS485</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2.规格：2个千兆光口,6个千兆电口,2个千兆COMBO 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（1）符合 GB 25280-2016 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（2）符合 GB/T 20999-2017 通信协议标准；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（3）系统开放数据接口与协议，可与多种协议的中心控制系统及上端平台互联；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（4）时钟：支持高精度工业级时钟校准，内置 GPS 授时功能；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（5）控制模式：具备云控制模式，支持感应、绿波协调、中心控制、本地优化、行人自助、手动等多种控制模式；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（6）输出：最大可驱动 36 独立相位。</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1.类型:左侧变窄标志牌（△0.9m）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1.类型:路名牌（1.2*0.4m)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1.类型:Y型标志牌牌面（φ0.8m*6）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1.类型:限高标志（φ0.8m+0.8*0.3m)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1.类型:限重标志（φ0.8m）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1.类型:右转车道标志牌（方形A800）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1.类型:公交专用车道标志牌面（4.2×2.4m）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1.类型:F型标志牌（4.8*2.4m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1.类型:F型标志牌牌面（4.2×2.4m）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3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热熔型标线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1、材料品种:环保热熔型涂料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2、形式:人行横道线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3、人行横道线长度为4m，宽度0.4m，标线厚度为4.5mm；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智慧灯杆基础改造</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12米智慧灯杆B型杆体基础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12米智慧灯杆C型杆体基础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12米智慧灯杆E型杆体基础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1.名称:12米智慧灯杆E型杆体基础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12米智慧灯杆E1型杆体基础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1.名称:12米智慧灯杆E1型杆体基础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1.拆除原有灯杆基础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2.尺寸:1m*1m*1.6m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3.规格型号：HDPE,6∅75 δ=6.3mm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1.名称:双壁波纹通信保护管，HDPE,2∅110 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1.名称:双壁波纹通信保护管，HDPE,6φ75,δ=6.3mm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1.名称:聚氯乙烯通信保护管，HDPE,8φ75,δ=6.3mm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华海路单页手孔（SK1）</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1.名称:华海路单页手孔（SK1）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2.填方材料品种:回填土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176"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管道改造</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176"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供电子系统</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2.规格:ZA-YJV-4×25+1×16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8056.82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2.规格:ZA-YJV-5×10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2.规格:ZR-YJV-5×16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797.35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2.型号:RVSP-4*1.5mm²</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2.型号:RVV-3x6mm²</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2.型号:RVV-3x2.5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2.型号:RVSP-4*0.75mm²</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超五类网线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1.名称:超五类网线</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4芯单模光纤</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1.名称：4芯单模光纤</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2.型号:RVV-4x1.5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2.型号:RVV-5x1.5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1.名称:树脂灌胶恢复绝缘</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160KVA箱式变压器</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1.名称:160KVA箱式变压器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2.含G01进线柜1台、G02计量柜1台、G03出线柜1台、P01计量柜1台、P02进线柜1台、P03出线柜1台、P04补偿柜1台</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（160KVA箱式变压器）美化</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1.名称:（160KVA箱式变压器）美化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过路线井</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3.砖砌基础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4.其他:详见施工图纸</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箱变基础围栏</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1.名称:箱变基础围栏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2.基础:清水砼基础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3.围栏材质、规格:Φ5mm镀锌铁丝网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4.其它:详见图纸</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变压器系统调试</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1.名称：变压器系统调试</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7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智能公交站台</w:t>
            </w:r>
          </w:p>
        </w:tc>
        <w:tc>
          <w:tcPr>
            <w:tcW w:w="67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1.名称:智能公交电子站牌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2.其它:钢架构：公交站台主体结构、55寸高亮LCD屏、LED灯箱光源及电源、球形摄像头：球形和半球形、安卓主机、温湿度传感器、电子站牌中央控制器、交换机、4G路由器、安装调试费用</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站</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1.填方材料品种:一般土壤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2.密实度:按规范要求</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1.部位:站台底层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满堂基础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现浇构件钢筋</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1.钢筋种类、规格:现浇构件圆钢 φ25内</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无梁板</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1.混凝土种类:现浇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块料楼地面</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1.部位:站台顶层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2.面层:环保透水砖（230*110*45mm）</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1.部位:设备基础二次浇灌（立柱基础、坐凳基础）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预埋铁件</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1.部位:设备基础预埋螺栓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型材屋面</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1.部位:双层镀锌板顶棚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2.材质:镀锌板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3.面层:氟碳漆</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金属面油漆</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1.腻子种类:佛碳漆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2.油漆品种、刷漆遍数:两遍</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全玻(无框玻璃)幕墙</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1.玻璃品种、规格、颜色:8.0mm钢化玻璃</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1884"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智慧发光道钉</w:t>
            </w:r>
          </w:p>
        </w:tc>
        <w:tc>
          <w:tcPr>
            <w:tcW w:w="42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1.名称:智慧发光道钉（黄闪）</w:t>
            </w:r>
          </w:p>
        </w:tc>
        <w:tc>
          <w:tcPr>
            <w:tcW w:w="6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7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bl>
    <w:p>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1"/>
          <w:szCs w:val="21"/>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振海路智慧道路建设工程</w:t>
      </w:r>
    </w:p>
    <w:tbl>
      <w:tblPr>
        <w:tblStyle w:val="26"/>
        <w:tblW w:w="8403"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2"/>
        <w:gridCol w:w="2027"/>
        <w:gridCol w:w="4169"/>
        <w:gridCol w:w="710"/>
        <w:gridCol w:w="8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27"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169"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71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80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2027"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169"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1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80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智慧灯杆</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前端设备</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12米A类智慧灯杆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1.名称:12米A类智慧灯杆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12米B类智慧灯杆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2.规格:Y/T型整合杆12m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12米C类智慧灯杆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2.规格:交通标志牌杆(F型)12m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12米普通灯杆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Y型标志牌杆（路名牌+限重标志整合杆）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1.类型:Y型标志牌杆（路名牌+限重标志整合杆）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2.材质、型号:杆高：7m，主杆为正十六边形，杆体下对边300mm，上对边220mm,；材质Q355B,；壁厚8mm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横臂1为正八边形，杆体上对边120mm，下对边168mm,；材质Q355B，壁厚4mm；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横臂2为正八边形，杆体上对边120mm，下对边140mm,；材质Q355B，壁厚4mm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（掉头标志牌）单立杆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减速让行标志牌杆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（△0.9m）</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1.类型:减速让行标志牌杆（△0.9m）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4.基础、垫层:材料品种、厚度:0.5*0.5*0.7 C25基础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5.备注:含基础挖土方回填及余方弃置</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（桥名牌）单立杆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1.类型:（桥名牌）单立杆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3.规格尺寸:φ89×4×4200mm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4.基础、垫层:材料品种、厚度:C25商品混凝土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控制器</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1.名称:单灯控制器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2.规格:Lora节点</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196"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网关设备</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2.技术参数：2*RS485(or 2*RS232),1*DI/DO,3*GE (10/100/1000M RJ45),2*GE COMBO,1*LTE (dual SIM),1*USB3.0,GPS/GLONASS/BDS,9.6-60VDC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3.内置GPU芯片，支持深度学习算法，有效提升检测准确率、支持机动车、非机动车、人脸、人体检测；支持优选；支持抓拍；支持上报最优的抓图；支持机动车属性提取，含摄像机支架 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1.规格、型号：高清枪（400W）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2.规格:内置GPU芯片，支持深度学习算法，有效提升检测准确率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，支持四种智能资源切换：通用行为分析、人脸检测、车辆检测、人数统计，含支架制作安装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2.内置GPU芯片，支持深度学习算法，有效提升检测准确率，支持四种智能资源切换：通用行为分析、人脸检测、车辆检测、人数统计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1）音频采样、位率 8kHz～44.1kHz，16bit，8kbps-320kbps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2）供电方式 DC12V/2A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3）通讯方式 RJ45通讯接口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1.名称：信息发布屏（大）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2.类别、型号：800X1600mm，双面屏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灯 珠 SMD1919定制，像素构成 1R1G1B，分辨率 52*52，点间距 3.846mm，模组尺寸 200mm*200mm，材质全铸铝+冷板标准支架，外观颜色 月光银，整机尺寸：910mm*1724mm*130mm，整机重量 60kg，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维护方式 后维护防护等级 IP65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1.名称:环境监测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1.气象监测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1.道路井盖监测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积水监测</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1.积水监测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2.量程:2.5m，精度:1cm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3.供电方式：DC 5V-18V。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4.传输方式：RS485。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5.功耗：静态功耗&lt;2mA,最大功耗小于 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6.最大测深：2.5米</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7.详见：主要货物详细功能及技术参数要求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1.名称：AP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2.规格:Lora网关，内核 ARM Cortex-A53</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2.规格：2个千兆光口,6个千兆电口,2个千兆COMBO 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1.类型:十字型路口标志（△0.9m）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1.类型:路名牌（1.2*0.4m)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1.类型:桥名牌（1.5*6.6m)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2.半透自主发光标志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1.类型:Y型标志牌牌面（φ0.8m*6）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1.类型:限高标志（φ0.8m+0.8*0.3m)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1.类型:限重标志（φ0.8m）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1.类型:F型车道、公交专用车道标志（4.2×2.4m）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1.类型:F型指路标志牌牌面（4.8×2.8m）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1.类型:桥名牌（1.5*6.6m)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2.普通反光标志，采用IV类反光膜</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智慧灯杆基础改造</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12米智慧灯杆B型杆体基础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7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12米智慧灯杆C型杆体基础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4.混凝土等级:基础采用C30混凝土浇筑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5.备注:钻孔灌注桩D800,6000mm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1.拆除原有灯杆基础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2.尺寸:1.3m*1.3m*2.2m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1.名称:双壁波纹通信保护管，HDPE,2孔110,δ=6.3mm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1.名称:双壁波纹通信保护管，HDPE,4φ75,δ=6.3mm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接线井</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1.名称:接线井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4.井盖:接线井盖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2.填方材料品种:回填土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回填石粉</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2.填方材料品种:石粉</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196" w:type="dxa"/>
            <w:gridSpan w:val="2"/>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供电子系统</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2.规格:ZA-YJV-4×25+1×16mm²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6483.08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1.名称:树脂灌胶恢复绝缘</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1.名称:穿刺线夹25\2.5</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200KVA箱式变压器</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1.名称:200KVA箱式变压器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2.含G01进线柜1台、G02计量柜1台、G03出线柜1台、P01计量柜1台、P02进线柜1台、P03出线柜1台、P04补偿柜1台</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（200KVA箱式变压器）美化</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1.名称:（200KVA箱式变压器）美化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3.砖砌基础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4.其他:详见施工图纸</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箱变基础围栏</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1.名称:箱变基础围栏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2.基础:清水砼基础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3.围栏材质、规格:Φ5mm镀锌铁丝网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4.其它:详见图纸</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变压器系统调试</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1.名称：变压器系统调试</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交通标志板拆除</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小型路名牌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8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智能公交站台</w:t>
            </w:r>
          </w:p>
        </w:tc>
        <w:tc>
          <w:tcPr>
            <w:tcW w:w="71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1.名称:智能公交电子站牌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2.其它:钢架构：公交站台主体结构、55寸高亮LCD屏、LED灯箱光源及电源、球形摄像头：球形和半球形、安卓主机、温湿度传感器、电子站牌中央控制器、交换机、4G路由器、安装调试费用</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站</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1.填方材料品种:一般土壤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2.密实度:按规范要求</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1.部位:站台底层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满堂基础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现浇构件钢筋</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1.钢筋种类、规格:现浇构件圆钢 φ25内</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无梁板</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1.混凝土种类:现浇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块料楼地面</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1.部位:站台顶层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2.面层:环保透水砖（230*110*45mm）</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1.部位:设备基础二次浇灌（立柱基础、坐凳基础）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预埋铁件</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1.部位:设备基础预埋螺栓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型材屋面</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1.部位:双层镀锌板顶棚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2.材质:镀锌板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3.面层:氟碳漆</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金属面油漆</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1.腻子种类:佛碳漆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2.油漆品种、刷漆遍数:两遍</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全玻(无框玻璃)幕墙</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1.玻璃品种、规格、颜色:8.0mm钢化玻璃</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02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智慧发光道钉</w:t>
            </w:r>
          </w:p>
        </w:tc>
        <w:tc>
          <w:tcPr>
            <w:tcW w:w="4169"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1.名称:智慧发光道钉（黄闪）</w:t>
            </w:r>
          </w:p>
        </w:tc>
        <w:tc>
          <w:tcPr>
            <w:tcW w:w="7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color w:val="auto"/>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中海路智慧道路建设工程</w:t>
      </w:r>
    </w:p>
    <w:tbl>
      <w:tblPr>
        <w:tblStyle w:val="26"/>
        <w:tblW w:w="8373"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7"/>
        <w:gridCol w:w="1993"/>
        <w:gridCol w:w="4247"/>
        <w:gridCol w:w="686"/>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3"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247"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686"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75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993"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247"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686"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5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前端设备</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12米智慧灯杆A-2A型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1.名称:12米智慧灯杆A-2A型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12米智慧灯杆A-1A型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1.名称:12米智慧灯杆A-1A型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12米智慧灯杆A-1B型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1.名称:12米智慧灯杆A-1B型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12米B类智慧灯杆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1.名称:12米B类智慧灯杆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 Y/T型整合杆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bidi="ar"/>
              </w:rPr>
              <w:t>●</w:t>
            </w:r>
            <w:r>
              <w:rPr>
                <w:rFonts w:hint="eastAsia" w:ascii="宋体" w:hAnsi="宋体" w:eastAsia="宋体" w:cs="宋体"/>
                <w:color w:val="auto"/>
                <w:sz w:val="21"/>
                <w:szCs w:val="21"/>
                <w:highlight w:val="none"/>
              </w:rPr>
              <w:t>12米C类智慧灯杆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 交通标志牌杆（F型）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12米F类智慧灯杆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1.名称:12米F类智慧灯杆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 交通标志牌杆（F型）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12米普通灯杆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1.名称:12米普通灯杆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2.规格:12m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13米E类智慧灯杆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1.名称:13米E类智慧灯杆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2.规格:13m 交通信号灯杆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3.灯臂类型:泛光灯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5.备注:不含地笼</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20米高空瞭望杆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1.名称:20米高空瞭望杆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2.杆体材质：塔体钢板采用Q345B板材，塔筒采用套接连接，塔筒截面为正16边形，加强板及加强圈等材料为Q345B，其他附属构件除了注明外均用Q235B材料</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3.含高空瞭望球，规格：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1）图像传感器1/1.8" 逐行扫描CMOS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2）有效图像：尺寸1920x1080，帧率支持30/25fps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3）最低照度彩色模式：0.0007Lux，黑白模式：0.0005Lux</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4）镜头：C接口，镜头焦距范围不低于16.7-1000mm，光学变倍数不低于60倍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5）光敏控制：保证摄像机的彩转黑与激光开关精确同步，内部智能延时分析，不受迎面车灯照射影响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6）激光波长：激光波长范围大于940nm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7）夜视距离：在夜晚较暗条件下，夜视距离大于2.2公里（2.2公里处能看清人的活动）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8）云台控制：实现360°连续旋转，俯仰﹣45°~+45°，定位精度≤0.1°水平速度0.01°~30°，垂直速度0.01°~15°/s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9）视频编码：H.265/H.264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10）智能支持虚焦检测、进入/离开区域、拌线入侵、物品搬移、场景变更、人员聚集、音频异常侦测、人脸侦测、徘徊检测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11）外部接口：1个RJ45千兆以太网口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12）电源AC24V/DC36V±5%，标配AC220V-&gt;DC36V电源适配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13）工作温度：-40~60℃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14）防护等级：IP66，IK10</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机动车道交通信号灯杆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1.名称:机动车道交通信号灯杆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2.类型 : L型主杆：a104/a145*8*6900mm，厚度8mm，悬臂：a50/a91*6*8000mm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人行横道标志牌杆(0.8*0.8mm）</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1.类型:人行横道标志牌杆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4.基础、垫层:材料品种、厚度:0.5*0.5*0.95 C25基础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5.备注:含基础挖土方回填及余方弃置</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（减速让行标志牌）单立杆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4.基础、垫层:材料品种、厚度:0.5*0.5*0.7 C25基础</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（右侧通行标志牌）单立杆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1.类型:（右侧通行标志牌）单立杆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4.基础、垫层:材料品种、厚度:0.5*0.5*0.7 C25基础</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多功能信号灯一体机（整合辅灯和人行道信号灯）</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1、名称:多功能信号灯一体机（整合辅灯和人行道信号灯）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1）、机动车信号灯*1，(红满屏加黄满屏加绿满屏三单元机动灯,采用脉冲触发，9秒倒计时，灯盘显示单元直径为400mm±2%）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2）、静态红人动态绿人二合一加双位双色倒计时两单元*1，灯盘显示单元直径尺寸：300mm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3）、显示屏*1，P10双色2扫模组，显示区域尺寸：320*1920mm，信号输入方式：RJ45以太网接口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4）、左右两侧带递减灯带（能接入机动车信号灯信号进行控制），带语音提示器*1，带按钮*1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5）、产品外形尺寸：3962*400*175mm（人行一体灯：2805*400*175mm,机动灯：1157*380*157mm）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1）、静态红人动态绿人二合一加双位双色倒计时两单元*1，灯盘显示单元直径尺寸：300mm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2）、显示屏*1，P10双色2扫模组，显示区域尺寸：320*1920mm，信号输入方式：RJ45以太网接口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3）、左右两侧带递减灯带（能接入机动车信号灯信号进行控制），带语音提示器*1，带按钮*1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多功能人行灯一体机（双面）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1、名称:多功能人行灯一体机（双面）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2、设备参数：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1）、静态红人动态绿人二合一加双位双色倒计时两单元*2，灯盘显示单元直径尺寸：300mm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2）、显示屏*2，P10双色2扫模组，显示区域尺寸：320*1920mm，信号输入方式：RJ45以太网接口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3）、左右两侧带递减灯带（能接入机动车信号灯信号进行控制），带语音提示器*2，带按钮*2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4）、产品外形尺寸：3000*400*180mm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多功能信号灯一体机（整合辅灯和人行道信号灯）基础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1、名称:多功能信号灯一体机（整合辅灯和人行道信号灯）基础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2.混凝土基础900*900*900mm、预埋铁构件及接地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1、名称:多功能人行灯一体机(单面）基础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多功能人行灯一体机(双面）基础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1、名称:多功能人行灯一体机(双面）基础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2.混凝土基础800*800*800mm、预埋铁构件及接地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3、地脚螺栓制作安装：M18地脚螺栓</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人行信号灯组</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1.类型：人行信号灯组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2、灯架材质、规格:LED式，直径300mm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3.具体见设计说明</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1.名称:综合设备箱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2.规格:包含箱体、配电单元、分仓单元等配件（不含信号机）</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综合设备箱基础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2.尺寸：1700*1100*900mm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3.接地要求:L50*5镀锌角钢 L=2.5m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单灯控制器</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1.名称:单灯控制器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2.规格:Lora节点</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网关设备</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2.技术参数：2*RS485(or 2*RS232),1*DI/DO,3*GE (10/100/1000M RJ45),2*GE COMBO,1*LTE (dual SIM),1*USB3.0,GPS/GLONASS/BDS,9.6-60VDC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电子警察</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1.电子警察(2个方向、1个路口，共6个车道）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2.含违法抓拍正向电警(900万微光电警卡口AI筒型摄像机2台)，400万双目AI球型摄像机2台，镜头-C/CS Lens-12MP-20/50mm-C/CS-1" F1.4 （2+4台），闯红灯抓拍反向电警(4台),LED智能补光灯12套，交通技术成像补光装置6套，背杆式机箱2套，智慧交通终端管理设备2台（智能管理终端（含配件）+2T硬盘（一块2T）），8口接入网络交换机2台，千M单模单纤网络收发器（40KM）2对，信号检测器1台，标志牌2块1000*300mm，电子警察抱箍78块，8路网络防雷器1个，电源防雷器1个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3.数十种全结构化信息，为业务快速决策提供全方位的特征数据；</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4.主要设备详见：主要货物详细功能及技术参数要求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监控摄像机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3.内置GPU芯片，支持深度学习算法，有效提升检测准确率、支持机动车、非机动车、人脸、人体检测；支持优选；支持抓拍；支持上报最优的抓图；支持机动车属性提取，含摄像机支架 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1.规格、型号：高清枪（400W）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2.规格:内置GPU芯片，支持深度学习算法，有效提升检测准确率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，支持四种智能资源切换：通用行为分析、人脸检测、车辆检测、人数统计，含支架制作安装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2.内置GPU芯片，支持深度学习算法，有效提升检测准确率，支持四种智能资源切换：通用行为分析、人脸检测、车辆检测、人数统计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3.含支架制作安装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1）音频采样、位率 8kHz～44.1kHz，16bit，8kbps-320kbps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2）供电方式 DC12V/2A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3）通讯方式 RJ45通讯接口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1.名称：信息发布屏（大）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2.类别、型号：800X1600mm，双面屏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灯 珠 SMD1919定制，像素构成 1R1G1B，分辨率 52*52，点间距 3.846mm，模组尺寸 200mm*200mm，材质全铸铝+冷板标准支架，外观颜色 月光银，整机尺寸：910mm*1724mm*130mm，整机重量 60kg，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维护方式 后维护防护等级 IP65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1.名称:环境监测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1.气象监测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1.道路井盖监测</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积水监测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1.积水监测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2.量程:2.5m，精度:1cm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3.供电方式：DC 5V-18V。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4.传输方式：RS485。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5.功耗：静态功耗&lt;2mA,最大功耗小于 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6.最大测深：2.5米</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7.详见：主要货物详细功能及技术参数要求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1.名称：AP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2.规格:Lora网关，内核 ARM Cortex-A53</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2.规格：2个千兆光口,6个千兆电口,2个千兆COMBO 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 含2块光模块，光模块-eSFP-GE-单模模块(1310nm,10km,LC)</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1.名称：正向多目标雷达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1）工作频率：81.00GHz~81.25GHz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2）工作模式：正装，DC24V供电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3）接口：RS232、RS485</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网桥</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1.规格:网桥</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2.详见：主要货物详细功能及技术参数要求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（1）符合 GB 25280-2016 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（2）符合 GB/T 20999-2017 通信协议标准；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（3）系统开放数据接口与协议，可与多种协议的中心控制系统及上端平台互联；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（4）时钟：支持高精度工业级时钟校准，内置 GPS 授时功能；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（5）控制模式：具备云控制模式，支持感应、绿波协调、中心控制、本地优化、行人自助、手动等多种控制模式；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（6）输出：最大可驱动 36 独立相位。</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1.类型:人行道标志牌（双面800）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1.类型:T型路口标志（△0.9m）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1.类型:路名牌（1.2*0.4m)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1.类型:Y型标志牌牌面（φ0.8m*6）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5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1.类型:限高标志（φ0.8m+0.8*0.3m)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1.类型:限重标志（φ0.8m）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1.类型:禁停标志(0.8m)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1.类型:限速标志(0.8m）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1.类型:掉头标志(0.8*0.8m）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1.类型:减速让行标志（△0.9m）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3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1.类型:右侧通行标志（φ0.6m）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1.类型:限高标志（φ0.8m）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1.类型:人行道标志牌（双面600）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2.普通反光标志</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1.类型:半透型自动发光F型标志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牌（4.2×2.4m）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1.类型:半透型自动发光F型标志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牌（4.8×2.8m）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2.采用lora通信，远程控制；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光感自动开启/关闭标志发光单元。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热熔型标线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1、材料品种:环保热熔型涂料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2、形式:人行横道线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3、人行横道线长度为4m，宽度0.4m，标线厚度为4.5mm；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智慧灯杆基础改造</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12米智慧灯杆B型杆体基础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1.名称:12米智慧灯杆B型杆体基础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2.规格:1.6*1.6*1.3m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12米智慧灯杆C型杆体基础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1.名称:12米智慧灯杆C型杆体基础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2.规格:1.6*1.6*1.9m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3.钢筋规格:竖向钢筋φ16@200，水平箍筋φ10@200,底板钢筋φ12@200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双层双向分布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5.接地要求:L50*5角钢</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12米智慧灯杆F型杆体基础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1.名称:12米智慧灯杆F型杆体基础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5.备注:钻孔灌注桩D800,8000mm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13米智慧灯杆E型杆体基础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1.名称:13米智慧灯杆E型杆体基础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2.规格:1.5*1.5*1.5m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4.混凝土等级:C35混凝土浇筑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5.备注:钻孔灌注桩D800,8000mm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6.接地要求:L50*5角钢</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新建20米瞭望杆基础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1.名称:新建20米瞭望杆基础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2.钢筋规格:钢筋φ16@150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3.备注:钻孔灌注桩D800,8000mm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4.接地要求:L50*5角钢</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1.拆除原有灯杆基础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2.尺寸:1m*1m*2.2m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1.拆除原有灯杆基础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2.尺寸:1.3m*1.3m*2.2m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3.规格型号：HDPE,∅110 δ=6.3mm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3.规格型号：HDPE,2∅110 δ=6.3mm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3.规格型号：HDPE,6∅110 δ=6.3mm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1.名称：顶管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2.管道材质:双壁波纹通信保护管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3.规格型号：HDPE,4∅75 δ=6.3mm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1.名称:双壁波纹通信保护管，PVC,1∅110 δ=4.0mm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1.名称:双壁波纹通信保护管，HDPE,6∅110 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9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1.名称:双壁波纹通信保护管，HDPE,4φ75,δ=6.3mm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1.名称:聚氯乙烯通信保护管，HDPE,8φ75,δ=6.3mm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手孔井（550X550手孔）</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1.图集:手孔井（550X550手孔）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2.垫层、基础材质及厚度:C15混凝土垫层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3.砌筑材料品种、规格、强度等级:标准砖240*115*53,大小：1230*1230*1000mm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4.勾缝、抹面要求:15mm厚1:2.5水泥砂浆内抹面、20mm厚1:2.5水泥砂浆外抹面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5.混凝土强度等级:C25混凝土盖板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6.井盖材质及规格:重型球墨铸铁井盖550*550mm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人(手)孔井</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接线井</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1.名称:接线井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4.井盖:接线井盖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2.填方材料品种:回填土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人(手)孔井</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1.名称:双页手井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4.井盖:SK2手孔盖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人(手)孔井</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供电子系统</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2.规格:ZA-YJV-4x35+1x16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4634.39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2.规格:ZA-YJV-4×25+1×16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6873.4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2.规格:ZA-YJV-5×16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2.规格:ZA-YJV-5×10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2.型号:RVSP-4*1.5mm²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2.型号:RVV-3x6mm²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2.型号:RVVP-2x2.5mm²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2.型号:RVVP-3x1.0mm²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2.型号:RVV-3x2.5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2.型号:RVSP-4*0.75mm²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超五类网线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1.名称:超五类网线</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4芯单模光纤</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1.名称:4芯单模光纤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2.型号:RVV-3x10mm²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2.型号:RVV-3x1.5mm²</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2.型号:RVV-4x1.5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2.型号:RVV-5x1.5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1.名称:穿刺线夹25\2.5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1.名称:树脂灌胶恢复绝缘</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160KVA箱式变压器</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1.名称:160KVA箱式变压器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2.含G01进线柜1台、G02计量柜1台、G03出线柜1台、P01计量柜1台、P02进线柜1台、P03出线柜1台、P04补偿柜1台</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（160KVA箱式变压器）美化</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1.名称:（160KVA箱式变压器）美化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1.名称:箱变基础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2.垫层、基础:C20混凝土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3.砖砌基础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4.其他:详见施工图纸</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变压器系统调试</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1.名称：变压器系统调试</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交通标志板拆除</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Y型标志牌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三角标志牌和圆形标志牌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倒三角标志牌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人行道标志牌(双面)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F型标志牌牌面（4.2×2.4m）</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小型路名牌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1.名称:交通标志杆拆除</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智能公交站台</w:t>
            </w:r>
          </w:p>
        </w:tc>
        <w:tc>
          <w:tcPr>
            <w:tcW w:w="686"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1.名称:智能公交电子站牌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2.其它:钢架构：公交站台主体结构、55寸高亮LCD屏、LED灯箱光源及电源、球形摄像头：球形和半球形、安卓主机、温湿度传感器、电子站牌中央控制器、交换机、4G路由器、安装调试费用</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站</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1.填方材料品种:一般土壤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2.密实度:按规范要求</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1.部位:站台底层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满堂基础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现浇构件钢筋</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1.钢筋种类、规格:现浇构件圆钢 φ25内</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1.部位:站台中层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3.泵送方式:综合考虑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无梁板</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1.混凝土种类:现浇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块料楼地面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1.部位:站台顶层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2.面层:环保透水砖（230*110*45mm）</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1.部位:设备基础二次浇灌（立柱基础、坐凳基础）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预埋铁件</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1.部位:设备基础预埋螺栓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2.规格尺寸:综合考虑</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型材屋面</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1.部位:双层镀锌板顶棚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2.材质:镀锌板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3.面层:氟碳漆</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金属面油漆</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1.腻子种类:佛碳漆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2.油漆品种、刷漆遍数:两遍</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697"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199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全玻(无框玻璃)幕墙</w:t>
            </w:r>
          </w:p>
        </w:tc>
        <w:tc>
          <w:tcPr>
            <w:tcW w:w="4247"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1.玻璃品种、规格、颜色:8.0mm钢化玻璃</w:t>
            </w:r>
          </w:p>
        </w:tc>
        <w:tc>
          <w:tcPr>
            <w:tcW w:w="68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bl>
    <w:p>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迎宾路与兴海路智慧道路建设工程</w:t>
      </w:r>
    </w:p>
    <w:tbl>
      <w:tblPr>
        <w:tblStyle w:val="26"/>
        <w:tblW w:w="838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05"/>
        <w:gridCol w:w="2188"/>
        <w:gridCol w:w="4040"/>
        <w:gridCol w:w="690"/>
        <w:gridCol w:w="7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88"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04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69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76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2188"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04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69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6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前端设备</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13米C类智慧灯杆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1.名称:13米C类智慧灯杆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 13m，交通标志牌杆（F型），投光灯，灯具功率（W）：360*4（灯具利旧），不含地笼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13米E2型智慧灯杆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1.名称:13米E2类智慧灯杆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2.规格:交通信号灯杆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3.灯杆材质、规格:13m，投光灯，灯具功率（W）：360*4（灯具利旧），不含地笼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13米F类智慧灯杆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1.名称:13米F类智慧灯杆（龙门架型）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2.灯杆材质、规格:13m，灯臂类型：平臂（2.5m+2.5m），灯具功率（W）：300+60（灯具利旧），不含地笼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13米智慧灯杆F2型</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1.名称:13米智慧灯杆F2型（龙门架型）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2.灯杆材质、规格:13m，，灯具功率（W）：300+60，不含地笼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15米智慧灯杆A2型</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1.名称:15米智慧灯杆A2型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2.灯杆材质、规格:杆体高度：15m，灯臂类型：泛光灯，灯具功率（W）：400*3（灯具利旧），不含地笼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交通信号灯杆（T型杆）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1.名称:交通信号灯杆（T型杆）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2.灯杆材质、规格:6.5米高，双4米横臂4长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3.规格及参数详见图纸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机动车道信号辅灯</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1.类型:机动车道信号辅灯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机动车道信号灯（左转）</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1.类型:机动车道信号灯（左转）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机动车道信号灯（直行转）</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1.类型:机动车道信号灯（直行转）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2.机动车信号灯每组由红、黄、绿三个几何位置分立单元组成。同一方向红、黄、绿三色方向指示信号灯应为三个几何位置分立单元。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人行立柱灯杆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1.类型:人行立柱灯杆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2.材质:钢质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3.规格尺寸:φ89*4*3500mm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4.基础、垫层:材料品种、厚度:0.5*0.5*0.95 C25基础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5.备注:含基础挖土方回填及余方弃置</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人行信号灯</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1.类型：人行信号灯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2、灯架材质、规格:LED式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3.具体见设计说明</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横臂杆件（挂载电警）</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1.名称:横臂杆件（挂载电警）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2.灯杆材质、规格:横臂4.5长，材质：Q355B,八边形，上口径120mm,下口径150mm,厚度4mm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1.名称:综合设备箱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2.规格:包含箱体、配电单元、分仓单元等配件（不含信号机）</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综合设备箱基础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 综合设备箱基础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2.尺寸：1700*1100*900mm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3.接地要求:L50*5镀锌角钢 L=2.5m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杆上配电箱</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1.名称:挂杆配电箱（含强、弱电）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2.规格:包含箱体、配电单元、防雷、光纤收发器等相关配件</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智慧灯杆基础</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15米A2类杆基础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1.名称:15米A2类杆基础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2.基础:C35、C20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3.其他:详见施工图纸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4.钻孔灌注桩</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13米F类杆基础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1.名称:13米F类杆基础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2.基础:C35、C20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3.其他:详见施工图纸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4.钻孔灌注桩</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13米F2类杆基础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1.名称:13米F2类杆基础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2.基础:C35、C20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3.其他:详见施工图纸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4.钻孔灌注桩</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13米C杆基础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1.名称:13米C杆基础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2.基础:C35、C15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3.其他:详见施工图纸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4.钻孔灌注桩</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交通信号灯杆（T型杆）基础</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1.名称:交通信号灯杆（T型杆）基础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2.基础、垫层:材料品种、厚度:C25商品混凝土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3.其他:详见施工图纸                    </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1.名称:回填土</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网关设备</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1.综合智能网关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电子警察</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1.电子警察(3个方向、共16个车道）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2.含违法抓拍正向电警(900万微光电警卡口AI筒型摄像机7台)，400万双目AI球型摄像机3台，镜头-C/CS Lens-12MP-20mm-C/CS-1" F1.4 （7+9台），闯红灯抓拍反向电警(9台),LED智能补光灯16套，交通技术成像补光装置16套，背杆式机箱3套，智慧交通终端管理设备3台（智能管理终端（含配件）+2T硬盘（一块2T）），8口接入网络交换机3台，千M单模单纤网络收发器（40KM）3对，信号检测器1台，标志牌3块1000*300mm，电子警察抱箍192块，8路网络防雷器1个，电源防雷器1个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3.数十种全结构化信息，为业务快速决策提供全方位的特征数据；</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4.主设备详见：主要货物详细功能及技术参数要求</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挂载智慧设备费</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1.名称:高清球（400W）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监控摄像机</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1.名称:人脸枪（400W）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1.名称:公共广播</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1.名称:紧急呼叫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1.名称：交通信号机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（1）符合 GB 25280-2016 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（2）符合 GB/T 20999-2017 通信协议标准；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（3）系统开放数据接口与协议，可与多种协议的中心控制系统及上端平台互联；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（4）时钟：支持高精度工业级时钟校准，内置 GPS 授时功能；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（5）控制模式：具备云控制模式，支持感应、绿波协调、中心控制、本地优化、行人自助、手动等多种控制模式；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（6）输出：最大可驱动 36 独立相位。</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1.名称：正向多目标雷达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 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1）工作频率：81.00GHz~81.25GHz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2）工作模式：正装，DC24V供电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3）接口：RS232、RS485</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3.详见：主要货物详细功能及技术参数要求</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人行横道标志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1.主动发光标志，双面，采用IV类反光膜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2.全透型，800*800mm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减速让行标志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9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限速60标志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9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禁止停车标志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9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机动车行驶标志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禁止鸣喇叭标志</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3.利旧材料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自主发光分向行驶车道标志牌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1.自主发光分向行驶车道标志牌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2.半透型，4.8*2.4m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自主发光非机动车行驶标志牌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1.自主发光非机动车行驶标志牌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自主发光步行标志牌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1.自主发光步行标志牌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2.全透型，φ800mm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限速30+前方测速区标牌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1.限速30+前方测速区标牌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2.全透型，2000*1000mm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禁停+违停拍照处罚标牌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1.禁停+违停拍照处罚标牌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主动发光标志，单面，采用IV类反光膜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2.全透型，2000*1000mm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注意行人标牌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1.注意行人标牌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2.全透型，a=900mm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行人优先道口警示标牌</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1.行人优先道口警示标牌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2.整体尺寸：3200*260*80mm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3、净重：22KG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4.采用lora通信，远程控制；光感自动开启/关闭标志发光单元。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管道改造</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配套管道改造</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安砌侧(平、缘)石</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1、材料品种、规格:花岗岩侧石 50×15×35cm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2、其他:未尽事项,详见招标图纸、招标文件及国家相关规范</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回填细沙</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2.填方材料品种:细沙</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933"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供电子系统</w:t>
            </w:r>
          </w:p>
        </w:tc>
        <w:tc>
          <w:tcPr>
            <w:tcW w:w="69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2.规格:ZR-YJV-5×16mm²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2.型号:RVSP-4*1.5mm²</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2.型号:RVV-3x6mm²</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2.型号:RVV-2x1.5mm²</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超六类网线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1.名称:超六类网线</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4芯单模光纤</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1.名称：4芯单模光纤</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2.型号:RVV-4x1.5</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2.型号:RVV-5x1.5</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1.名称:聚氯乙烯通信保护管，HDPE,4φ75,δ=6.3mm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1.名称:双壁波纹通信保护管，HDPE,2φ75,δ=6.3mm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过路线井</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1.名称:单页手孔井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4.井盖:SK1手孔盖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18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404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w:t>
            </w:r>
          </w:p>
        </w:tc>
        <w:tc>
          <w:tcPr>
            <w:tcW w:w="69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76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pPr>
        <w:pStyle w:val="13"/>
        <w:keepNext w:val="0"/>
        <w:keepLines w:val="0"/>
        <w:pageBreakBefore w:val="0"/>
        <w:widowControl/>
        <w:shd w:val="clea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智慧道路高压引入工程</w:t>
      </w:r>
    </w:p>
    <w:tbl>
      <w:tblPr>
        <w:tblStyle w:val="26"/>
        <w:tblW w:w="8313"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6"/>
        <w:gridCol w:w="2053"/>
        <w:gridCol w:w="3798"/>
        <w:gridCol w:w="811"/>
        <w:gridCol w:w="9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6"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53"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3798"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811"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94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6"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2053"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3798"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811"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94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557"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高压工程</w:t>
            </w:r>
          </w:p>
        </w:tc>
        <w:tc>
          <w:tcPr>
            <w:tcW w:w="81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 ZA-YJV22-8.7/10KV-3x120mm2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2.规格:ZA-YJV22-8.7/10KV-3x70mm2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1.名称:10kV冷缩户内电缆终端头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2.规格:3x120mm2</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1.名称:10kV冷缩户内电缆终端头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2.规格:3x70mm2</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1.名称:10kV冷缩电缆中间头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2.规格:3x120mm2</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电力电缆头</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1.名称:10kV冷缩电缆中间头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2.规格:3x70mm2</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四间隔户外开关箱</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1.名称:四间隔户外开关箱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2.含安健环，电缆挂牌等</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开关箱基础</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1.名称:分接箱基础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2.基础:混凝土C25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3.钢筋:^10圆钢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4.接地要求:L50*5角钢 L=2.5m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5.包边:10#槽钢</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分接箱基础围栏</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1.名称:分接箱基础围栏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2.基础:清水砼基础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3.围栏材质、规格:Φ5mm镀锌铁丝网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4.其它:详见图纸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分接箱美化</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1.名称:分接箱美化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2.详见设计图纸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1.名称:聚氯乙烯通信保护管，4xPEΦ160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1.名称:聚氯乙烯通信保护管，2xPEΦ160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2.垫层:C15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3.敷设方式:埋地</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行车转角井</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1.名称:行车转角井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4.井盖:转角井井盖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行车直线井</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1.名称:行车直线井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4.井盖:直线井盖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行车三通井</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1.名称:行车三通井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4.井盖:行车三通井盖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行车中间头井</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1.名称:行车中间头井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2.井身材料:M10砂浆砖砌体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3.垫层:C15混凝土垫层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4.井盖:行车中间头井盖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5.其它:详见图纸</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1.名称:挖沟槽土方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3.挖土深度:2m 内</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6"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053"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送配电装置系统</w:t>
            </w:r>
          </w:p>
        </w:tc>
        <w:tc>
          <w:tcPr>
            <w:tcW w:w="3798"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1.名称:送配电装置系统（10KV负荷开关）</w:t>
            </w:r>
          </w:p>
        </w:tc>
        <w:tc>
          <w:tcPr>
            <w:tcW w:w="811"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94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bl>
    <w:p>
      <w:pPr>
        <w:pStyle w:val="13"/>
        <w:keepNext w:val="0"/>
        <w:keepLines w:val="0"/>
        <w:pageBreakBefore w:val="0"/>
        <w:widowControl/>
        <w:shd w:val="clear"/>
        <w:kinsoku/>
        <w:wordWrap/>
        <w:overflowPunct/>
        <w:topLinePunct w:val="0"/>
        <w:autoSpaceDE/>
        <w:autoSpaceDN/>
        <w:bidi w:val="0"/>
        <w:adjustRightInd w:val="0"/>
        <w:snapToGrid w:val="0"/>
        <w:spacing w:before="0" w:after="0" w:line="360" w:lineRule="auto"/>
        <w:ind w:left="0"/>
        <w:textAlignment w:val="auto"/>
        <w:rPr>
          <w:rFonts w:hint="eastAsia" w:ascii="宋体" w:hAnsi="宋体" w:eastAsia="宋体" w:cs="宋体"/>
          <w:color w:val="auto"/>
          <w:sz w:val="21"/>
          <w:szCs w:val="21"/>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交椅湾道路出入闸口工程</w:t>
      </w:r>
    </w:p>
    <w:tbl>
      <w:tblPr>
        <w:tblStyle w:val="26"/>
        <w:tblW w:w="823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02"/>
        <w:gridCol w:w="1865"/>
        <w:gridCol w:w="3901"/>
        <w:gridCol w:w="795"/>
        <w:gridCol w:w="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2"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6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3901"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79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975"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2"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86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3901"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9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975"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46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道闸系统</w:t>
            </w:r>
          </w:p>
        </w:tc>
        <w:tc>
          <w:tcPr>
            <w:tcW w:w="79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道闸1</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1.名称:道闸1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2.规格:直杆，长度为6米；机箱材质：冷轧钢：电机驱动：直流无刷电机驱动控制；电机功率：300W</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道闸2</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1.名称:道闸2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2.规格:直杆，长度为4米；机箱材质：冷轧钢：电机驱动：直流无刷电机驱动控制；电机功率：300W</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6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抓拍显示一体机</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1.类型:抓拍显示一体机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包含功能：抓拍机、LED显示屏、补光灯、一键呼叫按钮、拾音器、喇叭功放等；分辨率：400万，2688*1520；镜头：4~15mm变焦镜头；智能识别：车牌识别、车型检测、车标识别、子品牌识别；尺寸256mm*128mm，分辨率64*64，亮度4000cd/m²；色温：3000K；补光灯控制：补光灯自动光控、时控可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3.支架形式:摄像机支架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球机吊装支架</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雷达01</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1.规格:雷达（防砸）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2.型号:采用79GHz MMIC技术，分辨率更高，检测更稳定；采用LED灯指示雷达工作状态，状态更直观；支持单人过滤。</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雷达02</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1.规格:雷达(触发)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2.型号:采用79GHz MMIC技术，分辨率更高，检测更稳定；提供RS485串口或者WIFI通讯功能，WIFI版本配备手机APP；，支持单人过滤；</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雷达支架</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1.名称:雷达支架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2.材质:直径80mm，厚度0.5mm不锈材质，H=1.6m(带底座及安装螺丝)</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服务器管理电脑主机</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1.名称:服务器管理电脑主机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2.类别:CPU：I5；内存：8G；硬盘：1T</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1.名称:显示器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2.类别:21.5寸</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8口千兆交换机</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2.型号:8个千M电口</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4G无线路由器</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1.名称:4G无线路由器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2.类别:带GRE协议</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减速带</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1.类别:350*500*5橡胶梯形减速带</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1.名称:电缆保护管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2.规格:PEΦ50(壁厚3.5mm)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3.配置形式:埋地敷设</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配管</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1.名称:不锈钢软管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2.规格:Φ32,壁厚3.0mm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接地极</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1.名称:接地极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2.规格:L50*50*5,L=2500mm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接地母线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1.名称:接地母线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2.规格:40*4扁钢</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电力电缆</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1.名称:电力电缆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2.规格型号：YJV-3×6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2.型号:RVVSP-8x0.5mm²</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电气配线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1.名称:电气配线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2.型号:RVVSP-2x1.0mm²</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超五类屏蔽网线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1.名称:超五类屏蔽网线</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1.名称:通信线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2.规格:RVV-3*2.5mm²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1.名称:通信线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2.规格:RVV-3*1.0mm²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出入口控制终端</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1.名称:出入口控制终端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2.功能:具备CPU处理器；内存：4GB；标配128G SSD，；功耗:平均25w，最高50w；外形尺寸:245mm(W)×65mm(H)×170mm(D)； </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停车综合管理平台</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1.名称:停车综合管理平台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2.功能:支持准确记录识别诸如卡号、车牌号等验证凭据，确保车辆的进出有据可查、可控，保障车辆快速通过道闸，支撑停车场的高效和安全运转.</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平台管理服务器</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1.名称:平台管理服务器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2.功能:2U双路标准机架式服务器；CPU：1颗intel至强系列处理器，核数≥10核，主频≥2.2GHz；内存：32G*2 DDR4，16根内存插槽，最大支持扩展至2TB内存；硬盘：4块600G 10K 2.5寸 SAS硬盘；网口：2个千兆电口；其他接口：1个RJ45管理接口，后置2个USB 3.0接口，前置2个USB2.0接口，1个VGA接口</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拦截系统基础</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1.名称:拦截系统基础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2.尺寸:2500*800*500mm,详见大样图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抓拍显示一体机设备基础</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1.名称:抓拍显示一体机设备基础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2.尺寸:800*500*100mm,详见大样图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3.基础、垫层:材料品种、厚度:C25商品混凝土</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人行道砼路面机械切缝</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1.材质:C25砼切缝</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拆除花砖</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1.结构形式:拆除花砖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2.运距:投标方自行考虑</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拆除人行道砼路面 面层厚14cm</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1.材质:砼路面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2.厚度:14cm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1.材质:级配碎石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0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恢复花砖、 15cm透水砼、8cm级配碎石</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1、6cm厚透水人行道砖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2、2cm厚中粗砂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3、15cm厚C20混凝土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4、8cm厚级配碎石垫层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 人行道块料铺设</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挖沟槽土方</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2.挖土深度:2m内</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1.填方材料品种:原土回填</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清除草皮</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1.拆除绿化带</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铺种草皮</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1.恢复绿化带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2.养护期:12月</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拆除路面</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1.材质:沥青混凝土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拆除基层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1.材质:水泥稳定碎石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3.运距:投标方自行考虑</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水泥稳定石屑</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1.水泥含量:5%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2.厚度:20cm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3.石材种类:碎石</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1.材料品种:乳化沥青粘油层（PC-3）0.5L/m2</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2.厚度:6cm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1.沥青混凝土种类:中粒式沥青砼 AC-20C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2.厚度:8cm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透层、粘层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1.材料品种:乳化沥青透油层（PC-2）0.7-1.5L/m2</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1.材料品种:ES-3乳化沥青稀浆封层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2.厚度:1cm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1.沥青混凝土种类:SBS改性沥青混凝土（AC-13C）</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2.厚度:4cm</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现浇砼包管 C20</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1.名称:现浇砼包封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2.混凝土强度等级:C20</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回填细沙</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1.密实度要求:按设计图纸要求，机械夯实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2.填方材料品种:细沙</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1.名称:C15垫层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2.其他:详见管道大样图</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46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岗亭增设视频监控系统</w:t>
            </w:r>
          </w:p>
        </w:tc>
        <w:tc>
          <w:tcPr>
            <w:tcW w:w="79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 万像素数字高清高速智能球机</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1.名称:200万1/2.7"CMOS  ICR智能变焦网络摄像机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2.技术参数:最小照度:0.002Lux @(F1.2,AGC ON) ,0 Lux with IR，镜头:2.7-12mm @ F1.2~2.2,水平视场角：103°~33°;电动镜头，调整角度:水平:0°~355°,垂直:0°~75°,旋转0°~355°，宽动态范围:120dB，视频压缩标准:H.265 / H.264 / MJPEG，最大图像尺寸:1920×1080，通讯接口:1个RJ45 10M / 100M自适应以太网口；工作温度和湿度:-30℃~60℃,湿度小于95%(无凝结)；电源供应:DC12V±20% / PoE(802.3af)；电源接口类型:Φ5.5mm圆头电源接口；功耗:DC12V: 11 W Max ;PoE: 12.9 W Max；红外照射距离:最远可达30米，防护等级:IP67，防暴等级:IK10，尺寸(mm):φ153.3×111.6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重量:机身重量:840g;带包装重量:1280g</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3.含适配器、摄像机支架 制作安装</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5"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200万网络高清室内半球</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1.名称:200万1/2.7”CMOS ICR日夜型半球网络摄像机；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2.技术参数:最小照度 0.01Lux @(F1.2,AGC ON) ,0 Lux with IR；0.028 Lux @(F2.0,AGC ON), 0 Lux with IR；快门 1/3秒至1/100,000秒；镜头 4mm, 水平视场角:90°;  2.8mm, 水平视场角:100°(6mm,8mm可选)；调整角度 水平-30~30°,垂直0~80°,旋转0~360°；宽动态范围 120dB；视频压缩标准 H.265 / H.264 / MJPEG；帧率 50Hz: 25fps (1920 × 1080,1280 × 960,1280 × 720)；工作温度和湿度 -30℃~60℃,湿度小于95%(无凝结)；电源供应 DC12V±25% / PoE(802.3af)；功耗 5W MAX（ICR切换瞬间7W MAX）；防护等级 IP66；红外照射距离 10-30米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3.含适配器、摄像机支架 制作安装</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1.名称:交换机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2.型号：4口</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超五类屏蔽网线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1.名称:超五类屏蔽网线</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通信线</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1.名称:通信线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2.规格:RVV-3*1.5mm²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3.材质:铜芯</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断路器</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1.名称:断路器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2.规格:iC65N C10/1P</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02"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865"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电缆保护管</w:t>
            </w:r>
          </w:p>
        </w:tc>
        <w:tc>
          <w:tcPr>
            <w:tcW w:w="3901"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1.名称:电缆保护管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2.规格:PVCΦ20，壁厚2.5mm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3.配置形式:埋地敷设</w:t>
            </w:r>
          </w:p>
        </w:tc>
        <w:tc>
          <w:tcPr>
            <w:tcW w:w="79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75"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r>
    </w:tbl>
    <w:p>
      <w:pPr>
        <w:pStyle w:val="13"/>
        <w:keepNext w:val="0"/>
        <w:keepLines w:val="0"/>
        <w:pageBreakBefore w:val="0"/>
        <w:widowControl/>
        <w:shd w:val="clea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line="360" w:lineRule="auto"/>
        <w:ind w:left="0" w:leftChars="0" w:firstLine="422" w:firstLineChars="200"/>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东莞市滨海新区8个地点安装新增艺术岗保安亭</w:t>
      </w:r>
    </w:p>
    <w:tbl>
      <w:tblPr>
        <w:tblStyle w:val="26"/>
        <w:tblW w:w="796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4"/>
        <w:gridCol w:w="1332"/>
        <w:gridCol w:w="4372"/>
        <w:gridCol w:w="750"/>
        <w:gridCol w:w="8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4"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2"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4372"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75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单位</w:t>
            </w:r>
          </w:p>
        </w:tc>
        <w:tc>
          <w:tcPr>
            <w:tcW w:w="810" w:type="dxa"/>
            <w:vMerge w:val="restart"/>
            <w:shd w:val="clear" w:color="auto" w:fill="auto"/>
            <w:vAlign w:val="center"/>
          </w:tcPr>
          <w:p>
            <w:pPr>
              <w:shd w:val="clear"/>
              <w:adjustRightInd/>
              <w:snapToGrid/>
              <w:spacing w:after="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4"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1332"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4372"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75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c>
          <w:tcPr>
            <w:tcW w:w="810" w:type="dxa"/>
            <w:vMerge w:val="continue"/>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408" w:type="dxa"/>
            <w:gridSpan w:val="3"/>
            <w:shd w:val="clear" w:color="auto" w:fill="auto"/>
            <w:vAlign w:val="center"/>
          </w:tcPr>
          <w:p>
            <w:pPr>
              <w:shd w:val="clear"/>
              <w:adjustRightInd/>
              <w:snapToGrid/>
              <w:spacing w:after="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新增艺术岗保安亭</w:t>
            </w:r>
          </w:p>
        </w:tc>
        <w:tc>
          <w:tcPr>
            <w:tcW w:w="750"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独立基础</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1.混凝土种类:预拌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人工整体拆除 简易结构</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1.保安亭整体拆除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2.运距:投标人自行考虑</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平整场地</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1.土壤类别:平整场地</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挖一般土方</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1.土壤类别:一、二类土</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独立基础</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1.混凝土种类:商品混凝土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1.混凝土种类:商品混凝土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2.混凝土强度等级:C25</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0" w:hRule="atLeast"/>
        </w:trPr>
        <w:tc>
          <w:tcPr>
            <w:tcW w:w="704"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3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成品保安亭</w:t>
            </w:r>
          </w:p>
        </w:tc>
        <w:tc>
          <w:tcPr>
            <w:tcW w:w="4372" w:type="dxa"/>
            <w:shd w:val="clear" w:color="auto" w:fill="auto"/>
            <w:vAlign w:val="center"/>
          </w:tcPr>
          <w:p>
            <w:pPr>
              <w:shd w:val="clea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1.规格:2.5*2.5*2.8 钢管柱1.8mm厚80*80 扁方通管 1.5mm厚的80*40的扁方通管 （底板）1.2mm厚 40*20mm的方通管（上铺）3.0mm的防滑镀锌板 彩钢夹芯板 外封板用1.2mm的镀锌板 全玻门1.87*0.7 平开窗铝合金窗户1.03*1.98 固定窗铝合金窗户1.03*1.98 固定窗（上）铝合金窗户1.98*0.4</w:t>
            </w:r>
          </w:p>
        </w:tc>
        <w:tc>
          <w:tcPr>
            <w:tcW w:w="75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10" w:type="dxa"/>
            <w:shd w:val="clear" w:color="auto" w:fill="auto"/>
            <w:vAlign w:val="center"/>
          </w:tcPr>
          <w:p>
            <w:pPr>
              <w:shd w:val="clea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bl>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若采购清单与设计图纸存在不一致，则以设计图纸为准。</w:t>
      </w:r>
    </w:p>
    <w:p>
      <w:pPr>
        <w:rPr>
          <w:color w:val="auto"/>
          <w:highlight w:val="none"/>
          <w:lang w:val="en-US"/>
        </w:rPr>
      </w:pPr>
      <w:r>
        <w:rPr>
          <w:color w:val="auto"/>
          <w:highlight w:val="none"/>
          <w:lang w:val="en-US"/>
        </w:rPr>
        <w:br w:type="page"/>
      </w: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主要货物详细功能及技术参数要求</w:t>
      </w:r>
    </w:p>
    <w:p>
      <w:pPr>
        <w:pStyle w:val="5"/>
        <w:numPr>
          <w:ilvl w:val="0"/>
          <w:numId w:val="4"/>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前端设备</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灯杆规格及参数要求</w:t>
      </w:r>
    </w:p>
    <w:p>
      <w:pPr>
        <w:pStyle w:val="7"/>
        <w:rPr>
          <w:color w:val="auto"/>
          <w:highlight w:val="none"/>
        </w:rPr>
      </w:pPr>
      <w:r>
        <w:rPr>
          <w:rFonts w:hint="eastAsia" w:ascii="宋体" w:hAnsi="宋体" w:eastAsia="宋体" w:cs="宋体"/>
          <w:color w:val="auto"/>
          <w:sz w:val="21"/>
          <w:szCs w:val="21"/>
          <w:highlight w:val="none"/>
        </w:rPr>
        <w:t>灯杆规格及技术参数要求具体详见图纸。</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灯杆常规技术要求</w:t>
      </w:r>
    </w:p>
    <w:p>
      <w:pPr>
        <w:pStyle w:val="61"/>
        <w:numPr>
          <w:ilvl w:val="0"/>
          <w:numId w:val="6"/>
        </w:numPr>
        <w:ind w:left="0" w:firstLine="420"/>
        <w:rPr>
          <w:rFonts w:cs="宋体"/>
          <w:color w:val="auto"/>
          <w:sz w:val="21"/>
          <w:szCs w:val="21"/>
          <w:highlight w:val="none"/>
        </w:rPr>
      </w:pPr>
      <w:r>
        <w:rPr>
          <w:rFonts w:hint="eastAsia" w:cs="宋体"/>
          <w:color w:val="auto"/>
          <w:sz w:val="21"/>
          <w:szCs w:val="21"/>
          <w:highlight w:val="none"/>
        </w:rPr>
        <w:t>焊缝不得有裂纹、焊瘤、烧穿、弧坑、气孔、夹渣、以及未焊满现象，焊后打磨平整；</w:t>
      </w:r>
    </w:p>
    <w:p>
      <w:pPr>
        <w:pStyle w:val="61"/>
        <w:numPr>
          <w:ilvl w:val="0"/>
          <w:numId w:val="6"/>
        </w:numPr>
        <w:ind w:left="0" w:firstLine="420"/>
        <w:rPr>
          <w:rFonts w:cs="宋体"/>
          <w:color w:val="auto"/>
          <w:sz w:val="21"/>
          <w:szCs w:val="21"/>
          <w:highlight w:val="none"/>
        </w:rPr>
      </w:pPr>
      <w:r>
        <w:rPr>
          <w:rFonts w:hint="eastAsia" w:cs="宋体"/>
          <w:color w:val="auto"/>
          <w:sz w:val="21"/>
          <w:szCs w:val="21"/>
          <w:highlight w:val="none"/>
        </w:rPr>
        <w:t>焊缝外形均匀，焊道与焊道、 焊道与基本金属之间过渡平滑，焊渣与飞溅物清除干净；</w:t>
      </w:r>
    </w:p>
    <w:p>
      <w:pPr>
        <w:pStyle w:val="61"/>
        <w:numPr>
          <w:ilvl w:val="0"/>
          <w:numId w:val="6"/>
        </w:numPr>
        <w:ind w:left="0" w:firstLine="420"/>
        <w:rPr>
          <w:rFonts w:cs="宋体"/>
          <w:color w:val="auto"/>
          <w:sz w:val="21"/>
          <w:szCs w:val="21"/>
          <w:highlight w:val="none"/>
        </w:rPr>
      </w:pPr>
      <w:r>
        <w:rPr>
          <w:rFonts w:hint="eastAsia" w:cs="宋体"/>
          <w:color w:val="auto"/>
          <w:sz w:val="21"/>
          <w:szCs w:val="21"/>
          <w:highlight w:val="none"/>
        </w:rPr>
        <w:t>杆体热浸镀锌处理：镀锌后去毛刺，保证孔位、孔径；构件的镀锌层厚度应达到如下要求：</w:t>
      </w:r>
    </w:p>
    <w:p>
      <w:pPr>
        <w:pStyle w:val="61"/>
        <w:ind w:firstLine="420"/>
        <w:rPr>
          <w:rFonts w:cs="宋体"/>
          <w:color w:val="auto"/>
          <w:sz w:val="21"/>
          <w:szCs w:val="21"/>
          <w:highlight w:val="none"/>
        </w:rPr>
      </w:pPr>
      <w:r>
        <w:rPr>
          <w:rFonts w:hint="eastAsia" w:cs="宋体"/>
          <w:color w:val="auto"/>
          <w:sz w:val="21"/>
          <w:szCs w:val="21"/>
          <w:highlight w:val="none"/>
        </w:rPr>
        <w:t xml:space="preserve">     (1) 构件厚度大于或等于5mm的构件，镀锌层厚度须不小于86μm；</w:t>
      </w:r>
    </w:p>
    <w:p>
      <w:pPr>
        <w:pStyle w:val="61"/>
        <w:ind w:firstLine="420"/>
        <w:rPr>
          <w:rFonts w:cs="宋体"/>
          <w:color w:val="auto"/>
          <w:sz w:val="21"/>
          <w:szCs w:val="21"/>
          <w:highlight w:val="none"/>
        </w:rPr>
      </w:pPr>
      <w:r>
        <w:rPr>
          <w:rFonts w:hint="eastAsia" w:cs="宋体"/>
          <w:color w:val="auto"/>
          <w:sz w:val="21"/>
          <w:szCs w:val="21"/>
          <w:highlight w:val="none"/>
        </w:rPr>
        <w:t xml:space="preserve">     (2) 构件厚度小于5mm的构件，镀锌层厚度须不小于65μm；</w:t>
      </w:r>
    </w:p>
    <w:p>
      <w:pPr>
        <w:pStyle w:val="61"/>
        <w:numPr>
          <w:ilvl w:val="0"/>
          <w:numId w:val="6"/>
        </w:numPr>
        <w:ind w:left="0" w:firstLine="420"/>
        <w:rPr>
          <w:rFonts w:cs="宋体"/>
          <w:color w:val="auto"/>
          <w:sz w:val="21"/>
          <w:szCs w:val="21"/>
          <w:highlight w:val="none"/>
        </w:rPr>
      </w:pPr>
      <w:r>
        <w:rPr>
          <w:rFonts w:hint="eastAsia" w:cs="宋体"/>
          <w:color w:val="auto"/>
          <w:sz w:val="21"/>
          <w:szCs w:val="21"/>
          <w:highlight w:val="none"/>
        </w:rPr>
        <w:t>杆体镀锌打磨后进行喷塑处理；喷塑颜色按订单要求；</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灯具技术参数要求</w:t>
      </w:r>
    </w:p>
    <w:p>
      <w:pPr>
        <w:pStyle w:val="8"/>
        <w:spacing w:after="0" w:line="360" w:lineRule="auto"/>
        <w:ind w:left="440"/>
        <w:rPr>
          <w:rFonts w:ascii="宋体" w:hAnsi="宋体" w:eastAsia="宋体" w:cs="宋体"/>
          <w:b/>
          <w:bCs/>
          <w:color w:val="auto"/>
          <w:sz w:val="21"/>
          <w:szCs w:val="21"/>
          <w:highlight w:val="none"/>
        </w:rPr>
      </w:pPr>
      <w:bookmarkStart w:id="6" w:name="_Toc475119662"/>
      <w:bookmarkStart w:id="7" w:name="_Toc475112922"/>
      <w:r>
        <w:rPr>
          <w:rFonts w:hint="eastAsia" w:ascii="宋体" w:hAnsi="宋体" w:eastAsia="宋体" w:cs="宋体"/>
          <w:b/>
          <w:bCs/>
          <w:color w:val="auto"/>
          <w:sz w:val="21"/>
          <w:szCs w:val="21"/>
          <w:highlight w:val="none"/>
        </w:rPr>
        <w:t>1.3.1 灯具结构及配光</w:t>
      </w:r>
      <w:bookmarkEnd w:id="6"/>
      <w:bookmarkEnd w:id="7"/>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灯体采用ADC12铝合金</w:t>
      </w:r>
      <w:r>
        <w:rPr>
          <w:rFonts w:hint="eastAsia" w:cs="宋体"/>
          <w:color w:val="auto"/>
          <w:sz w:val="21"/>
          <w:szCs w:val="21"/>
          <w:highlight w:val="none"/>
        </w:rPr>
        <w:t>高压热铸</w:t>
      </w:r>
      <w:r>
        <w:rPr>
          <w:rFonts w:hint="eastAsia" w:cs="宋体"/>
          <w:color w:val="auto"/>
          <w:sz w:val="21"/>
          <w:szCs w:val="21"/>
          <w:highlight w:val="none"/>
          <w:lang w:val="en-US"/>
        </w:rPr>
        <w:t>而成</w:t>
      </w:r>
      <w:r>
        <w:rPr>
          <w:rFonts w:hint="eastAsia" w:cs="宋体"/>
          <w:color w:val="auto"/>
          <w:sz w:val="21"/>
          <w:szCs w:val="21"/>
          <w:highlight w:val="none"/>
        </w:rPr>
        <w:t>，</w:t>
      </w:r>
      <w:r>
        <w:rPr>
          <w:rFonts w:hint="eastAsia" w:cs="宋体"/>
          <w:color w:val="auto"/>
          <w:sz w:val="21"/>
          <w:szCs w:val="21"/>
          <w:highlight w:val="none"/>
          <w:lang w:val="en-US"/>
        </w:rPr>
        <w:t>结构牢固，散热良好。</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外壳为静电喷粉工艺，户外使用，耐腐蚀性能好。</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采用典型的蝙蝠型配光道路照明透镜，为半截光型灯具，让所有光源经专用偏光透镜配光后，均照向道路路面，布光合理均匀，无炫光，无暗区。</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灯具自带角度调节功能，兼容直杆与横杆两种安装方式，每种安装方式均可实现±15°角度调节。</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电气腔与光源分离，电气腔防护等级IP66</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光源采用模块化设计、模快可以通过简易工具维护，能够通过更换不同模块实现不同配光组合。</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为保证灯具的使用寿命，LED模块的防护等级要求为IP68，同时要求透镜的固定必须为无螺钉结构。</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lang w:val="en-US"/>
        </w:rPr>
        <w:t>灯具安装结构应能适用不同的灯杆口径，至少包含直径40-50mm、55-65mm、65-75mm三种规格。</w:t>
      </w:r>
    </w:p>
    <w:p>
      <w:pPr>
        <w:pStyle w:val="61"/>
        <w:numPr>
          <w:ilvl w:val="0"/>
          <w:numId w:val="7"/>
        </w:numPr>
        <w:ind w:left="0" w:firstLine="420"/>
        <w:rPr>
          <w:rFonts w:cs="宋体"/>
          <w:color w:val="auto"/>
          <w:sz w:val="21"/>
          <w:szCs w:val="21"/>
          <w:highlight w:val="none"/>
          <w:lang w:val="en-US"/>
        </w:rPr>
      </w:pPr>
      <w:r>
        <w:rPr>
          <w:rFonts w:hint="eastAsia" w:cs="宋体"/>
          <w:color w:val="auto"/>
          <w:sz w:val="21"/>
          <w:szCs w:val="21"/>
          <w:highlight w:val="none"/>
        </w:rPr>
        <w:t>▲</w:t>
      </w:r>
      <w:r>
        <w:rPr>
          <w:rFonts w:hint="eastAsia" w:cs="宋体"/>
          <w:color w:val="auto"/>
          <w:sz w:val="21"/>
          <w:szCs w:val="21"/>
          <w:highlight w:val="none"/>
          <w:lang w:val="en-US"/>
        </w:rPr>
        <w:t>灯具通过CQC认证。</w:t>
      </w:r>
      <w:r>
        <w:rPr>
          <w:rFonts w:hint="eastAsia" w:cs="宋体"/>
          <w:color w:val="auto"/>
          <w:sz w:val="21"/>
          <w:szCs w:val="21"/>
          <w:highlight w:val="none"/>
        </w:rPr>
        <w:t>【须提供第三方检测机构出具的检测（测试）报告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 灯具性能参数</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适用电压范围：额定电压80%-120%范围内应能正常工作。</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适用环境要求：-20%~50℃的条件下应能正常工作。</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防护等级：灯具整灯防护等级应不低于IP66，绝缘等级：I。</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rPr>
        <w:t>▲</w:t>
      </w:r>
      <w:r>
        <w:rPr>
          <w:rFonts w:hint="eastAsia" w:cs="宋体"/>
          <w:color w:val="auto"/>
          <w:sz w:val="21"/>
          <w:szCs w:val="21"/>
          <w:highlight w:val="none"/>
          <w:lang w:val="zh-TW" w:eastAsia="zh-TW"/>
        </w:rPr>
        <w:t>整灯光效≥150lm/W，</w:t>
      </w:r>
      <w:r>
        <w:rPr>
          <w:rFonts w:hint="eastAsia" w:cs="宋体"/>
          <w:color w:val="auto"/>
          <w:sz w:val="21"/>
          <w:szCs w:val="21"/>
          <w:highlight w:val="none"/>
        </w:rPr>
        <w:t>【须提供第三方检测机构出具的检测（测试）报告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rPr>
        <w:t>▲</w:t>
      </w:r>
      <w:r>
        <w:rPr>
          <w:rFonts w:hint="eastAsia" w:cs="宋体"/>
          <w:color w:val="auto"/>
          <w:sz w:val="21"/>
          <w:szCs w:val="21"/>
          <w:highlight w:val="none"/>
          <w:lang w:val="zh-TW" w:eastAsia="zh-TW"/>
        </w:rPr>
        <w:t>光源色温≤3200K，</w:t>
      </w:r>
      <w:r>
        <w:rPr>
          <w:rFonts w:hint="eastAsia" w:cs="宋体"/>
          <w:color w:val="auto"/>
          <w:sz w:val="21"/>
          <w:szCs w:val="21"/>
          <w:highlight w:val="none"/>
        </w:rPr>
        <w:t>【须提供第三方检测机构出具的检测（测试）报告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rPr>
        <w:t>▲</w:t>
      </w:r>
      <w:r>
        <w:rPr>
          <w:rFonts w:hint="eastAsia" w:cs="宋体"/>
          <w:color w:val="auto"/>
          <w:sz w:val="21"/>
          <w:szCs w:val="21"/>
          <w:highlight w:val="none"/>
          <w:lang w:val="zh-TW" w:eastAsia="zh-TW"/>
        </w:rPr>
        <w:t>Ra显色指数≥70；</w:t>
      </w:r>
      <w:r>
        <w:rPr>
          <w:rFonts w:hint="eastAsia" w:cs="宋体"/>
          <w:color w:val="auto"/>
          <w:sz w:val="21"/>
          <w:szCs w:val="21"/>
          <w:highlight w:val="none"/>
        </w:rPr>
        <w:t>【须提供第三方检测机构出具的检测（测试）报告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功率因数≥0.95；</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在正常工作3000h的光通维持率不用低于98%；6000h的光通维持率不用低于96%。LED灯具正常工作一年的损坏率不应高于3%。</w:t>
      </w:r>
    </w:p>
    <w:p>
      <w:pPr>
        <w:pStyle w:val="61"/>
        <w:numPr>
          <w:ilvl w:val="0"/>
          <w:numId w:val="8"/>
        </w:numPr>
        <w:ind w:left="0" w:firstLine="420"/>
        <w:rPr>
          <w:rFonts w:cs="宋体"/>
          <w:color w:val="auto"/>
          <w:sz w:val="21"/>
          <w:szCs w:val="21"/>
          <w:highlight w:val="none"/>
          <w:lang w:val="zh-TW" w:eastAsia="zh-TW"/>
        </w:rPr>
      </w:pPr>
      <w:r>
        <w:rPr>
          <w:rFonts w:hint="eastAsia" w:cs="宋体"/>
          <w:color w:val="auto"/>
          <w:sz w:val="21"/>
          <w:szCs w:val="21"/>
          <w:highlight w:val="none"/>
          <w:lang w:val="zh-TW" w:eastAsia="zh-TW"/>
        </w:rPr>
        <w:t>灯具预留单灯智能控制器NEMA插座接口。</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多功能人行灯一体机（单面）</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设备参数：</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1）静态红人动态绿人二合一加双位双色倒计时两单元*1，灯盘显示单元直径尺寸：300mm</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2）显示屏*1，P10双色2扫模组，显示区域尺寸：320*1920mm，信号输入方式：RJ45以太网接口</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3）左右两侧带递减灯带（能接入机动车信号灯信号进行控制），带语音提示器*1，带按钮*1</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4）产品外形尺寸：3000*400*180mm</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多功能人行灯一体机（双面）</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设备参数：</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1）静态红人动态绿人二合一加双位双色倒计时两单元*2，灯盘显示单元直径尺寸：300mm</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2）显示屏*2，P10双色2扫模组，显示区域尺寸：320*1920mm，信号输入方式：RJ45以太网接口</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3）左右两侧带递减灯带（能接入机动车信号灯信号进行控制），带语音提示器*2，带按钮*2</w:t>
      </w:r>
    </w:p>
    <w:p>
      <w:pPr>
        <w:pStyle w:val="7"/>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4）产品外形尺寸：3000*400*180mm</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单灯控制器</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▲单灯智能控制器功耗≤3W；【须提供第三方检测机构出具的检测（测试）报告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▲通过安全测试（LVD）；【须提供第三方检测机构出具的检测（测试）报告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▲通过电磁兼容（EMC）测试的；【须提供第三方检测机构出具的检测（测试）报告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▲IK冲击防护等级≥IK08。【须提供第三方检测机构出具的检测（测试）报告</w:t>
      </w:r>
      <w:r>
        <w:rPr>
          <w:rFonts w:hint="eastAsia" w:cs="宋体"/>
          <w:color w:val="auto"/>
          <w:sz w:val="21"/>
          <w:szCs w:val="21"/>
          <w:highlight w:val="none"/>
          <w:lang w:val="en-US" w:eastAsia="zh-CN"/>
        </w:rPr>
        <w:t>复印件</w:t>
      </w:r>
      <w:r>
        <w:rPr>
          <w:rFonts w:hint="eastAsia" w:cs="宋体"/>
          <w:color w:val="auto"/>
          <w:sz w:val="21"/>
          <w:szCs w:val="21"/>
          <w:highlight w:val="none"/>
        </w:rPr>
        <w:t>加盖投标人公章】</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工作电压：AC90V〜305V 50/60Hz；</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实时时钟：电池供电的RTC；</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频率范围：915-928MHz，865-868MHz；470-510MHz，863-870MHz；</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控制器：32位微控制器；</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存储内存：8Mbit；</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计量精度：1％；</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协议：LoRawan 1.03；</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光线传感器：内部数字光线传感器；</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调光：0-10V和1-10V以及DALI自动切换；</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符合NEMA：ANSI C136.41-2010；</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工作环境：-40℃~+70℃；</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防护等级：IP66，IK08；</w:t>
      </w:r>
    </w:p>
    <w:p>
      <w:pPr>
        <w:pStyle w:val="61"/>
        <w:numPr>
          <w:ilvl w:val="0"/>
          <w:numId w:val="9"/>
        </w:numPr>
        <w:ind w:firstLine="420"/>
        <w:rPr>
          <w:rFonts w:cs="宋体"/>
          <w:color w:val="auto"/>
          <w:sz w:val="21"/>
          <w:szCs w:val="21"/>
          <w:highlight w:val="none"/>
        </w:rPr>
      </w:pPr>
      <w:r>
        <w:rPr>
          <w:rFonts w:hint="eastAsia" w:cs="宋体"/>
          <w:color w:val="auto"/>
          <w:sz w:val="21"/>
          <w:szCs w:val="21"/>
          <w:highlight w:val="none"/>
        </w:rPr>
        <w:t>尺寸：123 * 87.6mm；</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AP</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内核 ARM Cortex-A53</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主频 1.2GHz</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RAM 1Gbytes</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Flash  4Gbytes eMMC</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LoRa 输出功率 type：14dBm@868MHz；17dBm@470MHz</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Max：27dBm</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LoRa 接收灵敏度 -141dBm@SF12,BW=125kHz</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LTE 4G 天线 LTE 网络连接云服务器</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LoRaWAN 天线 LoRaWAN 无线数据采集</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PoE 接口  10/100m 以太网接口+PoE 供电接入</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GPS GPS 定位和高精度时钟产生</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WiFi WiFi 无线接入</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USB  USB 接口</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功耗 5.5W</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工作温度 -40 to +75°C</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相对湿度 0~95%</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尺寸 210*200*85mm</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产品重量 2.1Kg</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工作方式 外置工业电源供电（默认）；PoE +48V 输入 ，兼容 IEEE 802.3 af/at；</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内置磷酸铁锂电池</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通信方式 LoRawan通信有线网络（回传） 10M/100Mbps</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蜂窝网络（回传） GSM/3G/4G</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组网方式 LoRaWAN/LoRa</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安装方式 抱杆或者贴墙安装</w:t>
      </w:r>
    </w:p>
    <w:p>
      <w:pPr>
        <w:pStyle w:val="61"/>
        <w:numPr>
          <w:ilvl w:val="0"/>
          <w:numId w:val="10"/>
        </w:numPr>
        <w:ind w:left="0" w:firstLine="420"/>
        <w:rPr>
          <w:rFonts w:cs="宋体"/>
          <w:color w:val="auto"/>
          <w:sz w:val="21"/>
          <w:szCs w:val="21"/>
          <w:highlight w:val="none"/>
        </w:rPr>
      </w:pPr>
      <w:r>
        <w:rPr>
          <w:rFonts w:hint="eastAsia" w:cs="宋体"/>
          <w:color w:val="auto"/>
          <w:sz w:val="21"/>
          <w:szCs w:val="21"/>
          <w:highlight w:val="none"/>
        </w:rPr>
        <w:t>防护要求 IP67</w:t>
      </w:r>
    </w:p>
    <w:p>
      <w:pPr>
        <w:pStyle w:val="6"/>
        <w:numPr>
          <w:ilvl w:val="0"/>
          <w:numId w:val="5"/>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高空瞭望</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图像传感器1/1.8" 逐行扫描CMOS</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有效图像：尺寸1920x1080，帧率支持30/25fps</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最低照度彩色模式：0.0007Lux，黑白模式：0.0005Lux</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镜头：C接口，镜头焦距范围不低于16.7-1000mm，光学变倍数不低于60倍</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光敏控制：保证摄像机的彩转黑与激光开关精确同步，内部智能延时分析，不受迎面车灯照射影响</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激光波长：激光波长范围大于940nm</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夜视距离：在夜晚较暗条件下，夜视距离大于2.2公里（2.2公里处能看清人的活动）</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云台控制：实现360°连续旋转，俯仰﹣45°~+45°，定位精度≤0.1°水平速度0.01°~30°，垂直速度0.01°~15°/s</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视频编码：H.265/H.264</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智能支持虚焦检测、进入/离开区域、拌线入侵、物品搬移、场景变更、人员聚集、音频异常侦测、人脸侦测、徘徊检测</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外部接口：1个RJ45千兆以太网口</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电源AC24V/DC36V±5%，标配AC220V-&gt;DC36V电源适配</w:t>
      </w:r>
    </w:p>
    <w:p>
      <w:pPr>
        <w:pStyle w:val="7"/>
        <w:spacing w:after="0" w:line="360" w:lineRule="auto"/>
        <w:ind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zh-CN"/>
        </w:rPr>
        <w:t>工作温度：-40~60℃</w:t>
      </w:r>
    </w:p>
    <w:p>
      <w:pPr>
        <w:pStyle w:val="7"/>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防护等级：IP66，IK10</w:t>
      </w:r>
    </w:p>
    <w:p>
      <w:pPr>
        <w:pStyle w:val="5"/>
        <w:numPr>
          <w:ilvl w:val="0"/>
          <w:numId w:val="4"/>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综合智能网关</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1）综合智能网关可提供丰富的物联网接口，可扩展IP化PLC通信；</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2）基于边缘计算架构，开放软硬件资源，支持多容器管理，APP随需部署；</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3）支持主流物联网通信协议，如MQTT，CoAP；</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4）支持数据加密，非特权容器，分区双备份，保障设备安全可靠；</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5）无风扇设计，可长期工作在-40℃～70℃间；</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6）强磁干扰下无故障工作，满足IEEE1613要求；</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7）满足变电站严格环境标准IEC61850-3/IEEE1613；</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8）双冗余电源，DI/DO告警；</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9）支持LTE FDD和LTE TDD，并可兼容WCDMA/GPRS/GSM；</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10）集成千兆以太接口，RS232，RS485，DI/DO等多种接口；</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11）M.2硬盘接口，最大可扩展256GB；</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12）支持目前全球所有的定位系统：北斗/ GPS /伽利略/GLONASS；</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13）远程容器/APP管理，批量配置或升级；</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14）GE电口≥3，GE combo接口≥2，RS485/RS232≥2；</w:t>
      </w:r>
    </w:p>
    <w:p>
      <w:pPr>
        <w:pStyle w:val="7"/>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）光模块：光模块-eSFP-GE-单模模块(1310nm,</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0km,LC)。</w:t>
      </w:r>
    </w:p>
    <w:p>
      <w:pPr>
        <w:pStyle w:val="5"/>
        <w:numPr>
          <w:ilvl w:val="0"/>
          <w:numId w:val="4"/>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应用设备</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高清球（400W）</w:t>
      </w:r>
      <w:r>
        <w:rPr>
          <w:rFonts w:hint="eastAsia" w:ascii="宋体" w:hAnsi="宋体" w:eastAsia="宋体" w:cs="宋体"/>
          <w:color w:val="auto"/>
          <w:sz w:val="21"/>
          <w:szCs w:val="21"/>
          <w:highlight w:val="none"/>
        </w:rPr>
        <w:tab/>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采用不小于1/1.8"的CMOS图像传感器，镜头焦距不低于5.6-208mm，不低于37倍光学变倍；</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支持分辨率2560*1440、帧率在1-30fps可调，分辨力≥1400TVL；</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信噪比≥60dB；</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最低照度：彩色模式≤0.0002lx ,黑白模式≤0.0001lx；提供公安部或具有资质的第三方检测机构出具的检验报告复印件证明</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动态范围≥120dB，照度适应范围≥140dB；</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正常场景下摄像机帧率会自动降低，当触发报警时，联动视频录像帧率可自动调整至设定值；</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内置红外补光灯，可手动/自动开启补光灯；夜晚可识别距离550m处的目标和轮廓；</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 在同一静止场景相同图像质量情况下，H.265编码，开启智能编码功能和不开启智能编码相比，码率节约85%；五码流均支持智能编码；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摄像机对外业务密码账号和WEB账号密码相互隔离；</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 具有图像诊断雪花、偏色、画面冻结、增益失衡、摄像机抖动、条纹噪声设置选项；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支持热度图统计功能可以分别统计分析视频中最多8个区域的活跃度，可通过不同的颜色显示，并可输出日、周、月、年热度图及对应统计报表；</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支持对经过监控画面中的行人镜像（自上而下、自下而上）的人流量统计，支持双向通行的人数统计，准确率≥99%，支持报表统计，支持日报表、周报表、月报表、年报表；</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具有KMC密钥和AES256码流加密功能设置选项；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应能在AC13V~AC36V范围内正常工作，支持POE供电；支持电源备份功能，设备可同时采用AC24V与与POE供电，当一路电源停止后，设备仍能正常工作；</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具有安全启动设置选项，具有在启动的过程中，OS+应用软件逐级校验uboot的设置选项；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支持防入侵检测联动告警设置选项；具有网卡混杂模式检查、系统敏感文件检查、非法超级账户检测、僵尸网络检测、Rootkit检测、程序白名单、挖矿恶意进出检测等设置选项；提供公安部或具有资质的第三方检测机构出具的检验报告复印件证明并加盖投标人公章。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▲支持智能算法模块动态加载，加载过程中，视频业务不中断；支持下面3种多算法切换运行：提供公安部或具有资质的第三方检测机构出具的检验报告复印件证明并加盖投标人公章。</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1、人脸抓拍模式：支持人脸和人体的关联抓拍，并支持人脸属性识别和人流量统计功能；</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2、车辆抓拍模式：支持车辆、非机动车、人体的同时抓拍，并支持车辆的属性识别，支持违章检测和交通信息采集；</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3、行为分析模式：快速移动，越线检测，区域入侵，进入/离开区域，徘徊检测，人员集聚；</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4、违停抓拍模式：支持对违法停车车辆进行抓拍取证；</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采用开放架构，支持快速集成智能算法或应用APP，智能算法或APP可以独立升级；</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样机应能根据环境温度变化，控制风扇和加热器自动开启和关闭；</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支持水平手控速度不小于550°/S，垂直手控速度不小于240°/S；</w:t>
      </w:r>
      <w:r>
        <w:rPr>
          <w:rFonts w:ascii="宋体" w:hAnsi="宋体" w:eastAsia="宋体" w:cs="宋体"/>
          <w:color w:val="auto"/>
          <w:sz w:val="21"/>
          <w:szCs w:val="21"/>
          <w:highlight w:val="none"/>
        </w:rPr>
        <w:t xml:space="preserve">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 应具有300个预置位，存预置位和调预置位功能应该正常；可按照所设定的预置位完成巡航路径，预置位停留时间可设置，共可设32条巡航路径；可记录用户对球机的手动控制运行轨迹，并可重复复现，共可记录7条模式路径；</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外壳防护等级IP67，机械碰撞防护等级IK10；</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高清枪（400W）</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1/1.8" 400万像素逐行扫描CMOS，内置电动变焦镜头，焦距范围不低于12-55mm；</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支持分辨率2560*1440、帧率在1-30fps可调，分辨力≥1400TVL；</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内置GPU处理模块；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最低照度：彩色模式≤0.0002lx ,黑白模式≤0.0001lx；</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在低照度下，样机可手动/自动开启自带的LED柔光补光，可识别距离样机镜头50米处的人脸；</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支持自动识别背光、运动速度、雾（雨）天、正常等场景，并能在＜1s的时间内快速自适应调整相应的图像参数；</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 具有图像诊断雪花、偏色、画面冻结、增益失衡、摄像机抖动、条纹噪声设置选项；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在设定的区域内，可对设定时间段的排队长度进行检测，检测时间可配，并上报检测结果，准确率≥95%；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支持对经过监控画面中的行人进行（自上而下，自下而上）的人流量统计，支持双向通行的人数统计，准确率：≥90%，支持报表统计，支持日报表、周报表、月报表、年报表；</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 在设定的区域内，可对人群的密度进行统计，并实时上报统计结果，区域内的人数上限可配置，当超过设定人数时支持告警上报，人数上报准确率≥95%；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▲支持人体检测、跟踪、抓拍、支持正面、背面双向抓拍，抓拍率≥99%；在同一个视频画面中，最多可同时检测100个运动人体目标；提供第三方检测机构出具的检验报告复印件证明并加盖投标人公章；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支持最佳人体全貌抓拍，人体抓拍重复率≤3%；</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支持对人脸最佳抓拍图片筛选去重，重复率≤1%；</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 在同一个视频画面中，可检测、跟踪、抓拍≥60个运动人脸目标；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可对检测到的人脸进行属性分析，包括年龄段、肤色（黑、白、黄）、性别、是否戴口罩、是否带眼镜，准确率≥95%；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支持对人体属性识别，如：上衣颜色、下衣颜色、上衣款式、下衣款式、上衣纹理、性别、年龄、发型、背包、挎包、雨伞、口罩、体型、行李、行进速度（快速、正常）、行进方向（向上、向下）、前面背包、携带东西等，各属性识别准确率均≥90%；</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支持遮挡人脸检测，包括大墨墨镜、鸭舌帽子、口罩等遮挡的人脸抓拍；</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支持多角度人脸检测功能，支持检出水平转动角不超过±90°，俯仰角不超过±60°，倾斜角不超过±45°姿态角度的人脸抓拍；</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▲支持KMC安全密钥与AES256码流加密功能；提供公安部或具有资质的第三方检测机构出具的检验报告复印件证明并加盖投标人公章。</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 在混合模式下，设备能同时检测不少于80个混合的运动目标，包括人脸、人体、车辆和非机动车4种运动目标；并对这些目标进行跟踪、优选、抓拍及属性分析；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支持下面四种多算法切换运行：</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1、人脸抓拍模式：支持人脸和人体的关联抓拍，并支持人脸、人体的属性识别和人流量统计功能；</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2、车辆抓拍模式：支持车辆、非机动车、人体的同时抓拍，并支持车辆、非机动车、人体的属性识别，支持违章检测和交通信息采集；</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3、行为分析模式：支持人群密度统计、排队长度检测和人流量统计功能；</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4、混合并行抓拍模式：支持在视频画面中，对人脸、人体、车辆、非机动车等运动目标的同时抓拍功能，捕获率≥98%，并支持人脸、人体、车辆、非机动车的分别计数和属性识别；</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外壳防护等级IP67，机械碰撞防护等级IK10；</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提供1个RJ45网口、1个SD卡插槽、2个报警输入、1个报警输出、1个音频输入、1个音频输出接口、1个RS485接口；</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支持AC24V，PoE电源供电；</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人脸枪（400W）</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1/1.8" 400万像素逐行扫描CMOS，内置电动变焦镜头，焦距范围不低于12-55mm；</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信噪比≥60dB；</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支持分辨率2560*1440、帧率在1-30fps可调，分辨力≥1400TVL；</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动态范围≥120dB，照度适应范围≥140dB；</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最低照度：彩色模式≤0.0002lx ,黑白模式≤0.0001lx；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样机的RJ-45网络接口为10M/100M自适应网络接口；</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 在同一静止场景相同图像质量情况下，H.265编码，开启智能编码功能和不开启智能编码相比，码率节约85%；五码流均支持智能编码；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可同时开启30个IE浏览器进行画面浏览；</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具有码流平滑、带宽自适应、TCP智能加速、流量整形等网络优化设置选项；</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 支持自动识别背光、运动速度、雾（雨）天、正常等场景，并能在＜1s的时间内快速自适应调整相应的图像参数；</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具有图像诊断雪花、偏色、画面冻结、增益失衡、摄像机抖动设置选项；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支持热度图统计功能，可以分别统计分析视频中最多8个区域的活跃度，可通过不同的颜色显示，并可输出日、周、月、年热度图及对应统计报表；</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在设定的区域内，可对设定时间段的排队长度进行检测，检测时间可配，并上报检测结果，准确率≥95%；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支持对经过监控画面中的行人进行（自上而下，自下而上）的人流量统计，支持双向通行的人数统计，准确率：≥90%，支持报表统计，支持日报表、周报表、月报表、年报表；</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在设定的区域内，可对人群的密度进行统计，并实时上报统计结果，区域内的人数上限可配置，当超过设定人数时支持告警上报，人数上报准确率≥95%；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支持人体检测、跟踪、抓拍、支持正面、背面双向抓拍，抓拍率≥99%；在同一个视频画面中，最多可同时检测100个运动人体目标；</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支持最佳人体全貌抓拍，人体抓拍重复率≤3%；</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▲支持对人脸最佳抓拍图片筛选去重，重复率≤1%；提供公安部或具有资质的第三方检测机构出具的检验报告复印件证明并加盖投标人公章。</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 ▲在同一个视频画面中，可检测、跟踪、抓拍≥60个运动人脸目标；提供公安部检测机构出具的检验报告复印件证明并加盖投标人公章；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 可对检测到的人脸进行属性分析，包括年龄段、肤色（黑、白、黄）、性别、是否戴口罩、是否带眼镜，准确率≥95%；</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支持遮挡人脸检测，包括大墨墨镜、鸭舌帽子、口罩等遮挡的人脸抓拍；</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支持多角度人脸检测功能，支持检出水平转动角不超过±90°，俯仰角不超过±60°，倾斜角不超过±45°姿态角度的人脸抓拍；</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 支持KMC安全密钥与AES256码流加密功能；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在低照度下，样机可手动/自动开启自带的LED柔光补光，可识别距离样机镜头50米处人脸；</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 支持AC24V供电；</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 外壳防护等级IP67，机械碰撞防护等级IK10；</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 内置GPU处理模块； </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声音传播距离 50-60m内</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音频采样、位率 8kHz~44.1kHz,16位，8kbps-320kbps</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音频格式 MP3/MP2/PCM/ADPCM</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信噪比 ≥80dB</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网络声音延迟 广播延迟≤30ms</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功率 额定功率60W</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工作温度 -20℃～+55℃</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相对湿度 ≤90%（无结露）</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尺寸 160*161.5*415mm</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产品重量 5.8Kg</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供电方式 AC 110V~260V（额定220V）</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安装方式：侧面安装</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通讯方式 RJ45接口 10M/100M，支持的网络通讯协议，TCP、UDP、ARP、ICMP、IGMP 协议</w:t>
      </w:r>
    </w:p>
    <w:p>
      <w:pPr>
        <w:pStyle w:val="61"/>
        <w:numPr>
          <w:ilvl w:val="0"/>
          <w:numId w:val="12"/>
        </w:numPr>
        <w:ind w:firstLine="420"/>
        <w:rPr>
          <w:rFonts w:cs="宋体"/>
          <w:color w:val="auto"/>
          <w:sz w:val="21"/>
          <w:szCs w:val="21"/>
          <w:highlight w:val="none"/>
        </w:rPr>
      </w:pPr>
      <w:r>
        <w:rPr>
          <w:rFonts w:hint="eastAsia" w:cs="宋体"/>
          <w:color w:val="auto"/>
          <w:sz w:val="21"/>
          <w:szCs w:val="21"/>
          <w:highlight w:val="none"/>
        </w:rPr>
        <w:t>防护等级 IPX5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音频采样、位率 8kHz～44.1kHz，16bit，8kbps-320kbps</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网络通讯协议 TCP/IP、UDP、ARP、ICMP、IGMP、HTTP</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网络芯片速率 10/100Mbps</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视频传输位率 128kbps-10Mbps</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摄像头 CMOS，内置1080P高清、超广角摄像头</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功率 ≤4W</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工作温度 -20˚C～55˚C</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相对湿度 ≤90%RH（无结露）</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尺寸要求 162*100*36mm（外尺寸）</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产品重量 1KG</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安装方式 内嵌安装</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 xml:space="preserve">供电方式 DC12V/2A </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通讯方式 RJ45通讯接口</w:t>
      </w:r>
    </w:p>
    <w:p>
      <w:pPr>
        <w:pStyle w:val="61"/>
        <w:numPr>
          <w:ilvl w:val="0"/>
          <w:numId w:val="13"/>
        </w:numPr>
        <w:ind w:left="0" w:firstLine="420"/>
        <w:rPr>
          <w:rFonts w:cs="宋体"/>
          <w:color w:val="auto"/>
          <w:sz w:val="21"/>
          <w:szCs w:val="21"/>
          <w:highlight w:val="none"/>
        </w:rPr>
      </w:pPr>
      <w:r>
        <w:rPr>
          <w:rFonts w:hint="eastAsia" w:cs="宋体"/>
          <w:color w:val="auto"/>
          <w:sz w:val="21"/>
          <w:szCs w:val="21"/>
          <w:highlight w:val="none"/>
        </w:rPr>
        <w:t>防护要求 IPX5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信息发布屏（大屏）</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3.6.1主要技术参数(必须满足或高于)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（1）显示间距：≤3.85（即像素间距≤3.85mm）。</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（2）模组尺寸：200*200mm；</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（3）模组分辨率：≥2700dot；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（4）整机显示尺寸 ：≥800*1600mm，双面显示；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（5）整机外观尺寸：≥900*1700*130mm，厚度不可超过130mm；</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（6）像素密度：≥67600dot/㎡，户外高清显示；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（7）▲亮度：≥7000cd/台,满足户外高亮使用环境；（需提供第三方检验报告复印件并加盖投标人公章）</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（8）主屏材质：铝材；</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（9）防护等级：IP65，防水；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bidi="mn-Mong-CN"/>
        </w:rPr>
        <w:t>产品通过CCC测试</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（11）刷新频率：≥3840HZ</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（12）色彩处理能力：≥16bit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（13）模组单路信号输入，无输出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（14）具备监测屏幕因为遮挡、 光照、 光感等原因导致的幕亮度变化功能；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（15）具备远程断电、 远程开关屏幕功能，远程发布节目功能；</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3.6.2工作环境与安装要求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（1）输入电源 ：AC 220/110 ± 10 %，47~63Hz；</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（2）最大功耗：≤2000W/台，平均功耗：≤400W/台；</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（3）工作温度：- 20℃~ +75℃，工作湿度：80%RH；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（4）重量 ：≤60 kg；</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（5）安装方式：侧面安装，稳固不晃动；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（6）使用用寿命：≥100000h；</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（7）安全指标：短路保护、漏电保护、防雷保护、防黑客入侵等；防护措施 防潮湿、防霉菌、防盐雾、防尘、防水、防晒、防风、防盗、阻燃等；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（8）通信接口：以太网网口集群控制；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（9）散热系统：温控散热；</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监控元素：温湿度、气压、风向、风速、雨量、SO2、NO2、O3、CO、PM2.5、PM10、噪声</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大气温度：测量方法 NTC，测量范围 -50°C ... +80°C，分辨率  0.1°C，传感器精度 ± 0.1°C</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 xml:space="preserve">大气湿度：测量方法 电容式，测量范围  0 ... 100% RH，分辨率  0.1% RH，精度 0.8% RH </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气压 ：测量方法 MEMS传感器－电容式， 测量范围 10 ... 1100hPa， 分辨率 0.1hPa， 精度 ±1.0hPa ， 单位  hPa</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风向：测量方法 超声波，测量范围  0 – 360°，分辨率  0.1°，精度  &lt; 3°，均方根误差，自1.0 m/s，响应阈值 0.3 m/s</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风速：测量方法 超声波，测量范围 0 – 60m/s，分辨率  0.1m/s，精度  ±0.3 m/s或3%，响应阈值  0.3 m/s，单位 m/s；km/h</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雨量 测量方法 光学散射法， 测量范围 无限制， 分辨率 0.001mm ，/0.01mm/0.2mm， 精度 优于4%</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SO2  测量方法 电化学法， 监测范围  0～100ppm， 检出限 0.005ppm，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 xml:space="preserve"> 过载 200ppm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NO2  测量方法  电化学法， 监测范围 0～20ppm， 检出限 0.005ppm，过载 50ppm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O3 测量方法  电化学法， 监测范围  0～20ppm， 检出限 0.001ppm， 过载 50ppm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CO  测量方法 电化学法， 监测范围 0～1000ppm， 检出限 0.1ppm， 过载 2000ppm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PM2.5 测量方法 激光散射/风扇， 监测范围 0～1000ug/m2， 灵敏度 0.3ug/m3， 精度 15% 或 +10ug/m3</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PM10  测量方法 激光散射/风扇， 监测范围  0～1000ug/m2， 灵敏度 0.3ug/m3， 精度 15% 或 +10ug/m3</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噪声 测量方法 半导体， 监测范围 30～130dB(A)， A计权（模拟人耳）， 精度  1.5dB</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工作温度 -50~80℃</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相对湿度 0~100%RH</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尺寸 Ø140mm*403mm</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产品重量 （包含安装支架，不含连接电缆）1.8 Kg</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安装方式 抱箍安装，安装在直径为60-76mm的桅杆</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供电方式 DC 12 - 24V +/- 10%</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通讯方式 RS485接口，moudbus协议</w:t>
      </w:r>
    </w:p>
    <w:p>
      <w:pPr>
        <w:pStyle w:val="61"/>
        <w:numPr>
          <w:ilvl w:val="0"/>
          <w:numId w:val="14"/>
        </w:numPr>
        <w:ind w:left="0" w:firstLine="420"/>
        <w:rPr>
          <w:rFonts w:cs="宋体"/>
          <w:color w:val="auto"/>
          <w:sz w:val="21"/>
          <w:szCs w:val="21"/>
          <w:highlight w:val="none"/>
        </w:rPr>
      </w:pPr>
      <w:r>
        <w:rPr>
          <w:rFonts w:hint="eastAsia" w:cs="宋体"/>
          <w:color w:val="auto"/>
          <w:sz w:val="21"/>
          <w:szCs w:val="21"/>
          <w:highlight w:val="none"/>
        </w:rPr>
        <w:t>防护要求 IP64</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监控元素：温湿度、气压、风向、风速、雨量、PM2.5、PM10、噪声</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大气温度：测量方法 NTC，测量范围 -50°C ... +80°C，分辨率  0.1°C，传感器精度 ± 0.1°C</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 xml:space="preserve">大气湿度：测量方法 电容式，测量范围  0 ... 100% RH，分辨率  0.1% RH，精度 0.8% RH </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气压 ：测量方法 MEMS传感器－电容式， 测量范围 10 ... 1100hPa， 分辨率 0.1hPa， 精度 ±1.0hPa ， 单位  hPa</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风向：测量方法 超声波，测量范围  0 – 360°，分辨率  0.1°，精度  &lt; 3°，均方根误差，自1.0 m/s，响应阈值 0.3 m/s</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风速：测量方法 超声波，测量范围 0 – 60m/s，分辨率  0.1m/s，精度  ±0.3 m/s或3%，响应阈值  0.3 m/s，单位 m/s；km/h</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雨量 测量方法 光学散射法， 测量范围 无限制， 分辨率 0.001mm ，/0.01mm/0.2mm， 精度 优于4%</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PM2.5 测量方法 激光散射/风扇， 监测范围 0～1000ug/m2， 灵敏度 0.3ug/m3， 精度 15% 或 +10ug/m3</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PM10  测量方法 激光散射/风扇， 监测范围  0～1000ug/m2， 灵敏度 0.3ug/m3， 精度 15% 或 +10ug/m3</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噪声 测量方法 半导体， 监测范围 30～130dB(A)， A计权（模拟人耳）， 精度  1.5dB</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工作温度 -50~80℃</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相对湿度 0~100%RH</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尺寸 Ø140mm*403mm</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产品重量 （包含安装支架，不含连接电缆）1.8 Kg</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安装方式 抱箍安装，安装在直径为60-76mm的桅杆</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供电方式 DC 12 - 24V +/- 10%</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通讯方式 RS485接口，moudbus协议</w:t>
      </w:r>
    </w:p>
    <w:p>
      <w:pPr>
        <w:pStyle w:val="61"/>
        <w:numPr>
          <w:ilvl w:val="0"/>
          <w:numId w:val="15"/>
        </w:numPr>
        <w:ind w:left="0" w:firstLine="420"/>
        <w:rPr>
          <w:rFonts w:cs="宋体"/>
          <w:color w:val="auto"/>
          <w:sz w:val="21"/>
          <w:szCs w:val="21"/>
          <w:highlight w:val="none"/>
        </w:rPr>
      </w:pPr>
      <w:r>
        <w:rPr>
          <w:rFonts w:hint="eastAsia" w:cs="宋体"/>
          <w:color w:val="auto"/>
          <w:sz w:val="21"/>
          <w:szCs w:val="21"/>
          <w:highlight w:val="none"/>
        </w:rPr>
        <w:t>防护要求 IP64</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道路井盖监测</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工作频段470MHz</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设备类型  Class A  LoRaWAN</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天线接口  FPC 天线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工作电压  锂电池供电 ER26500（3.6V）  ER26500+SPC1550 不可充电</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电池寿命  3-5 年  工作正常且每天最多两次上报数据</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工作最大电流</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＜200mA  LoRaWAN</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休眠电流  ＜25.0μA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防护等级  IP68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外壳材质  采用 PC+ABS 防老化、防腐蚀，防撞击材料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工作温度</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(-25～+85)℃  采用消费级 SIM 卡</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(-40～+85)℃  采用工业级 SIM 卡/LoRaWAN</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存储温度  (-40～+85)℃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温度测量范围  (-40～+85)℃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 xml:space="preserve">倾角测量范围  0°～ 180° </w:t>
      </w:r>
    </w:p>
    <w:p>
      <w:pPr>
        <w:pStyle w:val="61"/>
        <w:numPr>
          <w:ilvl w:val="0"/>
          <w:numId w:val="16"/>
        </w:numPr>
        <w:ind w:left="0" w:firstLine="420"/>
        <w:rPr>
          <w:rFonts w:cs="宋体"/>
          <w:color w:val="auto"/>
          <w:sz w:val="21"/>
          <w:szCs w:val="21"/>
          <w:highlight w:val="none"/>
        </w:rPr>
      </w:pPr>
      <w:r>
        <w:rPr>
          <w:rFonts w:hint="eastAsia" w:cs="宋体"/>
          <w:color w:val="auto"/>
          <w:sz w:val="21"/>
          <w:szCs w:val="21"/>
          <w:highlight w:val="none"/>
        </w:rPr>
        <w:t>倾角测量精度  ±2°</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交通信号灯（箭头左转）</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 xml:space="preserve">技术参数 </w:t>
      </w:r>
    </w:p>
    <w:tbl>
      <w:tblPr>
        <w:tblStyle w:val="27"/>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41"/>
        <w:gridCol w:w="1891"/>
        <w:gridCol w:w="184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颜色</w:t>
            </w:r>
          </w:p>
        </w:tc>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LED数量</w:t>
            </w:r>
          </w:p>
        </w:tc>
        <w:tc>
          <w:tcPr>
            <w:tcW w:w="189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亮度或光强</w:t>
            </w:r>
          </w:p>
        </w:tc>
        <w:tc>
          <w:tcPr>
            <w:tcW w:w="1844"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波长</w:t>
            </w:r>
          </w:p>
        </w:tc>
        <w:tc>
          <w:tcPr>
            <w:tcW w:w="1476"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红</w:t>
            </w:r>
          </w:p>
        </w:tc>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89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844"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625±5nm</w:t>
            </w:r>
          </w:p>
        </w:tc>
        <w:tc>
          <w:tcPr>
            <w:tcW w:w="1476"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黄</w:t>
            </w:r>
          </w:p>
        </w:tc>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89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844"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590±5nm</w:t>
            </w:r>
          </w:p>
        </w:tc>
        <w:tc>
          <w:tcPr>
            <w:tcW w:w="1476"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绿</w:t>
            </w:r>
          </w:p>
        </w:tc>
        <w:tc>
          <w:tcPr>
            <w:tcW w:w="154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891"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＞720cd</w:t>
            </w:r>
          </w:p>
        </w:tc>
        <w:tc>
          <w:tcPr>
            <w:tcW w:w="1844"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505±5nm</w:t>
            </w:r>
          </w:p>
        </w:tc>
        <w:tc>
          <w:tcPr>
            <w:tcW w:w="1476" w:type="dxa"/>
          </w:tcPr>
          <w:p>
            <w:pPr>
              <w:pStyle w:val="61"/>
              <w:ind w:firstLine="0" w:firstLineChars="0"/>
              <w:jc w:val="center"/>
              <w:rPr>
                <w:rFonts w:cs="宋体"/>
                <w:color w:val="auto"/>
                <w:sz w:val="21"/>
                <w:szCs w:val="21"/>
                <w:highlight w:val="none"/>
              </w:rPr>
            </w:pPr>
            <w:r>
              <w:rPr>
                <w:rFonts w:hint="eastAsia" w:cs="宋体"/>
                <w:color w:val="auto"/>
                <w:sz w:val="21"/>
                <w:szCs w:val="21"/>
                <w:highlight w:val="none"/>
              </w:rPr>
              <w:t>≤7W</w:t>
            </w:r>
          </w:p>
        </w:tc>
      </w:tr>
    </w:tbl>
    <w:p>
      <w:pPr>
        <w:pStyle w:val="61"/>
        <w:ind w:firstLine="0" w:firstLineChars="0"/>
        <w:rPr>
          <w:rFonts w:cs="宋体"/>
          <w:color w:val="auto"/>
          <w:sz w:val="21"/>
          <w:szCs w:val="21"/>
          <w:highlight w:val="none"/>
        </w:rPr>
      </w:pPr>
      <w:r>
        <w:rPr>
          <w:rFonts w:hint="eastAsia" w:cs="宋体"/>
          <w:color w:val="auto"/>
          <w:sz w:val="21"/>
          <w:szCs w:val="21"/>
          <w:highlight w:val="none"/>
        </w:rPr>
        <w:t xml:space="preserve"> </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符合国家标准GB14887-2011道路交通信号灯1类1级(W型)全部技术要求。</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机动车信号灯每组由红、黄、绿三个几何位置分立单元组成。同一方向红、黄、绿三色方向指示信号灯应为三个几何位置分立单元。</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高透光率透明面罩，阻燃，防紫外。</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光源采用高亮LED。</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整灯寿命超过10年，抗振动、抗风压＞145km/h。</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灯具采用全屏与箭头可互换灯具，单灯显示单元直径为400mm±2%；可以在绿闪时间显示倒数数字，信号灯采用9秒倒计时的预告转灯设置。灯芯要求使用变压器加恒流供电电路，不能使用开关电源方式或阻容降压方式供电，倒计时要求使用每个发光管单独恒流方式工作，不得采用恒压方式工作。倒计时器采用脉冲模式通讯，有效脉冲范围0.1-0.4秒，不符合要求的脉冲应视为无效脉冲。</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功耗 ≤30W</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工作温度 -40℃～+80℃</w:t>
      </w:r>
    </w:p>
    <w:p>
      <w:pPr>
        <w:pStyle w:val="61"/>
        <w:numPr>
          <w:ilvl w:val="0"/>
          <w:numId w:val="17"/>
        </w:numPr>
        <w:ind w:left="0" w:firstLine="420"/>
        <w:rPr>
          <w:rFonts w:cs="宋体"/>
          <w:color w:val="auto"/>
          <w:sz w:val="21"/>
          <w:szCs w:val="21"/>
          <w:highlight w:val="none"/>
        </w:rPr>
      </w:pPr>
      <w:r>
        <w:rPr>
          <w:rFonts w:hint="eastAsia" w:cs="宋体"/>
          <w:color w:val="auto"/>
          <w:sz w:val="21"/>
          <w:szCs w:val="21"/>
          <w:highlight w:val="none"/>
        </w:rPr>
        <w:t>相对湿度 0~95%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交通信号灯（箭头直行）</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技术参数</w:t>
      </w:r>
    </w:p>
    <w:tbl>
      <w:tblPr>
        <w:tblStyle w:val="27"/>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1772"/>
        <w:gridCol w:w="172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颜色</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LED数量</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亮度或光强</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波长</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红</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625±5nm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黄</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590±5nm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绿</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＞720cd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505±5nm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≤7W</w:t>
            </w:r>
          </w:p>
        </w:tc>
      </w:tr>
    </w:tbl>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符合国家标准GB14887-2011道路交通信号灯1类1级(W型)全部技术要求。</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机动车信号灯每组由红、黄、绿三个几何位置分立单元组成。同一方向红、黄、绿三色方向指示信号灯应为三个几何位置分立单元。</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高透光率透明面罩，阻燃，防紫外。</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光源采用高亮LED。</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整灯寿命超过10年，抗振动、抗风压＞145km/h。</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灯具采用全屏与箭头可互换灯具，单灯显示单元直径为400mm±2%；可以在绿闪时间显示倒数数字，信号灯采用9秒倒计时的预告转灯设置。灯芯要求使用变压器加恒流供电电路，不能使用开关电源方式或阻容降压方式供电，倒计时要求使用每个发光管单独恒流方式工作，不得采用恒压方式工作。倒计时器采用脉冲模式通讯，有效脉冲范围0.1-0.4秒，不符合要求的脉冲应视为无效脉冲。</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功耗 ≤30W</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工作温度 -40℃～+80℃</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相对湿度 0~95%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交通信号灯（箭头右转）</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技术参数</w:t>
      </w:r>
    </w:p>
    <w:tbl>
      <w:tblPr>
        <w:tblStyle w:val="27"/>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1772"/>
        <w:gridCol w:w="172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颜色</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LED数量</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亮度或光强</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波长</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红</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625±5nm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黄</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＞480cd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590±5nm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绿</w:t>
            </w:r>
          </w:p>
        </w:tc>
        <w:tc>
          <w:tcPr>
            <w:tcW w:w="1446"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205pcs</w:t>
            </w:r>
          </w:p>
        </w:tc>
        <w:tc>
          <w:tcPr>
            <w:tcW w:w="1772"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＞720cd</w:t>
            </w:r>
          </w:p>
        </w:tc>
        <w:tc>
          <w:tcPr>
            <w:tcW w:w="1728"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505±5nm</w:t>
            </w:r>
          </w:p>
        </w:tc>
        <w:tc>
          <w:tcPr>
            <w:tcW w:w="1901" w:type="dxa"/>
            <w:vAlign w:val="center"/>
          </w:tcPr>
          <w:p>
            <w:pPr>
              <w:pStyle w:val="61"/>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≤7W</w:t>
            </w:r>
          </w:p>
        </w:tc>
      </w:tr>
    </w:tbl>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符合国家标准GB14887-2011道路交通信号灯1类1级(W型)全部技术要求。</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机动车信号灯每组由红、黄、绿三个几何位置分立单元组成。同一方向红、黄、绿三色方向指示信号灯应为三个几何位置分立单元。</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高透光率透明面罩，阻燃，防紫外。</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光源采用高亮LED。</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整灯寿命超过10年，抗振动、抗风压＞145km/h。</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灯具采用全屏与箭头可互换灯具，单灯显示单元直径为400mm±2%；可以在绿闪时间显示倒数数字，信号灯采用9秒倒计时的预告转灯设置。灯芯要求使用变压器加恒流供电电路，不能使用开关电源方式或阻容降压方式供电，倒计时要求使用每个发光管单独恒流方式工作，不得采用恒压方式工作。倒计时器采用脉冲模式通讯，有效脉冲范围0.1-0.4秒，不符合要求的脉冲应视为无效脉冲。</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功耗 ≤30W</w:t>
      </w:r>
    </w:p>
    <w:p>
      <w:pPr>
        <w:pStyle w:val="61"/>
        <w:numPr>
          <w:ilvl w:val="0"/>
          <w:numId w:val="18"/>
        </w:numPr>
        <w:ind w:left="0" w:firstLine="420"/>
        <w:rPr>
          <w:rFonts w:cs="宋体"/>
          <w:color w:val="auto"/>
          <w:sz w:val="21"/>
          <w:szCs w:val="21"/>
          <w:highlight w:val="none"/>
        </w:rPr>
      </w:pPr>
      <w:r>
        <w:rPr>
          <w:rFonts w:hint="eastAsia" w:cs="宋体"/>
          <w:color w:val="auto"/>
          <w:sz w:val="21"/>
          <w:szCs w:val="21"/>
          <w:highlight w:val="none"/>
        </w:rPr>
        <w:t>工作温度 -40℃～+80℃</w:t>
      </w:r>
    </w:p>
    <w:p>
      <w:pPr>
        <w:pStyle w:val="61"/>
        <w:numPr>
          <w:ilvl w:val="0"/>
          <w:numId w:val="18"/>
        </w:numPr>
        <w:ind w:left="0" w:firstLine="420"/>
        <w:rPr>
          <w:rFonts w:hint="eastAsia" w:cs="宋体"/>
          <w:color w:val="auto"/>
          <w:sz w:val="21"/>
          <w:szCs w:val="21"/>
          <w:highlight w:val="none"/>
        </w:rPr>
      </w:pPr>
      <w:r>
        <w:rPr>
          <w:rFonts w:hint="eastAsia" w:cs="宋体"/>
          <w:color w:val="auto"/>
          <w:sz w:val="21"/>
          <w:szCs w:val="21"/>
          <w:highlight w:val="none"/>
        </w:rPr>
        <w:t>相对湿度 0~95%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交通信号机</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协议：▲交通信号控制机需符合GB25280-2016标准，支持GB/T20999-2017通信协议，需提供第三方机构测试报告</w:t>
      </w:r>
      <w:r>
        <w:rPr>
          <w:rFonts w:hint="eastAsia" w:cs="宋体"/>
          <w:color w:val="auto"/>
          <w:sz w:val="21"/>
          <w:szCs w:val="21"/>
          <w:highlight w:val="none"/>
          <w:lang w:val="en-US"/>
        </w:rPr>
        <w:t>复印件并加盖投标人公章</w:t>
      </w:r>
      <w:r>
        <w:rPr>
          <w:rFonts w:hint="eastAsia" w:cs="宋体"/>
          <w:color w:val="auto"/>
          <w:sz w:val="21"/>
          <w:szCs w:val="21"/>
          <w:highlight w:val="none"/>
        </w:rPr>
        <w:t>；</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硬件结构：▲控制主机采用CPCI背板结构与模块化设计，需提供第三方机构测试报告</w:t>
      </w:r>
      <w:r>
        <w:rPr>
          <w:rFonts w:hint="eastAsia" w:cs="宋体"/>
          <w:color w:val="auto"/>
          <w:sz w:val="21"/>
          <w:szCs w:val="21"/>
          <w:highlight w:val="none"/>
          <w:lang w:val="en-US"/>
        </w:rPr>
        <w:t>复印件并加盖投标人公章</w:t>
      </w:r>
      <w:r>
        <w:rPr>
          <w:rFonts w:hint="eastAsia" w:cs="宋体"/>
          <w:color w:val="auto"/>
          <w:sz w:val="21"/>
          <w:szCs w:val="21"/>
          <w:highlight w:val="none"/>
        </w:rPr>
        <w:t>；</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CPU处理器：▲控制主机采用双CPU架构，CPU处理器采用双 4 核工业级 CPU，双CPU内部采用千兆高速IP网络互连，需提供第三方机构测试报告</w:t>
      </w:r>
      <w:r>
        <w:rPr>
          <w:rFonts w:hint="eastAsia" w:cs="宋体"/>
          <w:color w:val="auto"/>
          <w:sz w:val="21"/>
          <w:szCs w:val="21"/>
          <w:highlight w:val="none"/>
          <w:lang w:val="en-US"/>
        </w:rPr>
        <w:t>复印件并加盖投标人公章</w:t>
      </w:r>
      <w:r>
        <w:rPr>
          <w:rFonts w:hint="eastAsia" w:cs="宋体"/>
          <w:color w:val="auto"/>
          <w:sz w:val="21"/>
          <w:szCs w:val="21"/>
          <w:highlight w:val="none"/>
        </w:rPr>
        <w:t>；</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时钟：支持高精度工业级时钟校准；</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机箱：机箱具备柜门状态检测功能，支持非正常开门后台报警，实现对机柜的远程控制和管理，且支持远程开关交通信号控制机电源；</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控制模式：具备云控制模式，支持感应、协调、中心、本地优化、行人、手动等多种控制模式；</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输出：▲最大可驱动36相位，需提供第三方测试机构报告</w:t>
      </w:r>
      <w:r>
        <w:rPr>
          <w:rFonts w:hint="eastAsia" w:cs="宋体"/>
          <w:color w:val="auto"/>
          <w:sz w:val="21"/>
          <w:szCs w:val="21"/>
          <w:highlight w:val="none"/>
          <w:lang w:val="en-US"/>
        </w:rPr>
        <w:t>复印件并加盖投标人公章</w:t>
      </w:r>
      <w:r>
        <w:rPr>
          <w:rFonts w:hint="eastAsia" w:cs="宋体"/>
          <w:color w:val="auto"/>
          <w:sz w:val="21"/>
          <w:szCs w:val="21"/>
          <w:highlight w:val="none"/>
        </w:rPr>
        <w:t>；</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驱动板能力： 提供12路独立开关控制的24V直流输出、12路独立开关控制的220V 交流电输出，用于实现与外部设备的数据连接和供电控制，实现与视频监控、电子警察、各类交通检测设备的高度集成；</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网络通信：▲内置交换机模块支持 4 路千兆光纤接口和8 路千兆以太网电口，需提供第三方测试机构报告</w:t>
      </w:r>
      <w:r>
        <w:rPr>
          <w:rFonts w:hint="eastAsia" w:cs="宋体"/>
          <w:color w:val="auto"/>
          <w:sz w:val="21"/>
          <w:szCs w:val="21"/>
          <w:highlight w:val="none"/>
          <w:lang w:val="en-US"/>
        </w:rPr>
        <w:t>复印件并加盖投标人公章</w:t>
      </w:r>
      <w:r>
        <w:rPr>
          <w:rFonts w:hint="eastAsia" w:cs="宋体"/>
          <w:color w:val="auto"/>
          <w:sz w:val="21"/>
          <w:szCs w:val="21"/>
          <w:highlight w:val="none"/>
        </w:rPr>
        <w:t>；</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检测器接入：控制主机可通过IP网络直接接入各种检测设备；</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高速总线接口：具备符合IEC61158 Type28高速总线标准的两线接口；</w:t>
      </w:r>
    </w:p>
    <w:p>
      <w:pPr>
        <w:pStyle w:val="61"/>
        <w:numPr>
          <w:ilvl w:val="0"/>
          <w:numId w:val="19"/>
        </w:numPr>
        <w:ind w:firstLine="420"/>
        <w:rPr>
          <w:rFonts w:cs="宋体"/>
          <w:color w:val="auto"/>
          <w:sz w:val="21"/>
          <w:szCs w:val="21"/>
          <w:highlight w:val="none"/>
        </w:rPr>
      </w:pPr>
      <w:r>
        <w:rPr>
          <w:rFonts w:hint="eastAsia" w:cs="宋体"/>
          <w:color w:val="auto"/>
          <w:sz w:val="21"/>
          <w:szCs w:val="21"/>
          <w:highlight w:val="none"/>
        </w:rPr>
        <w:t>模块化设计： 提供包括CPU核心控制模块，支持本地最大不少于4T的无风扇数据存储模块，内置网络交换机，内置光纤、RJ45网络接口，从而整合成高度集成的智能控制主机，可根据应用需求进行功能扩展；</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电子警察（900万像素）/测速卡口（900W）主要设备</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.1 智慧交通终端管理设备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1）嵌入式一体化设计；</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2）支持16路高清图片，16路高清实时录像；</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3）大容量存储，最大支持4个3.5”/2.5”硬盘；</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4）内置16个100M交换网口，可方便接入网络摄像机；</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5）支持H.265编码；</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6）支持LCD显示屏；</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7）支持VGA接口、HDMI接口、CVBS接口；</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8）支持GPS校时、区间测速功能；</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9）支持在图片上叠加车牌、车道、时间、地点等字符信息；</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10）支持对多张图片进行合成；</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11）支持图片的存储、检索、查看、导出、上传等处理；</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12）全机身散热，内部无风扇，工作温度—40℃~70℃；</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13）支持NTP网络校时；</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14交互控制：支持web界面远程控制，本机界面操作；</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15）支持协议：ONVIF、GB28181、TCP/IP、UDP、RTSP、HTTP；</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16）算法识别：车牌、车标、车型、车身颜色等；</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17）接口类型：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SATA接口：4个内部SATA，支持1/2/3/4/6TB，一个外置eSATA</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音频：1路输入，1路输出</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视频输入：支持16路1080P/30fps H264/H265解码</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视频输出：1路CVBS，1路VGA，1路HDMI</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网络接口：16个百兆网口，2个千兆网口，1个千兆光口</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模拟视频接口：HD-TVI， 2路输出2路输入</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RS232：2路</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RS485：4路</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IO ：4路输入，4路输出</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USB：2路USB2.0,1路USB3.0</w:t>
      </w:r>
    </w:p>
    <w:p>
      <w:pPr>
        <w:pStyle w:val="63"/>
        <w:widowControl w:val="0"/>
        <w:spacing w:after="0" w:line="360" w:lineRule="auto"/>
        <w:jc w:val="both"/>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电源输出接口：DC-12V、DC-5V输出</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.2  900万生态高清摄像机</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选用1英寸的GS-CMOS，最大支持分辨率4096*2160，分辨力≥2100TVL；</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动态范围≥120dB，照度适应范围≥140dB；</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最低照度：彩色模式≤0.0002lx ,黑白模式≤0.0001lx；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具有2个RJ-45网络接口，传输速率为10M/100M/1000M自适应；</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▲支持图片抓拍和视频双快门模式，并且多个快门相互独立，可以单独设定参数； 提供第三方检测机构出具的检验报告复印件证明并加盖投标人公章；</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在同一静止场景相同图像质量情况下，H.265编码，开启智能编码功能和不开启智能编码相比，码率节约80%；不受后端平台约束，五码流均支持智能编码；</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可同时开启30个IE浏览器进行画面浏览；</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具有码流平滑、带宽自适应、TCP智能加速、流量整形等网络优化设置选项；</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支持智能算法动态加载，加载过程中，视频业务不中断；采用开放架构，支持快速集成第三方智能算法或应用APP；第三方智能算法或APP可以独立升级；提供公安部或具有资质的第三方检测机构出具的检验报告复印件并加盖投标人公章。</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 ▲支持自动识别背光、运动速度、雾（雨）天、正常等场景，并能在＜1s的时间内快速自适应调整相应的图像参数；提供第三方检测机构出具的检验报告复印件证明并加盖投标人公章；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具有图像诊断雪花、偏色、画面冻结、增益失衡、摄像机抖动、条纹噪声、场景变更、虚焦检测设置选项；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压线、违法变道、不按导向行驶、机占非、尾号限行、不按规定车道行驶、占用公交车道、逆行、非占机、违章掉头、黄网格违停、占用应急车道、外地车限行、斑马线不礼让行人等违法行车，捕获率≥98%，准确率≥95%；</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支持不礼让行人的违法行为抓拍功能，样机支持人行道通行未减速抓拍功能；</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宜支持危险品车（油罐车）检测功能，识别准确率≥90%；</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设备抓拍的图片具有防篡改功能，导出的图片和录像具有水印校验信息，当图片和录像被修改后，通过专用工具可检测出图片和录像数据被篡改；</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支持背向车辆抓拍，能够识别车辆品牌、车款、车牌、车身颜色；</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▲支持机动车、非机动车、行人等目标检测功能，可最多检测出60个同时出现在视频图像中的机动车、非机动车及行人等目标；提供公安部或具有资质的第三方检测机构出具的检验报告复印件并加盖投标人公章。</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中国车牌类型：单层蓝牌、单层黄牌、新能源车牌、双层黄牌、白色武警、单层军用、双层军用、澳门牌、港牌、单层军牌、使馆牌、双层白色武警、教练车牌、民航车牌功能；中国车牌颜色：黑色、白色、黄色、蓝色、绿色；识别准确率≥99%；</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能识别显示出共5600种车辆的品牌、二级子款、年款和车辆类型的信息，包含3600种车头和2000种车尾；一二级车款识别率：白天98%，晚上95%；</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 可识别24车型检测，其中车头方向有20种，包括：两厢轿车、三厢轿车、轿跑、小型轿车、微型轿车、客车、中型客车、面包车、微型面包车、大货车、中型货车、小货车、卡车、微卡、SUV、皮卡、MPV、高危车、校车、渣土车；车尾方向有4种，包括：油罐车、微卡、吊车、渣土车；</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支持北斗定位和GPS定位功能设置选项，并能够在监控画面叠加设备所在地的经纬度信息；</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内置陀螺仪，支持设备姿态异常检测，并报警输出；</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 内置偏振镜及切换控制模块，ICR支持自动、定时、偏振镜、普通模式设置选项；</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 支持实时检测设备内部的温度信息，内部温度异常时可产生告警，告警检测时间间隔可设；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 支持KMC安全密钥与AES256码流加密功能； </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 应能在AC 55V～300V范围内正常工作；</w:t>
      </w:r>
    </w:p>
    <w:p>
      <w:pPr>
        <w:widowControl w:val="0"/>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 外壳防护等级IP67，机械碰撞防护等级IK10；</w:t>
      </w:r>
    </w:p>
    <w:p>
      <w:pPr>
        <w:pStyle w:val="63"/>
        <w:widowControl w:val="0"/>
        <w:spacing w:after="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 内置GPU处理模块； </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.3 违停抓拍球机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1）采用不小于1/1.8"的CMOS图像传感器，镜头焦距不低于5.6-208mm，不低于37倍光学变倍；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2）支持分辨率2560*1440、帧率在1-30fps可调，分辨力≥1400TVL；</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3）信噪比≥60dB；</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4）最低照度：彩色模式≤0.0002lx ,黑白模式≤0.0001lx；提供公安部或具有资质的第三方检测机构出具的检验报告复印件证明</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5）动态范围≥120dB，照度适应范围≥140dB；</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6）正常场景下摄像机帧率会自动降低，当触发报警时，联动视频录像帧率可自动调整至设定值；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7）内置红外补光灯，可手动/自动开启补光灯；夜晚可识别距离550m处的目标和轮廓；</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8）在同一静止场景相同图像质量情况下，H.265编码，开启智能编码功能和不开启智能编码相比，码率节约85%；五码流均支持智能编码；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9）摄像机对外业务密码账号和WEB账号密码相互隔离；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10）具有图像诊断雪花、偏色、画面冻结、增益失衡、摄像机抖动、条纹噪声设置选项；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11）支持热度图统计功能可以分别统计分析视频中最多8个区域的活跃度，可通过不同的颜色显示，并可输出日、周、月、年热度图及对应统计报表；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12）支持对经过监控画面中的行人镜像（自上而下、自下而上）的人流量统计，支持双向通行的人数统计，准确率≥99%，支持报表统计，支持日报表、周报表、月报表、年报表；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13）支持机动车、非机动车、行人等目标检测功能，可最多检测出60个同时出现在视频图像中的机动车、非机动车及行人等目标；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14）支持对非机动车上的骑行人进行属性识别，包括非机动车颜色/种类、骑行人数量、搭载物品、头盔（有无）、头盔颜色、年龄段（小孩/青年/老年）、性别、上衣款式、上衣颜色、各属性准确率≥90%；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15）系统应能将捕获到的目标进行分类，分类至少包括机动车（不包括摩托车）、非机动车、行人，分类准确率不低于99%；</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具备车牌识别功能，可识别的车牌颜色包括：黑、白、黄、蓝、绿，单层蓝牌、单层黄牌、新能源车牌、双层黄牌、白色武警、单层军用、双层军用、澳门牌、港牌、单层军牌、使馆牌、双层白色武警、教练车牌、民航车牌功能，车牌捕获率≥99%，车牌识别准确率≥99%；</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17）样机能识别显示出5600种车辆的品牌、二级子款、年款和车辆类型等信息，包含3600种车头和2000种车尾；车款识别准确率≥99%；</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18）识别不少于11种车身颜色，包括：红、黄、蓝、绿、紫、粉、棕、白、黑、银、青；车身颜色识别准确率≥99%；</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可识别24车型检测，其中车头方向有20种，包括：两厢轿车、三厢轿车、轿跑、小型轿车、微型轿车、客车、中型客车、面包车、微型面包车、大货车、中型货车、小货车、卡车、微卡、SUV、皮卡、MPV、高危车、校车、渣土车；车尾方向有4种，包括：油罐车、微卡、吊车、渣土车；车型识别准确率≥99%；</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违法停车行为检测功能，停车时间可自定义设定，捕获率≥99%，准确率≥99%；支持异常车牌、非占机、机占非、逆行、压线、倒车等交通违法行为的检测抓拍，平均捕获率≥99%，平均准确率≥99%；提供公安部或具有资质的第三方检测机构出具的检验报告复印件证明复印件并加盖投标人公章。</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21）具有KMC密钥和AES256码流加密功能设置选项；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22）应能在AC13V~AC36V范围内正常工作，支持POE供电；支持电源备份功能，设备可同时采用AC24V与与POE供电，当一路电源停止后，设备仍能正常工作；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23）具有安全启动设置选项，具有在启动的过程中，OS+应用软件逐级校验uboot的设置选项；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24）支持防入侵检测联动告警设置选项；具有网卡混杂模式检查、系统敏感文件检查、非法超级账户检测、僵尸网络检测、Rootkit检测、程序白名单、挖矿恶意进出检测等设置选项；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25）支持智能算法模块动态加载，加载过程中，视频业务不中断；支持下面3种多算法切换运行：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1、人脸抓拍模式：支持人脸和人体的关联抓拍，并支持人脸属性识别和人流量统计功能；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2、车辆抓拍模式：支持车辆、非机动车、人体的同时抓拍，并支持车辆的属性识别，支持违章检测和交通信息采集；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3、行为分析模式：快速移动，越线检测，区域入侵，进入/离开区域，徘徊检测，人员集聚；</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4、违停抓拍模式：支持对违法停车车辆进行抓拍取证；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采用开放架构，支持快速集成智能算法或应用APP，智能算法或APP可以独立升级；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26）支持水平手控速度不小于550°/S，垂直手控速度不小于240°/S；</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应具有300个预置位，存预置位和调预置位功能应该正常；可按照所设定的预置位完成巡航路径，预置位停留时间可设置，共可设32条巡航路径；可记录用户对球机的手动控制运行轨迹，并可重复复现，共可记录7条模式路径；</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28）外壳防护等级IP67，机械碰撞防护等级IK10；</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.3测速雷达</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单车道雷达；车辆抓拍位置设置范围1m~40m；测速范围0km/h~300km/h；</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1)采用24G毫米波雷达技术，测速精度高；</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2)支持短距离目标跟踪检测，抓拍位置精准；</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3)高防护、低干扰、低功耗、长寿命、稳定可靠；</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4)一体化设计，降低施工难度和成本；</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支持WIFI远程调试和升级， 1次装杆免维护；</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可同时识别单车道16个车辆目标， 进行车型分类；</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车辆目标捕获率100%， 多拍率＜1%；</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车辆位置定位精度0.1m；</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车辆抓拍位置设置范围1m~40m， 支持远程装订；</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 支持来向、去向， 双向3种抓拍方向模式；</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电子水尺</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）量程：</w:t>
      </w:r>
      <w:r>
        <w:rPr>
          <w:rFonts w:ascii="宋体" w:hAnsi="宋体" w:eastAsia="宋体" w:cs="宋体"/>
          <w:color w:val="auto"/>
          <w:sz w:val="21"/>
          <w:szCs w:val="21"/>
          <w:highlight w:val="none"/>
        </w:rPr>
        <w:t>2.5m</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）具备防雷保护；</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）精度：</w:t>
      </w:r>
      <w:r>
        <w:rPr>
          <w:rFonts w:ascii="宋体" w:hAnsi="宋体" w:eastAsia="宋体" w:cs="宋体"/>
          <w:color w:val="auto"/>
          <w:sz w:val="21"/>
          <w:szCs w:val="21"/>
          <w:highlight w:val="none"/>
        </w:rPr>
        <w:t xml:space="preserve"> 1cm</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）供电方式：</w:t>
      </w:r>
      <w:r>
        <w:rPr>
          <w:rFonts w:ascii="宋体" w:hAnsi="宋体" w:eastAsia="宋体" w:cs="宋体"/>
          <w:color w:val="auto"/>
          <w:sz w:val="21"/>
          <w:szCs w:val="21"/>
          <w:highlight w:val="none"/>
        </w:rPr>
        <w:t>DC 5V-18V</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）传输方式：</w:t>
      </w:r>
      <w:r>
        <w:rPr>
          <w:rFonts w:ascii="宋体" w:hAnsi="宋体" w:eastAsia="宋体" w:cs="宋体"/>
          <w:color w:val="auto"/>
          <w:sz w:val="21"/>
          <w:szCs w:val="21"/>
          <w:highlight w:val="none"/>
        </w:rPr>
        <w:t>RS485</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b w:val="0"/>
          <w:color w:val="auto"/>
          <w:sz w:val="21"/>
          <w:szCs w:val="21"/>
          <w:highlight w:val="none"/>
        </w:rPr>
        <w:t>6</w:t>
      </w:r>
      <w:r>
        <w:rPr>
          <w:rFonts w:hint="eastAsia" w:ascii="宋体" w:hAnsi="宋体" w:eastAsia="宋体" w:cs="宋体"/>
          <w:b w:val="0"/>
          <w:color w:val="auto"/>
          <w:sz w:val="21"/>
          <w:szCs w:val="21"/>
          <w:highlight w:val="none"/>
        </w:rPr>
        <w:t>）功耗：静态功耗</w:t>
      </w:r>
      <w:r>
        <w:rPr>
          <w:rFonts w:ascii="宋体" w:hAnsi="宋体" w:eastAsia="宋体" w:cs="宋体"/>
          <w:b w:val="0"/>
          <w:color w:val="auto"/>
          <w:sz w:val="21"/>
          <w:szCs w:val="21"/>
          <w:highlight w:val="none"/>
        </w:rPr>
        <w:t>&lt;2mA,</w:t>
      </w:r>
      <w:r>
        <w:rPr>
          <w:rFonts w:hint="eastAsia" w:ascii="宋体" w:hAnsi="宋体" w:eastAsia="宋体" w:cs="宋体"/>
          <w:b w:val="0"/>
          <w:color w:val="auto"/>
          <w:sz w:val="21"/>
          <w:szCs w:val="21"/>
          <w:highlight w:val="none"/>
        </w:rPr>
        <w:t>最大功耗小于</w:t>
      </w:r>
      <w:r>
        <w:rPr>
          <w:rFonts w:ascii="宋体" w:hAnsi="宋体" w:eastAsia="宋体" w:cs="宋体"/>
          <w:b w:val="0"/>
          <w:color w:val="auto"/>
          <w:sz w:val="21"/>
          <w:szCs w:val="21"/>
          <w:highlight w:val="none"/>
        </w:rPr>
        <w:t>30mA</w:t>
      </w:r>
      <w:r>
        <w:rPr>
          <w:rFonts w:hint="eastAsia" w:ascii="宋体" w:hAnsi="宋体" w:eastAsia="宋体" w:cs="宋体"/>
          <w:b w:val="0"/>
          <w:color w:val="auto"/>
          <w:sz w:val="21"/>
          <w:szCs w:val="21"/>
          <w:highlight w:val="none"/>
        </w:rPr>
        <w:t>；</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网桥</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）视频路数</w:t>
      </w:r>
      <w:r>
        <w:rPr>
          <w:rFonts w:ascii="宋体" w:hAnsi="宋体" w:eastAsia="宋体" w:cs="宋体"/>
          <w:color w:val="auto"/>
          <w:sz w:val="21"/>
          <w:szCs w:val="21"/>
          <w:highlight w:val="none"/>
        </w:rPr>
        <w:t xml:space="preserve"> 10</w:t>
      </w:r>
      <w:r>
        <w:rPr>
          <w:rFonts w:hint="eastAsia" w:ascii="宋体" w:hAnsi="宋体" w:eastAsia="宋体" w:cs="宋体"/>
          <w:color w:val="auto"/>
          <w:sz w:val="21"/>
          <w:szCs w:val="21"/>
          <w:highlight w:val="none"/>
        </w:rPr>
        <w:t>路</w:t>
      </w:r>
      <w:r>
        <w:rPr>
          <w:rFonts w:ascii="宋体" w:hAnsi="宋体" w:eastAsia="宋体" w:cs="宋体"/>
          <w:color w:val="auto"/>
          <w:sz w:val="21"/>
          <w:szCs w:val="21"/>
          <w:highlight w:val="none"/>
        </w:rPr>
        <w:t>400</w:t>
      </w:r>
      <w:r>
        <w:rPr>
          <w:rFonts w:hint="eastAsia" w:ascii="宋体" w:hAnsi="宋体" w:eastAsia="宋体" w:cs="宋体"/>
          <w:color w:val="auto"/>
          <w:sz w:val="21"/>
          <w:szCs w:val="21"/>
          <w:highlight w:val="none"/>
        </w:rPr>
        <w:t>万像素；</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）业务端口</w:t>
      </w:r>
      <w:r>
        <w:rPr>
          <w:rFonts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rPr>
        <w:t>个；</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）电源模块接口</w:t>
      </w:r>
      <w:r>
        <w:rPr>
          <w:rFonts w:ascii="宋体" w:hAnsi="宋体" w:eastAsia="宋体" w:cs="宋体"/>
          <w:color w:val="auto"/>
          <w:sz w:val="21"/>
          <w:szCs w:val="21"/>
          <w:highlight w:val="none"/>
        </w:rPr>
        <w:t xml:space="preserve"> 1*POE RJ45(IN</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220V</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OUT</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48V/0.5A)</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1*LAN RJ45(1000Mbps)</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）无线标准</w:t>
      </w:r>
      <w:r>
        <w:rPr>
          <w:rFonts w:ascii="宋体" w:hAnsi="宋体" w:eastAsia="宋体" w:cs="宋体"/>
          <w:color w:val="auto"/>
          <w:sz w:val="21"/>
          <w:szCs w:val="21"/>
          <w:highlight w:val="none"/>
        </w:rPr>
        <w:t xml:space="preserve"> IEEE802.11 a/n/ac</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5.8G</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5745~5825MHz</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）传输距离</w:t>
      </w:r>
      <w:r>
        <w:rPr>
          <w:rFonts w:ascii="宋体" w:hAnsi="宋体" w:eastAsia="宋体" w:cs="宋体"/>
          <w:color w:val="auto"/>
          <w:sz w:val="21"/>
          <w:szCs w:val="21"/>
          <w:highlight w:val="none"/>
        </w:rPr>
        <w:t>5Km</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）定向单频</w:t>
      </w:r>
      <w:r>
        <w:rPr>
          <w:rFonts w:ascii="宋体" w:hAnsi="宋体" w:eastAsia="宋体" w:cs="宋体"/>
          <w:color w:val="auto"/>
          <w:sz w:val="21"/>
          <w:szCs w:val="21"/>
          <w:highlight w:val="none"/>
        </w:rPr>
        <w:t>18dBi</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）空口速率</w:t>
      </w:r>
      <w:r>
        <w:rPr>
          <w:rFonts w:ascii="宋体" w:hAnsi="宋体" w:eastAsia="宋体" w:cs="宋体"/>
          <w:color w:val="auto"/>
          <w:sz w:val="21"/>
          <w:szCs w:val="21"/>
          <w:highlight w:val="none"/>
        </w:rPr>
        <w:t>867Mbps</w:t>
      </w:r>
      <w:r>
        <w:rPr>
          <w:rFonts w:hint="eastAsia" w:ascii="宋体" w:hAnsi="宋体" w:eastAsia="宋体" w:cs="宋体"/>
          <w:color w:val="auto"/>
          <w:sz w:val="21"/>
          <w:szCs w:val="21"/>
          <w:highlight w:val="none"/>
        </w:rPr>
        <w:t>；</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1）交换容量：≥120Gbps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2）包转发率：≥19Mpps ；</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3）固定端口：千兆光口≥2个，千兆电口≥6个，千兆combo口≥2个；</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4）IP应用：支持ARP、DHCP、DNS、IPv6 ND、NQA；</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5）安全：支持访问控制列表(ACL)；</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支持802.1X认证、MAC地址认证、AAA、RADIUS认证，HWTACACS认证；</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支持ARP安全、ICMP防攻击、URPF、CPCAR、黑名单、攻击溯源、PKI；</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6）IP路由：支持静态路由、RIP、BGP、RIPng、BGP4+；</w:t>
      </w:r>
    </w:p>
    <w:p>
      <w:pPr>
        <w:pStyle w:val="7"/>
        <w:spacing w:after="0"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7）工作温度：工作温度–40℃~65℃；</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多目标雷达</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）多目标雷达</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）工作频率：</w:t>
      </w:r>
      <w:r>
        <w:rPr>
          <w:rFonts w:ascii="宋体" w:hAnsi="宋体" w:eastAsia="宋体" w:cs="宋体"/>
          <w:color w:val="auto"/>
          <w:sz w:val="21"/>
          <w:szCs w:val="21"/>
          <w:highlight w:val="none"/>
        </w:rPr>
        <w:t>81.00GHz~81.25GHz</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）调制方式：</w:t>
      </w:r>
      <w:r>
        <w:rPr>
          <w:rFonts w:ascii="宋体" w:hAnsi="宋体" w:eastAsia="宋体" w:cs="宋体"/>
          <w:color w:val="auto"/>
          <w:sz w:val="21"/>
          <w:szCs w:val="21"/>
          <w:highlight w:val="none"/>
        </w:rPr>
        <w:t>PD</w:t>
      </w:r>
      <w:r>
        <w:rPr>
          <w:rFonts w:hint="eastAsia" w:ascii="宋体" w:hAnsi="宋体" w:eastAsia="宋体" w:cs="宋体"/>
          <w:color w:val="auto"/>
          <w:sz w:val="21"/>
          <w:szCs w:val="21"/>
          <w:highlight w:val="none"/>
        </w:rPr>
        <w:t>脉冲编码调制</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）工作模式：正装</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）车速检测范围：</w:t>
      </w:r>
      <w:r>
        <w:rPr>
          <w:rFonts w:ascii="宋体" w:hAnsi="宋体" w:eastAsia="宋体" w:cs="宋体"/>
          <w:color w:val="auto"/>
          <w:sz w:val="21"/>
          <w:szCs w:val="21"/>
          <w:highlight w:val="none"/>
        </w:rPr>
        <w:t>0 km/h ~180km/h</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）车速检测误差：≤</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）流量检测精度：＞</w:t>
      </w:r>
      <w:r>
        <w:rPr>
          <w:rFonts w:ascii="宋体" w:hAnsi="宋体" w:eastAsia="宋体" w:cs="宋体"/>
          <w:color w:val="auto"/>
          <w:sz w:val="21"/>
          <w:szCs w:val="21"/>
          <w:highlight w:val="none"/>
        </w:rPr>
        <w:t>95%</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）最大作用距离：</w:t>
      </w:r>
      <w:r>
        <w:rPr>
          <w:rFonts w:ascii="宋体" w:hAnsi="宋体" w:eastAsia="宋体" w:cs="宋体"/>
          <w:color w:val="auto"/>
          <w:sz w:val="21"/>
          <w:szCs w:val="21"/>
          <w:highlight w:val="none"/>
        </w:rPr>
        <w:t>250m</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rPr>
        <w:t>）同时跟踪目标数：≤</w:t>
      </w:r>
      <w:r>
        <w:rPr>
          <w:rFonts w:ascii="宋体" w:hAnsi="宋体" w:eastAsia="宋体" w:cs="宋体"/>
          <w:color w:val="auto"/>
          <w:sz w:val="21"/>
          <w:szCs w:val="21"/>
          <w:highlight w:val="none"/>
        </w:rPr>
        <w:t>128</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）同时监控车道数：≤</w:t>
      </w:r>
      <w:r>
        <w:rPr>
          <w:rFonts w:ascii="宋体" w:hAnsi="宋体" w:eastAsia="宋体" w:cs="宋体"/>
          <w:color w:val="auto"/>
          <w:sz w:val="21"/>
          <w:szCs w:val="21"/>
          <w:highlight w:val="none"/>
        </w:rPr>
        <w:t>8</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w:t>
      </w:r>
      <w:r>
        <w:rPr>
          <w:rFonts w:hint="eastAsia" w:ascii="宋体" w:hAnsi="宋体" w:eastAsia="宋体" w:cs="宋体"/>
          <w:color w:val="auto"/>
          <w:sz w:val="21"/>
          <w:szCs w:val="21"/>
          <w:highlight w:val="none"/>
        </w:rPr>
        <w:t>）数据处理周期：</w:t>
      </w:r>
      <w:r>
        <w:rPr>
          <w:rFonts w:ascii="宋体" w:hAnsi="宋体" w:eastAsia="宋体" w:cs="宋体"/>
          <w:color w:val="auto"/>
          <w:sz w:val="21"/>
          <w:szCs w:val="21"/>
          <w:highlight w:val="none"/>
        </w:rPr>
        <w:t>0-3600</w:t>
      </w:r>
      <w:r>
        <w:rPr>
          <w:rFonts w:hint="eastAsia" w:ascii="宋体" w:hAnsi="宋体" w:eastAsia="宋体" w:cs="宋体"/>
          <w:color w:val="auto"/>
          <w:sz w:val="21"/>
          <w:szCs w:val="21"/>
          <w:highlight w:val="none"/>
        </w:rPr>
        <w:t>秒可调</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w:t>
      </w:r>
      <w:r>
        <w:rPr>
          <w:rFonts w:hint="eastAsia" w:ascii="宋体" w:hAnsi="宋体" w:eastAsia="宋体" w:cs="宋体"/>
          <w:color w:val="auto"/>
          <w:sz w:val="21"/>
          <w:szCs w:val="21"/>
          <w:highlight w:val="none"/>
        </w:rPr>
        <w:t>）整机消耗功率：</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11W</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13</w:t>
      </w:r>
      <w:r>
        <w:rPr>
          <w:rFonts w:hint="eastAsia" w:ascii="宋体" w:hAnsi="宋体" w:eastAsia="宋体" w:cs="宋体"/>
          <w:color w:val="auto"/>
          <w:sz w:val="21"/>
          <w:szCs w:val="21"/>
          <w:highlight w:val="none"/>
        </w:rPr>
        <w:t>）接口：</w:t>
      </w:r>
      <w:r>
        <w:rPr>
          <w:rFonts w:ascii="宋体" w:hAnsi="宋体" w:eastAsia="宋体" w:cs="宋体"/>
          <w:color w:val="auto"/>
          <w:sz w:val="21"/>
          <w:szCs w:val="21"/>
          <w:highlight w:val="none"/>
        </w:rPr>
        <w:t>RS232</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RS485</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14</w:t>
      </w:r>
      <w:r>
        <w:rPr>
          <w:rFonts w:hint="eastAsia" w:ascii="宋体" w:hAnsi="宋体" w:eastAsia="宋体" w:cs="宋体"/>
          <w:color w:val="auto"/>
          <w:sz w:val="21"/>
          <w:szCs w:val="21"/>
          <w:highlight w:val="none"/>
        </w:rPr>
        <w:t>）工作温度范围：</w:t>
      </w:r>
      <w:r>
        <w:rPr>
          <w:rFonts w:ascii="宋体" w:hAnsi="宋体" w:eastAsia="宋体" w:cs="宋体"/>
          <w:color w:val="auto"/>
          <w:sz w:val="21"/>
          <w:szCs w:val="21"/>
          <w:highlight w:val="none"/>
        </w:rPr>
        <w:t>-40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~+85</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15</w:t>
      </w:r>
      <w:r>
        <w:rPr>
          <w:rFonts w:hint="eastAsia" w:ascii="宋体" w:hAnsi="宋体" w:eastAsia="宋体" w:cs="宋体"/>
          <w:color w:val="auto"/>
          <w:sz w:val="21"/>
          <w:szCs w:val="21"/>
          <w:highlight w:val="none"/>
        </w:rPr>
        <w:t>）工作湿度范围：</w:t>
      </w:r>
      <w:r>
        <w:rPr>
          <w:rFonts w:ascii="宋体" w:hAnsi="宋体" w:eastAsia="宋体" w:cs="宋体"/>
          <w:color w:val="auto"/>
          <w:sz w:val="21"/>
          <w:szCs w:val="21"/>
          <w:highlight w:val="none"/>
        </w:rPr>
        <w:t>5%RH ~95%RH</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16</w:t>
      </w:r>
      <w:r>
        <w:rPr>
          <w:rFonts w:hint="eastAsia" w:ascii="宋体" w:hAnsi="宋体" w:eastAsia="宋体" w:cs="宋体"/>
          <w:color w:val="auto"/>
          <w:sz w:val="21"/>
          <w:szCs w:val="21"/>
          <w:highlight w:val="none"/>
        </w:rPr>
        <w:t>）外壳防护等级：</w:t>
      </w:r>
      <w:r>
        <w:rPr>
          <w:rFonts w:ascii="宋体" w:hAnsi="宋体" w:eastAsia="宋体" w:cs="宋体"/>
          <w:color w:val="auto"/>
          <w:sz w:val="21"/>
          <w:szCs w:val="21"/>
          <w:highlight w:val="none"/>
        </w:rPr>
        <w:t>IP65</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17</w:t>
      </w:r>
      <w:r>
        <w:rPr>
          <w:rFonts w:hint="eastAsia" w:ascii="宋体" w:hAnsi="宋体" w:eastAsia="宋体" w:cs="宋体"/>
          <w:color w:val="auto"/>
          <w:sz w:val="21"/>
          <w:szCs w:val="21"/>
          <w:highlight w:val="none"/>
        </w:rPr>
        <w:t>）尺寸：</w:t>
      </w:r>
      <w:r>
        <w:rPr>
          <w:rFonts w:ascii="宋体" w:hAnsi="宋体" w:eastAsia="宋体" w:cs="宋体"/>
          <w:color w:val="auto"/>
          <w:sz w:val="21"/>
          <w:szCs w:val="21"/>
          <w:highlight w:val="none"/>
        </w:rPr>
        <w:t>135mm</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99mm</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42mm</w:t>
      </w:r>
      <w:r>
        <w:rPr>
          <w:rFonts w:hint="eastAsia" w:ascii="宋体" w:hAnsi="宋体" w:eastAsia="宋体" w:cs="宋体"/>
          <w:color w:val="auto"/>
          <w:sz w:val="21"/>
          <w:szCs w:val="21"/>
          <w:highlight w:val="none"/>
        </w:rPr>
        <w:t>（不含支架）</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18</w:t>
      </w:r>
      <w:r>
        <w:rPr>
          <w:rFonts w:hint="eastAsia" w:ascii="宋体" w:hAnsi="宋体" w:eastAsia="宋体" w:cs="宋体"/>
          <w:color w:val="auto"/>
          <w:sz w:val="21"/>
          <w:szCs w:val="21"/>
          <w:highlight w:val="none"/>
        </w:rPr>
        <w:t>）电磁兼容性：符合</w:t>
      </w:r>
      <w:r>
        <w:rPr>
          <w:rFonts w:ascii="宋体" w:hAnsi="宋体" w:eastAsia="宋体" w:cs="宋体"/>
          <w:color w:val="auto"/>
          <w:sz w:val="21"/>
          <w:szCs w:val="21"/>
          <w:highlight w:val="none"/>
        </w:rPr>
        <w:t>GB/T 17618-1998</w:t>
      </w:r>
      <w:r>
        <w:rPr>
          <w:rFonts w:hint="eastAsia" w:ascii="宋体" w:hAnsi="宋体" w:eastAsia="宋体" w:cs="宋体"/>
          <w:color w:val="auto"/>
          <w:sz w:val="21"/>
          <w:szCs w:val="21"/>
          <w:highlight w:val="none"/>
        </w:rPr>
        <w:t>《信息技术设备抗扰度限值和测量方法》要求</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MTBF</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年</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b w:val="0"/>
          <w:color w:val="auto"/>
          <w:sz w:val="21"/>
          <w:szCs w:val="21"/>
          <w:highlight w:val="none"/>
        </w:rPr>
        <w:t>20</w:t>
      </w:r>
      <w:r>
        <w:rPr>
          <w:rFonts w:hint="eastAsia" w:ascii="宋体" w:hAnsi="宋体" w:eastAsia="宋体" w:cs="宋体"/>
          <w:b w:val="0"/>
          <w:color w:val="auto"/>
          <w:sz w:val="21"/>
          <w:szCs w:val="21"/>
          <w:highlight w:val="none"/>
        </w:rPr>
        <w:t>）</w:t>
      </w:r>
      <w:r>
        <w:rPr>
          <w:rFonts w:ascii="宋体" w:hAnsi="宋体" w:eastAsia="宋体" w:cs="宋体"/>
          <w:b w:val="0"/>
          <w:color w:val="auto"/>
          <w:sz w:val="21"/>
          <w:szCs w:val="21"/>
          <w:highlight w:val="none"/>
        </w:rPr>
        <w:t>TTR</w:t>
      </w:r>
      <w:r>
        <w:rPr>
          <w:rFonts w:hint="eastAsia" w:ascii="宋体" w:hAnsi="宋体" w:eastAsia="宋体" w:cs="宋体"/>
          <w:b w:val="0"/>
          <w:color w:val="auto"/>
          <w:sz w:val="21"/>
          <w:szCs w:val="21"/>
          <w:highlight w:val="none"/>
        </w:rPr>
        <w:t>：</w:t>
      </w:r>
      <w:r>
        <w:rPr>
          <w:rFonts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w:t>
      </w:r>
      <w:r>
        <w:rPr>
          <w:rFonts w:ascii="宋体" w:hAnsi="宋体" w:eastAsia="宋体" w:cs="宋体"/>
          <w:b w:val="0"/>
          <w:color w:val="auto"/>
          <w:sz w:val="21"/>
          <w:szCs w:val="21"/>
          <w:highlight w:val="none"/>
        </w:rPr>
        <w:t>30min</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w:t>
      </w:r>
    </w:p>
    <w:p>
      <w:pPr>
        <w:pStyle w:val="8"/>
        <w:numPr>
          <w:ilvl w:val="0"/>
          <w:numId w:val="0"/>
        </w:numPr>
        <w:spacing w:after="0" w:line="360" w:lineRule="auto"/>
        <w:ind w:left="198" w:leftChars="0"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3.19.1</w:t>
      </w:r>
      <w:r>
        <w:rPr>
          <w:rFonts w:hint="eastAsia" w:ascii="宋体" w:hAnsi="宋体" w:eastAsia="宋体" w:cs="宋体"/>
          <w:b/>
          <w:bCs/>
          <w:color w:val="auto"/>
          <w:sz w:val="21"/>
          <w:szCs w:val="21"/>
          <w:highlight w:val="none"/>
        </w:rPr>
        <w:t>自主发光标志</w:t>
      </w:r>
    </w:p>
    <w:p>
      <w:pPr>
        <w:pStyle w:val="63"/>
        <w:numPr>
          <w:ilvl w:val="0"/>
          <w:numId w:val="20"/>
        </w:numPr>
        <w:spacing w:after="0" w:line="360" w:lineRule="auto"/>
        <w:ind w:left="0" w:firstLine="420"/>
        <w:rPr>
          <w:rFonts w:ascii="宋体" w:hAnsi="宋体" w:eastAsia="宋体" w:cs="宋体"/>
          <w:color w:val="auto"/>
          <w:sz w:val="21"/>
          <w:szCs w:val="21"/>
          <w:highlight w:val="none"/>
        </w:rPr>
      </w:pPr>
      <w:bookmarkStart w:id="8" w:name="_Hlk22198949"/>
      <w:r>
        <w:rPr>
          <w:rFonts w:hint="eastAsia" w:ascii="宋体" w:hAnsi="宋体" w:eastAsia="宋体" w:cs="宋体"/>
          <w:color w:val="auto"/>
          <w:sz w:val="21"/>
          <w:szCs w:val="21"/>
          <w:highlight w:val="none"/>
        </w:rPr>
        <w:t>主要技术参数要求：</w:t>
      </w:r>
    </w:p>
    <w:p>
      <w:pPr>
        <w:pStyle w:val="63"/>
        <w:numPr>
          <w:ilvl w:val="0"/>
          <w:numId w:val="21"/>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▲面板显示主动发光交通标志所检项目符合T/CISA001-2018《面板显示主动发光交通标志》技术要求，</w:t>
      </w:r>
      <w:bookmarkStart w:id="9" w:name="_Hlk22196734"/>
      <w:r>
        <w:rPr>
          <w:rFonts w:hint="eastAsia" w:ascii="宋体" w:hAnsi="宋体" w:eastAsia="宋体" w:cs="宋体"/>
          <w:color w:val="auto"/>
          <w:sz w:val="21"/>
          <w:szCs w:val="21"/>
          <w:highlight w:val="none"/>
        </w:rPr>
        <w:t>需提供第三方检测检验机构出具的型式检测合格报告复印件并加盖投标人公章。</w:t>
      </w:r>
      <w:bookmarkEnd w:id="9"/>
    </w:p>
    <w:p>
      <w:pPr>
        <w:pStyle w:val="63"/>
        <w:numPr>
          <w:ilvl w:val="0"/>
          <w:numId w:val="21"/>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时空同步标志与可变车道标志执行行业标准GA/T484-2018《LED道路交通诱导可变信息标志》，提供第三方检测检验机构出具的型式检测合格报告复印件并加盖投标人公章。</w:t>
      </w:r>
    </w:p>
    <w:p>
      <w:pPr>
        <w:pStyle w:val="63"/>
        <w:numPr>
          <w:ilvl w:val="0"/>
          <w:numId w:val="21"/>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点阵显示型执行国家标准《LED 主动发光道路交通标志》（GB/T31446-2015）技术要求。</w:t>
      </w:r>
    </w:p>
    <w:p>
      <w:pPr>
        <w:pStyle w:val="63"/>
        <w:numPr>
          <w:ilvl w:val="0"/>
          <w:numId w:val="21"/>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▲具有交通产品认证中心出具的CCPC认证证书复印件并加盖投标人公章。</w:t>
      </w:r>
    </w:p>
    <w:p>
      <w:pPr>
        <w:pStyle w:val="63"/>
        <w:numPr>
          <w:ilvl w:val="0"/>
          <w:numId w:val="21"/>
        </w:numPr>
        <w:spacing w:after="0" w:line="360" w:lineRule="auto"/>
        <w:ind w:left="0" w:firstLine="420"/>
        <w:rPr>
          <w:rFonts w:ascii="宋体" w:hAnsi="宋体" w:eastAsia="宋体" w:cs="宋体"/>
          <w:color w:val="auto"/>
          <w:sz w:val="21"/>
          <w:szCs w:val="21"/>
          <w:highlight w:val="none"/>
        </w:rPr>
      </w:pPr>
      <w:bookmarkStart w:id="10" w:name="_Hlk22200199"/>
      <w:r>
        <w:rPr>
          <w:rFonts w:hint="eastAsia" w:ascii="宋体" w:hAnsi="宋体" w:eastAsia="宋体" w:cs="宋体"/>
          <w:color w:val="auto"/>
          <w:sz w:val="21"/>
          <w:szCs w:val="21"/>
          <w:highlight w:val="none"/>
        </w:rPr>
        <w:t>运行管理系统软件、调光程序软件</w:t>
      </w:r>
      <w:bookmarkEnd w:id="10"/>
      <w:r>
        <w:rPr>
          <w:rFonts w:hint="eastAsia" w:ascii="宋体" w:hAnsi="宋体" w:eastAsia="宋体" w:cs="宋体"/>
          <w:color w:val="auto"/>
          <w:sz w:val="21"/>
          <w:szCs w:val="21"/>
          <w:highlight w:val="none"/>
        </w:rPr>
        <w:t>，均应取得省级软件产品检测中心的合格检测报告复印件并加盖投标人公章。</w:t>
      </w:r>
    </w:p>
    <w:p>
      <w:pPr>
        <w:pStyle w:val="63"/>
        <w:numPr>
          <w:ilvl w:val="0"/>
          <w:numId w:val="21"/>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时空同步标志与可变车道标志的接入动态交通流量数据，应取得高德、百度、腾讯等互联网企业的授权协议。</w:t>
      </w:r>
      <w:bookmarkEnd w:id="8"/>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标志版面及其设置形式应符合行业标准GA/T1548-2019《城市道路主动发光交通标志设置指南》相关要求。环境温度适用等级：B级-40℃～+50℃（根据地理区域选配：A级-20℃～+55℃；C级，-55℃～+45℃）。</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发光标志四周封装采用铝合金型材，四个转角采用模具铝合金弯头组合，标志整体厚度</w:t>
      </w:r>
      <w:bookmarkStart w:id="11" w:name="_Hlk496765604"/>
      <w:r>
        <w:rPr>
          <w:rFonts w:hint="eastAsia" w:ascii="宋体" w:hAnsi="宋体" w:eastAsia="宋体" w:cs="宋体"/>
          <w:color w:val="auto"/>
          <w:sz w:val="21"/>
          <w:szCs w:val="21"/>
          <w:highlight w:val="none"/>
        </w:rPr>
        <w:t>≤</w:t>
      </w:r>
      <w:bookmarkEnd w:id="11"/>
      <w:r>
        <w:rPr>
          <w:rFonts w:hint="eastAsia" w:ascii="宋体" w:hAnsi="宋体" w:eastAsia="宋体" w:cs="宋体"/>
          <w:color w:val="auto"/>
          <w:sz w:val="21"/>
          <w:szCs w:val="21"/>
          <w:highlight w:val="none"/>
        </w:rPr>
        <w:t>60mm（不含支撑件）。</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半透式标志版面的边框应采用机械镂空加强筋底板且发光显示良好，文字图形信息部分的底板采用镂空镶嵌透明合金板工艺、且发光显示均匀无任何阴影，文字图形显示的边界轮廓清晰。（2）全透式标志底板为透明合金板，反光膜采用电刻加工、或者透明油墨（反光膜专用型）丝网印刷，面板发光显示均匀无任何阴影，文字图形显示的边界轮廓清晰。</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透明合金板技术参数：拉伸屈服强度≥60MPa，邵式硬度≥80D，透光度≥90%，热变形温度（1.8MPa）</w:t>
      </w:r>
      <w:bookmarkStart w:id="12" w:name="_Hlk509389232"/>
      <w:r>
        <w:rPr>
          <w:rFonts w:hint="eastAsia" w:ascii="宋体" w:hAnsi="宋体" w:eastAsia="宋体" w:cs="宋体"/>
          <w:color w:val="auto"/>
          <w:sz w:val="21"/>
          <w:szCs w:val="21"/>
          <w:highlight w:val="none"/>
        </w:rPr>
        <w:t>≥</w:t>
      </w:r>
      <w:bookmarkEnd w:id="12"/>
      <w:r>
        <w:rPr>
          <w:rFonts w:hint="eastAsia" w:ascii="宋体" w:hAnsi="宋体" w:eastAsia="宋体" w:cs="宋体"/>
          <w:color w:val="auto"/>
          <w:sz w:val="21"/>
          <w:szCs w:val="21"/>
          <w:highlight w:val="none"/>
        </w:rPr>
        <w:t>135℃,线膨胀系数（-30℃～+30℃）≤3.5*10。</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在不破坏标志板表面逆反射材料的情况下，采用SKY-LED混光型光源板（光源板发光均匀度内光照度差值≤120</w:t>
      </w:r>
      <w:bookmarkStart w:id="13" w:name="_Hlk509389242"/>
      <w:r>
        <w:rPr>
          <w:rFonts w:hint="eastAsia" w:ascii="宋体" w:hAnsi="宋体" w:eastAsia="宋体" w:cs="宋体"/>
          <w:color w:val="auto"/>
          <w:sz w:val="21"/>
          <w:szCs w:val="21"/>
          <w:highlight w:val="none"/>
        </w:rPr>
        <w:t>LX/m2）</w:t>
      </w:r>
      <w:bookmarkEnd w:id="13"/>
      <w:r>
        <w:rPr>
          <w:rFonts w:hint="eastAsia" w:ascii="宋体" w:hAnsi="宋体" w:eastAsia="宋体" w:cs="宋体"/>
          <w:color w:val="auto"/>
          <w:sz w:val="21"/>
          <w:szCs w:val="21"/>
          <w:highlight w:val="none"/>
        </w:rPr>
        <w:t>布设于标志箱体，光源向标志逆反射材料背面定向投射，显示高清晰信息内容。</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标志表面文字图形采用高透光型微棱镜反光膜，白色透光率</w:t>
      </w:r>
      <w:bookmarkStart w:id="14" w:name="_Hlk488341276"/>
      <w:r>
        <w:rPr>
          <w:rFonts w:hint="eastAsia" w:ascii="宋体" w:hAnsi="宋体" w:eastAsia="宋体" w:cs="宋体"/>
          <w:color w:val="auto"/>
          <w:sz w:val="21"/>
          <w:szCs w:val="21"/>
          <w:highlight w:val="none"/>
        </w:rPr>
        <w:t>≥</w:t>
      </w:r>
      <w:bookmarkEnd w:id="14"/>
      <w:r>
        <w:rPr>
          <w:rFonts w:hint="eastAsia" w:ascii="宋体" w:hAnsi="宋体" w:eastAsia="宋体" w:cs="宋体"/>
          <w:color w:val="auto"/>
          <w:sz w:val="21"/>
          <w:szCs w:val="21"/>
          <w:highlight w:val="none"/>
        </w:rPr>
        <w:t>25%，透光均匀性1.2:1～1.3:1，24V电压时的标志表面白色反光膜表面照度≥4500LX/m2。</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标志信息透光显示的亮度指标：</w:t>
      </w:r>
      <w:bookmarkStart w:id="15" w:name="_Hlk488342654"/>
      <w:bookmarkStart w:id="16" w:name="_Hlk488347508"/>
      <w:r>
        <w:rPr>
          <w:rFonts w:hint="eastAsia" w:ascii="宋体" w:hAnsi="宋体" w:eastAsia="宋体" w:cs="宋体"/>
          <w:color w:val="auto"/>
          <w:sz w:val="21"/>
          <w:szCs w:val="21"/>
          <w:highlight w:val="none"/>
        </w:rPr>
        <w:t>白色≥300cd/m2，</w:t>
      </w:r>
      <w:bookmarkEnd w:id="15"/>
      <w:r>
        <w:rPr>
          <w:rFonts w:hint="eastAsia" w:ascii="宋体" w:hAnsi="宋体" w:eastAsia="宋体" w:cs="宋体"/>
          <w:color w:val="auto"/>
          <w:sz w:val="21"/>
          <w:szCs w:val="21"/>
          <w:highlight w:val="none"/>
        </w:rPr>
        <w:t>黄色≥150cd/m2，</w:t>
      </w:r>
      <w:bookmarkEnd w:id="16"/>
      <w:r>
        <w:rPr>
          <w:rFonts w:hint="eastAsia" w:ascii="宋体" w:hAnsi="宋体" w:eastAsia="宋体" w:cs="宋体"/>
          <w:color w:val="auto"/>
          <w:sz w:val="21"/>
          <w:szCs w:val="21"/>
          <w:highlight w:val="none"/>
        </w:rPr>
        <w:t>红色≥45cd/m2，绿色≥45cd/m2，蓝色≥30cd/m2，棕色≥22cd/m2。</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标志蓝色与白色（绿色与白色）部分平均亮度对比度介于18:1～5:1之间。</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标准混光型光源板要求：1.2*400*800mm树脂材质线路板，贴片式LED间距28*28mm布珠。在标志版面面积范围内满铺标准光源板，余量空间可采用小规格光源板拼接。</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贴片式LED规格为3.5*2.8mm，极限指标值：功耗200Mw，正向电流20mA，正向峰值电流60mA，反向电压5V，光通量8.0～9.0lm，发光指向角120Deg。</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光控程序：自动感光控制采用太阳能电路压降分析式控制模块，其控制程序采用“太阳能发光程序系统V1.0”，控制单元能根据标志周围面光照强度，自动开启/关闭标志发光单元。光控程度所需太阳能板置于控制箱侧面。</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调光程序：标志发光单元能根据昼夜光线强度自动调节发光亮度，保持相对均衡的发光对比度，其控制程序采用“太阳能发光标志调光程序V1.0及以上”。</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正常夜间有效动态视认距离≥210米，静态视认距离≥250米。</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（1）采用电网供电时，</w:t>
      </w:r>
      <w:bookmarkStart w:id="17" w:name="_Hlk488341592"/>
      <w:r>
        <w:rPr>
          <w:rFonts w:hint="eastAsia" w:ascii="宋体" w:hAnsi="宋体" w:eastAsia="宋体" w:cs="宋体"/>
          <w:color w:val="auto"/>
          <w:sz w:val="21"/>
          <w:szCs w:val="21"/>
          <w:highlight w:val="none"/>
        </w:rPr>
        <w:t>输入电压220V，输出电压24V</w:t>
      </w:r>
      <w:bookmarkEnd w:id="17"/>
      <w:r>
        <w:rPr>
          <w:rFonts w:hint="eastAsia" w:ascii="宋体" w:hAnsi="宋体" w:eastAsia="宋体" w:cs="宋体"/>
          <w:color w:val="auto"/>
          <w:sz w:val="21"/>
          <w:szCs w:val="21"/>
          <w:highlight w:val="none"/>
        </w:rPr>
        <w:t>。</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用太阳能供电时，输入电压24V，输出电压24V，每平方米标志不低于配置太阳板60W、蓄电池55AH，同时必须同时保证连续阴雨7天情况下夜间正常工作。北方寒冷地区，应设计设置窨井，蓄电池放置于冻土层以下部分。</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标志应具备防雷、防触漏电保护装置，接线电缆无裸露，制造商标识清晰。</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标志整体重量≤22KG /㎡，设计使用寿命7～10年，免费维护期2年。</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配置智能物联网终端模块，能够接入道路交通安全设施运行管理系统软件V1.0版。</w:t>
      </w:r>
    </w:p>
    <w:p>
      <w:pPr>
        <w:pStyle w:val="63"/>
        <w:numPr>
          <w:ilvl w:val="0"/>
          <w:numId w:val="20"/>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根据环境需求选择性配置天气能见度检测仪，满足白天雨、雾等能见度较低时主动发光工作。</w:t>
      </w:r>
    </w:p>
    <w:p>
      <w:pPr>
        <w:pStyle w:val="8"/>
        <w:numPr>
          <w:ilvl w:val="0"/>
          <w:numId w:val="0"/>
        </w:numPr>
        <w:spacing w:after="0" w:line="360" w:lineRule="auto"/>
        <w:ind w:left="198" w:leftChars="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3.19.2</w:t>
      </w:r>
      <w:r>
        <w:rPr>
          <w:rFonts w:hint="eastAsia" w:ascii="宋体" w:hAnsi="宋体" w:eastAsia="宋体" w:cs="宋体"/>
          <w:b/>
          <w:bCs/>
          <w:color w:val="auto"/>
          <w:sz w:val="21"/>
          <w:szCs w:val="21"/>
          <w:highlight w:val="none"/>
        </w:rPr>
        <w:t>普通反光标志</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）标志版面颜色以国标</w:t>
      </w:r>
      <w:r>
        <w:rPr>
          <w:rFonts w:ascii="宋体" w:hAnsi="宋体" w:eastAsia="宋体" w:cs="宋体"/>
          <w:color w:val="auto"/>
          <w:sz w:val="21"/>
          <w:szCs w:val="21"/>
          <w:highlight w:val="none"/>
        </w:rPr>
        <w:t>(GB 5768-2009</w:t>
      </w:r>
      <w:r>
        <w:rPr>
          <w:rFonts w:hint="eastAsia" w:ascii="宋体" w:hAnsi="宋体" w:eastAsia="宋体" w:cs="宋体"/>
          <w:color w:val="auto"/>
          <w:sz w:val="21"/>
          <w:szCs w:val="21"/>
          <w:highlight w:val="none"/>
        </w:rPr>
        <w:t>和</w:t>
      </w:r>
      <w:r>
        <w:rPr>
          <w:rFonts w:ascii="宋体" w:hAnsi="宋体" w:eastAsia="宋体" w:cs="宋体"/>
          <w:color w:val="auto"/>
          <w:sz w:val="21"/>
          <w:szCs w:val="21"/>
          <w:highlight w:val="none"/>
        </w:rPr>
        <w:t>GB T18833-2012)</w:t>
      </w:r>
      <w:r>
        <w:rPr>
          <w:rFonts w:hint="eastAsia" w:ascii="宋体" w:hAnsi="宋体" w:eastAsia="宋体" w:cs="宋体"/>
          <w:color w:val="auto"/>
          <w:sz w:val="21"/>
          <w:szCs w:val="21"/>
          <w:highlight w:val="none"/>
        </w:rPr>
        <w:t>为准。文字指路标志中</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当设计速度≥</w:t>
      </w:r>
      <w:r>
        <w:rPr>
          <w:rFonts w:ascii="宋体" w:hAnsi="宋体" w:eastAsia="宋体" w:cs="宋体"/>
          <w:color w:val="auto"/>
          <w:sz w:val="21"/>
          <w:szCs w:val="21"/>
          <w:highlight w:val="none"/>
        </w:rPr>
        <w:t>40km/h</w:t>
      </w:r>
      <w:r>
        <w:rPr>
          <w:rFonts w:hint="eastAsia" w:ascii="宋体" w:hAnsi="宋体" w:eastAsia="宋体" w:cs="宋体"/>
          <w:color w:val="auto"/>
          <w:sz w:val="21"/>
          <w:szCs w:val="21"/>
          <w:highlight w:val="none"/>
        </w:rPr>
        <w:t>时，汉字高度为</w:t>
      </w:r>
      <w:r>
        <w:rPr>
          <w:rFonts w:ascii="宋体" w:hAnsi="宋体" w:eastAsia="宋体" w:cs="宋体"/>
          <w:color w:val="auto"/>
          <w:sz w:val="21"/>
          <w:szCs w:val="21"/>
          <w:highlight w:val="none"/>
        </w:rPr>
        <w:t>45cm</w:t>
      </w:r>
      <w:r>
        <w:rPr>
          <w:rFonts w:hint="eastAsia" w:ascii="宋体" w:hAnsi="宋体" w:eastAsia="宋体" w:cs="宋体"/>
          <w:color w:val="auto"/>
          <w:sz w:val="21"/>
          <w:szCs w:val="21"/>
          <w:highlight w:val="none"/>
        </w:rPr>
        <w:t>，当设计速度＜</w:t>
      </w:r>
      <w:r>
        <w:rPr>
          <w:rFonts w:ascii="宋体" w:hAnsi="宋体" w:eastAsia="宋体" w:cs="宋体"/>
          <w:color w:val="auto"/>
          <w:sz w:val="21"/>
          <w:szCs w:val="21"/>
          <w:highlight w:val="none"/>
        </w:rPr>
        <w:t>40km/h</w:t>
      </w:r>
      <w:r>
        <w:rPr>
          <w:rFonts w:hint="eastAsia" w:ascii="宋体" w:hAnsi="宋体" w:eastAsia="宋体" w:cs="宋体"/>
          <w:color w:val="auto"/>
          <w:sz w:val="21"/>
          <w:szCs w:val="21"/>
          <w:highlight w:val="none"/>
        </w:rPr>
        <w:t>时，汉字高度为</w:t>
      </w:r>
      <w:r>
        <w:rPr>
          <w:rFonts w:ascii="宋体" w:hAnsi="宋体" w:eastAsia="宋体" w:cs="宋体"/>
          <w:color w:val="auto"/>
          <w:sz w:val="21"/>
          <w:szCs w:val="21"/>
          <w:highlight w:val="none"/>
        </w:rPr>
        <w:t>30cm</w:t>
      </w:r>
      <w:r>
        <w:rPr>
          <w:rFonts w:hint="eastAsia" w:ascii="宋体" w:hAnsi="宋体" w:eastAsia="宋体" w:cs="宋体"/>
          <w:color w:val="auto"/>
          <w:sz w:val="21"/>
          <w:szCs w:val="21"/>
          <w:highlight w:val="none"/>
        </w:rPr>
        <w:t>，高宽比根据文字的数量取</w:t>
      </w:r>
      <w:r>
        <w:rPr>
          <w:rFonts w:ascii="宋体" w:hAnsi="宋体" w:eastAsia="宋体" w:cs="宋体"/>
          <w:color w:val="auto"/>
          <w:sz w:val="21"/>
          <w:szCs w:val="21"/>
          <w:highlight w:val="none"/>
        </w:rPr>
        <w:t>0.6</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，中英文字大小比例为</w:t>
      </w:r>
      <w:r>
        <w:rPr>
          <w:rFonts w:ascii="宋体" w:hAnsi="宋体" w:eastAsia="宋体" w:cs="宋体"/>
          <w:color w:val="auto"/>
          <w:sz w:val="21"/>
          <w:szCs w:val="21"/>
          <w:highlight w:val="none"/>
        </w:rPr>
        <w:t>2:1</w:t>
      </w:r>
      <w:r>
        <w:rPr>
          <w:rFonts w:hint="eastAsia" w:ascii="宋体" w:hAnsi="宋体" w:eastAsia="宋体" w:cs="宋体"/>
          <w:color w:val="auto"/>
          <w:sz w:val="21"/>
          <w:szCs w:val="21"/>
          <w:highlight w:val="none"/>
        </w:rPr>
        <w:t>。</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）材料质量要求：</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标志底板采用</w:t>
      </w:r>
      <w:r>
        <w:rPr>
          <w:rFonts w:ascii="宋体" w:hAnsi="宋体" w:eastAsia="宋体" w:cs="宋体"/>
          <w:color w:val="auto"/>
          <w:sz w:val="21"/>
          <w:szCs w:val="21"/>
          <w:highlight w:val="none"/>
        </w:rPr>
        <w:t>3mm</w:t>
      </w:r>
      <w:r>
        <w:rPr>
          <w:rFonts w:hint="eastAsia" w:ascii="宋体" w:hAnsi="宋体" w:eastAsia="宋体" w:cs="宋体"/>
          <w:color w:val="auto"/>
          <w:sz w:val="21"/>
          <w:szCs w:val="21"/>
          <w:highlight w:val="none"/>
        </w:rPr>
        <w:t>厚铝合金板。铝材材质应符合</w:t>
      </w:r>
      <w:r>
        <w:rPr>
          <w:rFonts w:ascii="宋体" w:hAnsi="宋体" w:eastAsia="宋体" w:cs="宋体"/>
          <w:color w:val="auto"/>
          <w:sz w:val="21"/>
          <w:szCs w:val="21"/>
          <w:highlight w:val="none"/>
        </w:rPr>
        <w:t>GB/T3880</w:t>
      </w:r>
      <w:r>
        <w:rPr>
          <w:rFonts w:hint="eastAsia" w:ascii="宋体" w:hAnsi="宋体" w:eastAsia="宋体" w:cs="宋体"/>
          <w:color w:val="auto"/>
          <w:sz w:val="21"/>
          <w:szCs w:val="21"/>
          <w:highlight w:val="none"/>
        </w:rPr>
        <w:t>的要求，一般要采用</w:t>
      </w:r>
      <w:r>
        <w:rPr>
          <w:rFonts w:ascii="宋体" w:hAnsi="宋体" w:eastAsia="宋体" w:cs="宋体"/>
          <w:color w:val="auto"/>
          <w:sz w:val="21"/>
          <w:szCs w:val="21"/>
          <w:highlight w:val="none"/>
        </w:rPr>
        <w:t>5000</w:t>
      </w:r>
      <w:r>
        <w:rPr>
          <w:rFonts w:hint="eastAsia" w:ascii="宋体" w:hAnsi="宋体" w:eastAsia="宋体" w:cs="宋体"/>
          <w:color w:val="auto"/>
          <w:sz w:val="21"/>
          <w:szCs w:val="21"/>
          <w:highlight w:val="none"/>
        </w:rPr>
        <w:t>等系列的铝合金板材，涂层应采用氟碳树脂涂层。铝合金板采用滑动铝槽加固，加固间距</w:t>
      </w:r>
      <w:r>
        <w:rPr>
          <w:rFonts w:ascii="宋体" w:hAnsi="宋体" w:eastAsia="宋体" w:cs="宋体"/>
          <w:color w:val="auto"/>
          <w:sz w:val="21"/>
          <w:szCs w:val="21"/>
          <w:highlight w:val="none"/>
        </w:rPr>
        <w:t>50cm</w:t>
      </w:r>
      <w:r>
        <w:rPr>
          <w:rFonts w:hint="eastAsia" w:ascii="宋体" w:hAnsi="宋体" w:eastAsia="宋体" w:cs="宋体"/>
          <w:color w:val="auto"/>
          <w:sz w:val="21"/>
          <w:szCs w:val="21"/>
          <w:highlight w:val="none"/>
        </w:rPr>
        <w:t>。铝合金板材化学成分、板材牌号、规格、力学性能</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按</w:t>
      </w:r>
      <w:r>
        <w:rPr>
          <w:rFonts w:ascii="宋体" w:hAnsi="宋体" w:eastAsia="宋体" w:cs="宋体"/>
          <w:color w:val="auto"/>
          <w:sz w:val="21"/>
          <w:szCs w:val="21"/>
          <w:highlight w:val="none"/>
        </w:rPr>
        <w:t>GB5768-2009</w:t>
      </w:r>
      <w:r>
        <w:rPr>
          <w:rFonts w:hint="eastAsia" w:ascii="宋体" w:hAnsi="宋体" w:eastAsia="宋体" w:cs="宋体"/>
          <w:color w:val="auto"/>
          <w:sz w:val="21"/>
          <w:szCs w:val="21"/>
          <w:highlight w:val="none"/>
        </w:rPr>
        <w:t>要求抗拉性强度应不小于</w:t>
      </w:r>
      <w:r>
        <w:rPr>
          <w:rFonts w:ascii="宋体" w:hAnsi="宋体" w:eastAsia="宋体" w:cs="宋体"/>
          <w:color w:val="auto"/>
          <w:sz w:val="21"/>
          <w:szCs w:val="21"/>
          <w:highlight w:val="none"/>
        </w:rPr>
        <w:t>289.3Mpa</w:t>
      </w:r>
      <w:r>
        <w:rPr>
          <w:rFonts w:hint="eastAsia" w:ascii="宋体" w:hAnsi="宋体" w:eastAsia="宋体" w:cs="宋体"/>
          <w:color w:val="auto"/>
          <w:sz w:val="21"/>
          <w:szCs w:val="21"/>
          <w:highlight w:val="none"/>
        </w:rPr>
        <w:t>，屈服点不小于</w:t>
      </w:r>
      <w:r>
        <w:rPr>
          <w:rFonts w:ascii="宋体" w:hAnsi="宋体" w:eastAsia="宋体" w:cs="宋体"/>
          <w:color w:val="auto"/>
          <w:sz w:val="21"/>
          <w:szCs w:val="21"/>
          <w:highlight w:val="none"/>
        </w:rPr>
        <w:t>241.2Mpa</w:t>
      </w:r>
      <w:r>
        <w:rPr>
          <w:rFonts w:hint="eastAsia" w:ascii="宋体" w:hAnsi="宋体" w:eastAsia="宋体" w:cs="宋体"/>
          <w:color w:val="auto"/>
          <w:sz w:val="21"/>
          <w:szCs w:val="21"/>
          <w:highlight w:val="none"/>
        </w:rPr>
        <w:t>，延伸率不小于</w:t>
      </w:r>
      <w:r>
        <w:rPr>
          <w:rFonts w:ascii="宋体" w:hAnsi="宋体" w:eastAsia="宋体" w:cs="宋体"/>
          <w:color w:val="auto"/>
          <w:sz w:val="21"/>
          <w:szCs w:val="21"/>
          <w:highlight w:val="none"/>
        </w:rPr>
        <w:t>4%-10%)</w:t>
      </w:r>
      <w:r>
        <w:rPr>
          <w:rFonts w:hint="eastAsia" w:ascii="宋体" w:hAnsi="宋体" w:eastAsia="宋体" w:cs="宋体"/>
          <w:color w:val="auto"/>
          <w:sz w:val="21"/>
          <w:szCs w:val="21"/>
          <w:highlight w:val="none"/>
        </w:rPr>
        <w:t>应符合</w:t>
      </w:r>
      <w:r>
        <w:rPr>
          <w:rFonts w:ascii="宋体" w:hAnsi="宋体" w:eastAsia="宋体" w:cs="宋体"/>
          <w:color w:val="auto"/>
          <w:sz w:val="21"/>
          <w:szCs w:val="21"/>
          <w:highlight w:val="none"/>
        </w:rPr>
        <w:t>GB/T3190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GB/3880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GB/T3194</w:t>
      </w:r>
      <w:r>
        <w:rPr>
          <w:rFonts w:hint="eastAsia" w:ascii="宋体" w:hAnsi="宋体" w:eastAsia="宋体" w:cs="宋体"/>
          <w:color w:val="auto"/>
          <w:sz w:val="21"/>
          <w:szCs w:val="21"/>
          <w:highlight w:val="none"/>
        </w:rPr>
        <w:t>的规定。</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）版面反光材料要求：</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rPr>
        <w:t>反光膜必须达到</w:t>
      </w:r>
      <w:r>
        <w:rPr>
          <w:rFonts w:ascii="宋体" w:hAnsi="宋体" w:eastAsia="宋体" w:cs="宋体"/>
          <w:color w:val="auto"/>
          <w:sz w:val="21"/>
          <w:szCs w:val="21"/>
          <w:highlight w:val="none"/>
        </w:rPr>
        <w:t>GB T18833-2012</w:t>
      </w:r>
      <w:r>
        <w:rPr>
          <w:rFonts w:hint="eastAsia" w:ascii="宋体" w:hAnsi="宋体" w:eastAsia="宋体" w:cs="宋体"/>
          <w:color w:val="auto"/>
          <w:sz w:val="21"/>
          <w:szCs w:val="21"/>
          <w:highlight w:val="none"/>
        </w:rPr>
        <w:t>《道路交通反光膜》中</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Ⅳ类反光膜</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的要求。</w:t>
      </w:r>
    </w:p>
    <w:p>
      <w:pPr>
        <w:pStyle w:val="7"/>
        <w:spacing w:after="0" w:line="360" w:lineRule="auto"/>
        <w:ind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rPr>
        <w:t>反光膜的表面规则的分布有菱形的密封结构。</w:t>
      </w:r>
    </w:p>
    <w:p>
      <w:pPr>
        <w:pStyle w:val="7"/>
        <w:spacing w:after="0" w:line="360" w:lineRule="auto"/>
        <w:ind w:firstLineChars="200"/>
        <w:rPr>
          <w:color w:val="auto"/>
          <w:sz w:val="21"/>
          <w:szCs w:val="21"/>
          <w:highlight w:val="none"/>
        </w:rPr>
      </w:pPr>
      <w:r>
        <w:rPr>
          <w:rFonts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rPr>
        <w:t>反光膜具有优异的大入射角及大观察角性能。</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智能公交电子站牌</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.1 站牌结构件</w:t>
      </w:r>
    </w:p>
    <w:p>
      <w:pPr>
        <w:pStyle w:val="61"/>
        <w:numPr>
          <w:ilvl w:val="0"/>
          <w:numId w:val="22"/>
        </w:numPr>
        <w:ind w:left="0" w:firstLine="420"/>
        <w:rPr>
          <w:rFonts w:cs="宋体"/>
          <w:color w:val="auto"/>
          <w:sz w:val="21"/>
          <w:szCs w:val="21"/>
          <w:highlight w:val="none"/>
        </w:rPr>
      </w:pPr>
      <w:r>
        <w:rPr>
          <w:rFonts w:hint="eastAsia" w:cs="宋体"/>
          <w:color w:val="auto"/>
          <w:sz w:val="21"/>
          <w:szCs w:val="21"/>
          <w:highlight w:val="none"/>
        </w:rPr>
        <w:t>箱体和门框板均采用1.5mm钢板激光切割数控折弯拼接而成，前后广告视窗均采用6mm黑边丝印钢化玻璃，前部玻璃根据LCD技术参数要求制作。</w:t>
      </w:r>
    </w:p>
    <w:p>
      <w:pPr>
        <w:pStyle w:val="61"/>
        <w:ind w:firstLine="420"/>
        <w:rPr>
          <w:rFonts w:cs="宋体"/>
          <w:color w:val="auto"/>
          <w:sz w:val="21"/>
          <w:szCs w:val="21"/>
          <w:highlight w:val="none"/>
        </w:rPr>
      </w:pPr>
      <w:r>
        <w:rPr>
          <w:rFonts w:hint="eastAsia" w:cs="宋体"/>
          <w:color w:val="auto"/>
          <w:sz w:val="21"/>
          <w:szCs w:val="21"/>
          <w:highlight w:val="none"/>
        </w:rPr>
        <w:t>电子站牌壳体抗冲击性要求需达到IK10。</w:t>
      </w:r>
    </w:p>
    <w:p>
      <w:pPr>
        <w:pStyle w:val="61"/>
        <w:numPr>
          <w:ilvl w:val="0"/>
          <w:numId w:val="22"/>
        </w:numPr>
        <w:ind w:left="0" w:firstLine="420"/>
        <w:rPr>
          <w:rFonts w:cs="宋体"/>
          <w:color w:val="auto"/>
          <w:sz w:val="21"/>
          <w:szCs w:val="21"/>
          <w:highlight w:val="none"/>
        </w:rPr>
      </w:pPr>
      <w:r>
        <w:rPr>
          <w:rFonts w:hint="eastAsia" w:cs="宋体"/>
          <w:color w:val="auto"/>
          <w:sz w:val="21"/>
          <w:szCs w:val="21"/>
          <w:highlight w:val="none"/>
        </w:rPr>
        <w:t>电子站牌的掉线至上线时间需符合掉线重连时间≤30秒的规范要求。</w:t>
      </w:r>
    </w:p>
    <w:p>
      <w:pPr>
        <w:pStyle w:val="61"/>
        <w:numPr>
          <w:ilvl w:val="0"/>
          <w:numId w:val="22"/>
        </w:numPr>
        <w:ind w:left="0" w:firstLine="420"/>
        <w:rPr>
          <w:rFonts w:cs="宋体"/>
          <w:color w:val="auto"/>
          <w:sz w:val="21"/>
          <w:szCs w:val="21"/>
          <w:highlight w:val="none"/>
        </w:rPr>
      </w:pPr>
      <w:r>
        <w:rPr>
          <w:rFonts w:hint="eastAsia" w:cs="宋体"/>
          <w:color w:val="auto"/>
          <w:sz w:val="21"/>
          <w:szCs w:val="21"/>
          <w:highlight w:val="none"/>
        </w:rPr>
        <w:t>▲电子站牌壳体盐雾测试需通过GB/T 2423.17-2008《电工电子产品环境试验 第2部分：试验方法 试验Ka：盐雾》试验结论合格，以及高温保护功能检测结论合格。（提供第三方机构出具</w:t>
      </w:r>
      <w:r>
        <w:rPr>
          <w:rFonts w:hint="eastAsia" w:cs="宋体"/>
          <w:color w:val="auto"/>
          <w:sz w:val="21"/>
          <w:szCs w:val="21"/>
          <w:highlight w:val="none"/>
          <w:lang w:val="en-US"/>
        </w:rPr>
        <w:t>检测</w:t>
      </w:r>
      <w:r>
        <w:rPr>
          <w:rFonts w:hint="eastAsia" w:cs="宋体"/>
          <w:color w:val="auto"/>
          <w:sz w:val="21"/>
          <w:szCs w:val="21"/>
          <w:highlight w:val="none"/>
        </w:rPr>
        <w:t>报告复印件加盖</w:t>
      </w:r>
      <w:r>
        <w:rPr>
          <w:rFonts w:hint="eastAsia" w:cs="宋体"/>
          <w:color w:val="auto"/>
          <w:sz w:val="21"/>
          <w:szCs w:val="21"/>
          <w:highlight w:val="none"/>
          <w:lang w:val="en-US"/>
        </w:rPr>
        <w:t>投标人</w:t>
      </w:r>
      <w:r>
        <w:rPr>
          <w:rFonts w:hint="eastAsia" w:cs="宋体"/>
          <w:color w:val="auto"/>
          <w:sz w:val="21"/>
          <w:szCs w:val="21"/>
          <w:highlight w:val="none"/>
        </w:rPr>
        <w:t>公章）。</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.2  55寸LCD高亮屏</w:t>
      </w:r>
    </w:p>
    <w:p>
      <w:pPr>
        <w:pStyle w:val="61"/>
        <w:numPr>
          <w:ilvl w:val="0"/>
          <w:numId w:val="23"/>
        </w:numPr>
        <w:ind w:left="0" w:firstLine="420"/>
        <w:rPr>
          <w:rFonts w:cs="宋体"/>
          <w:color w:val="auto"/>
          <w:sz w:val="21"/>
          <w:szCs w:val="21"/>
          <w:highlight w:val="none"/>
        </w:rPr>
      </w:pPr>
      <w:r>
        <w:rPr>
          <w:rFonts w:hint="eastAsia" w:cs="宋体"/>
          <w:color w:val="auto"/>
          <w:sz w:val="21"/>
          <w:szCs w:val="21"/>
          <w:highlight w:val="none"/>
        </w:rPr>
        <w:t>55寸工业级高亮液晶面板，支持多画面分割和多文件格式播放。</w:t>
      </w:r>
    </w:p>
    <w:p>
      <w:pPr>
        <w:pStyle w:val="61"/>
        <w:numPr>
          <w:ilvl w:val="0"/>
          <w:numId w:val="23"/>
        </w:numPr>
        <w:ind w:left="0" w:firstLine="420"/>
        <w:rPr>
          <w:rFonts w:cs="宋体"/>
          <w:color w:val="auto"/>
          <w:sz w:val="21"/>
          <w:szCs w:val="21"/>
          <w:highlight w:val="none"/>
        </w:rPr>
      </w:pPr>
      <w:r>
        <w:rPr>
          <w:rFonts w:hint="eastAsia" w:cs="宋体"/>
          <w:color w:val="auto"/>
          <w:sz w:val="21"/>
          <w:szCs w:val="21"/>
          <w:highlight w:val="none"/>
        </w:rPr>
        <w:t>▲LCD显示屏高低温要求满足﹣40℃—70℃使用范围，LCD显示屏亮度≥2500cd/㎡，分辨率1920*1080，具备信息采集及背光冗余功能，以上试验结果需满足GB/T 2423.1-2008《电工电子产品环境试验 第2部分：试验方法 试验A：低温》 ；GB/T 2423.2-2008《电工电子产品环境试验 第2部分：试验方法 试验B：高温》 ；SJ/T 11292-2016《计算机用液晶显示器通用规范》标准（提供第三方机构出具检</w:t>
      </w:r>
      <w:r>
        <w:rPr>
          <w:rFonts w:hint="eastAsia" w:cs="宋体"/>
          <w:color w:val="auto"/>
          <w:sz w:val="21"/>
          <w:szCs w:val="21"/>
          <w:highlight w:val="none"/>
          <w:lang w:val="en-US"/>
        </w:rPr>
        <w:t>测</w:t>
      </w:r>
      <w:r>
        <w:rPr>
          <w:rFonts w:hint="eastAsia" w:cs="宋体"/>
          <w:color w:val="auto"/>
          <w:sz w:val="21"/>
          <w:szCs w:val="21"/>
          <w:highlight w:val="none"/>
        </w:rPr>
        <w:t>报告复印件加盖</w:t>
      </w:r>
      <w:r>
        <w:rPr>
          <w:rFonts w:hint="eastAsia" w:cs="宋体"/>
          <w:color w:val="auto"/>
          <w:sz w:val="21"/>
          <w:szCs w:val="21"/>
          <w:highlight w:val="none"/>
          <w:lang w:val="en-US"/>
        </w:rPr>
        <w:t>投标人</w:t>
      </w:r>
      <w:r>
        <w:rPr>
          <w:rFonts w:hint="eastAsia" w:cs="宋体"/>
          <w:color w:val="auto"/>
          <w:sz w:val="21"/>
          <w:szCs w:val="21"/>
          <w:highlight w:val="none"/>
        </w:rPr>
        <w:t>公章）。</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.3 集中控制器</w:t>
      </w:r>
    </w:p>
    <w:p>
      <w:pPr>
        <w:pStyle w:val="61"/>
        <w:numPr>
          <w:ilvl w:val="0"/>
          <w:numId w:val="24"/>
        </w:numPr>
        <w:ind w:left="0" w:firstLine="420"/>
        <w:rPr>
          <w:rFonts w:cs="宋体"/>
          <w:color w:val="auto"/>
          <w:sz w:val="21"/>
          <w:szCs w:val="21"/>
          <w:highlight w:val="none"/>
        </w:rPr>
      </w:pPr>
      <w:r>
        <w:rPr>
          <w:rFonts w:hint="eastAsia" w:cs="宋体"/>
          <w:color w:val="auto"/>
          <w:sz w:val="21"/>
          <w:szCs w:val="21"/>
          <w:highlight w:val="none"/>
        </w:rPr>
        <w:t>电子站牌集中控制子系统应集成了通讯、显示屏状态管理、电子站牌照明开关管理、门禁报警管理、温控管理，故障回传管理,时控管理等多种接口，可远程升级，保证智能化电子站牌发布信息的准确性及系统运行的稳定性。</w:t>
      </w:r>
    </w:p>
    <w:p>
      <w:pPr>
        <w:pStyle w:val="61"/>
        <w:numPr>
          <w:ilvl w:val="0"/>
          <w:numId w:val="24"/>
        </w:numPr>
        <w:ind w:left="0" w:firstLine="420"/>
        <w:rPr>
          <w:rFonts w:cs="宋体"/>
          <w:color w:val="auto"/>
          <w:sz w:val="21"/>
          <w:szCs w:val="21"/>
          <w:highlight w:val="none"/>
        </w:rPr>
      </w:pPr>
      <w:r>
        <w:rPr>
          <w:rFonts w:hint="eastAsia" w:cs="宋体"/>
          <w:color w:val="auto"/>
          <w:sz w:val="21"/>
          <w:szCs w:val="21"/>
          <w:highlight w:val="none"/>
        </w:rPr>
        <w:t>▲集中控制器需通过GB/T17626.2、GB/T17626.4电磁兼容性检测，包括静电放电抗扰度试验，电快速瞬变脉冲群抗扰度试验（提供第三方机构出具检</w:t>
      </w:r>
      <w:r>
        <w:rPr>
          <w:rFonts w:hint="eastAsia" w:cs="宋体"/>
          <w:color w:val="auto"/>
          <w:sz w:val="21"/>
          <w:szCs w:val="21"/>
          <w:highlight w:val="none"/>
          <w:lang w:val="en-US"/>
        </w:rPr>
        <w:t>测</w:t>
      </w:r>
      <w:r>
        <w:rPr>
          <w:rFonts w:hint="eastAsia" w:cs="宋体"/>
          <w:color w:val="auto"/>
          <w:sz w:val="21"/>
          <w:szCs w:val="21"/>
          <w:highlight w:val="none"/>
        </w:rPr>
        <w:t>报告复印件加盖</w:t>
      </w:r>
      <w:r>
        <w:rPr>
          <w:rFonts w:hint="eastAsia" w:cs="宋体"/>
          <w:color w:val="auto"/>
          <w:sz w:val="21"/>
          <w:szCs w:val="21"/>
          <w:highlight w:val="none"/>
          <w:lang w:val="en-US"/>
        </w:rPr>
        <w:t>投标人</w:t>
      </w:r>
      <w:r>
        <w:rPr>
          <w:rFonts w:hint="eastAsia" w:cs="宋体"/>
          <w:color w:val="auto"/>
          <w:sz w:val="21"/>
          <w:szCs w:val="21"/>
          <w:highlight w:val="none"/>
        </w:rPr>
        <w:t>公章）。</w:t>
      </w:r>
    </w:p>
    <w:p>
      <w:pPr>
        <w:pStyle w:val="61"/>
        <w:numPr>
          <w:ilvl w:val="0"/>
          <w:numId w:val="24"/>
        </w:numPr>
        <w:ind w:left="0" w:firstLine="420"/>
        <w:rPr>
          <w:color w:val="auto"/>
          <w:highlight w:val="none"/>
        </w:rPr>
      </w:pPr>
      <w:r>
        <w:rPr>
          <w:rFonts w:hint="eastAsia" w:cs="宋体"/>
          <w:color w:val="auto"/>
          <w:sz w:val="21"/>
          <w:szCs w:val="21"/>
          <w:highlight w:val="none"/>
        </w:rPr>
        <w:t>集中控制器高低温要求满足﹣25℃—75℃使用范围，试验满足GB/T 2423.1-2008《电工电子产品实验环境 第2部分：试验方法 试验A：低温》；GB/T 2423.2-2008《电工电子产品实验环境 第2部分：试验方法 试验B：高温》检验标准。</w:t>
      </w:r>
    </w:p>
    <w:p>
      <w:pPr>
        <w:pStyle w:val="6"/>
        <w:numPr>
          <w:ilvl w:val="0"/>
          <w:numId w:val="11"/>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道闸系统</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.1道闸</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规格参数:直杆，长度为6米；机箱材质：冷轧钢：电机驱动：直流无刷电机驱动控制；电机功率：300。</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.2抓拍显示一体机</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规格参数:包含功能：抓拍机、LED显示屏、补光灯、一键呼叫按钮、拾音器、喇叭功放等；</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1）分辨率：400万，2688*1520；</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2）镜头：4~15mm变焦镜头；</w:t>
      </w:r>
    </w:p>
    <w:p>
      <w:pPr>
        <w:pStyle w:val="7"/>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）智能识别：车牌识别、车型检测、车标识别、子品牌识别；</w:t>
      </w:r>
    </w:p>
    <w:p>
      <w:pPr>
        <w:pStyle w:val="7"/>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）尺寸256mm*128mm，分辨率64*64，亮度4000cd/m²；</w:t>
      </w:r>
    </w:p>
    <w:p>
      <w:pPr>
        <w:pStyle w:val="7"/>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）色温：3000K；</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6）补光灯控制：补光灯自动光控、时控可选。</w:t>
      </w:r>
    </w:p>
    <w:p>
      <w:pPr>
        <w:pStyle w:val="8"/>
        <w:spacing w:after="0" w:line="360" w:lineRule="auto"/>
        <w:ind w:left="44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.3雷达</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规格参数:</w:t>
      </w:r>
    </w:p>
    <w:p>
      <w:pPr>
        <w:pStyle w:val="7"/>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）采用79GHz MMIC技术，分辨率更高，检测更稳定；</w:t>
      </w:r>
    </w:p>
    <w:p>
      <w:pPr>
        <w:pStyle w:val="7"/>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）提供RS485串口或者WIFI通讯功能，WIFI版本配备手机APP；</w:t>
      </w:r>
    </w:p>
    <w:p>
      <w:pPr>
        <w:pStyle w:val="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3）支持单人过滤；</w:t>
      </w:r>
    </w:p>
    <w:p>
      <w:pPr>
        <w:pStyle w:val="13"/>
        <w:keepNext w:val="0"/>
        <w:keepLines w:val="0"/>
        <w:pageBreakBefore w:val="0"/>
        <w:widowControl/>
        <w:kinsoku/>
        <w:wordWrap/>
        <w:overflowPunct/>
        <w:topLinePunct w:val="0"/>
        <w:autoSpaceDE/>
        <w:autoSpaceDN/>
        <w:bidi w:val="0"/>
        <w:adjustRightInd w:val="0"/>
        <w:snapToGrid w:val="0"/>
        <w:spacing w:before="0" w:after="0"/>
        <w:ind w:left="0"/>
        <w:textAlignment w:val="auto"/>
        <w:rPr>
          <w:color w:val="auto"/>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项目验收要求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（一）安装工程的质量标准为：中华人民共和国颁发的施工规范、质量检验标准、合同规定的条款、技术数据和施工图纸。安装调试竣工验收应以安装工程的质量标准为依据进行验收。</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（二）中标人在工程竣工前3天，应将验收日期及验收申请以书面形式通知招标人届时验收。</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（三）中标人应保证所完工的系统所供货物的技术参数不得低于本需求“采购项目内容和要求”所规定的设备标准及性能要求。</w:t>
      </w:r>
    </w:p>
    <w:p>
      <w:pPr>
        <w:pStyle w:val="13"/>
        <w:keepNext w:val="0"/>
        <w:keepLines w:val="0"/>
        <w:pageBreakBefore w:val="0"/>
        <w:widowControl/>
        <w:kinsoku/>
        <w:wordWrap/>
        <w:overflowPunct/>
        <w:topLinePunct w:val="0"/>
        <w:autoSpaceDE/>
        <w:autoSpaceDN/>
        <w:bidi w:val="0"/>
        <w:adjustRightInd w:val="0"/>
        <w:snapToGrid w:val="0"/>
        <w:spacing w:before="0" w:after="0"/>
        <w:ind w:left="0"/>
        <w:textAlignment w:val="auto"/>
        <w:rPr>
          <w:color w:val="auto"/>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交货期</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交货期：合同签订后60天内完成安装调试，验收合格并交付使用。</w:t>
      </w:r>
    </w:p>
    <w:p>
      <w:pPr>
        <w:pStyle w:val="13"/>
        <w:keepNext w:val="0"/>
        <w:keepLines w:val="0"/>
        <w:pageBreakBefore w:val="0"/>
        <w:widowControl/>
        <w:kinsoku/>
        <w:wordWrap/>
        <w:overflowPunct/>
        <w:topLinePunct w:val="0"/>
        <w:autoSpaceDE/>
        <w:autoSpaceDN/>
        <w:bidi w:val="0"/>
        <w:adjustRightInd w:val="0"/>
        <w:snapToGrid w:val="0"/>
        <w:spacing w:before="0" w:after="0"/>
        <w:ind w:left="0"/>
        <w:textAlignment w:val="auto"/>
        <w:rPr>
          <w:rFonts w:ascii="宋体" w:hAnsi="宋体" w:eastAsia="宋体"/>
          <w:b/>
          <w:color w:val="auto"/>
          <w:sz w:val="24"/>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付款方式</w:t>
      </w:r>
    </w:p>
    <w:p>
      <w:pPr>
        <w:numPr>
          <w:ilvl w:val="0"/>
          <w:numId w:val="25"/>
        </w:num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签订合同</w:t>
      </w:r>
      <w:r>
        <w:rPr>
          <w:rFonts w:hint="eastAsia" w:ascii="宋体" w:hAnsi="宋体" w:eastAsia="宋体" w:cs="Times New Roman"/>
          <w:color w:val="auto"/>
          <w:sz w:val="21"/>
          <w:szCs w:val="21"/>
          <w:highlight w:val="none"/>
          <w:lang w:val="en-US" w:eastAsia="zh-CN"/>
        </w:rPr>
        <w:t>后，中标人向采购人提供等额发票及相关付款资料后，</w:t>
      </w:r>
      <w:r>
        <w:rPr>
          <w:rFonts w:hint="eastAsia" w:ascii="宋体" w:hAnsi="宋体" w:eastAsia="宋体" w:cs="Times New Roman"/>
          <w:color w:val="auto"/>
          <w:sz w:val="21"/>
          <w:szCs w:val="21"/>
          <w:highlight w:val="none"/>
        </w:rPr>
        <w:t>采购人在</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个工作日内支付合同总价</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w:t>
      </w:r>
    </w:p>
    <w:p>
      <w:pPr>
        <w:numPr>
          <w:ilvl w:val="0"/>
          <w:numId w:val="25"/>
        </w:num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中标人将设备清单所列货物送到工地现场并向采购人提供等额发票</w:t>
      </w:r>
      <w:r>
        <w:rPr>
          <w:rFonts w:hint="eastAsia" w:ascii="宋体" w:hAnsi="宋体" w:eastAsia="宋体" w:cs="Times New Roman"/>
          <w:color w:val="auto"/>
          <w:sz w:val="21"/>
          <w:szCs w:val="21"/>
          <w:highlight w:val="none"/>
          <w:lang w:val="en-US" w:eastAsia="zh-CN"/>
        </w:rPr>
        <w:t>及相关付款资料</w:t>
      </w:r>
      <w:r>
        <w:rPr>
          <w:rFonts w:hint="eastAsia" w:ascii="宋体" w:hAnsi="宋体" w:eastAsia="宋体" w:cs="Times New Roman"/>
          <w:color w:val="auto"/>
          <w:sz w:val="21"/>
          <w:szCs w:val="21"/>
          <w:highlight w:val="none"/>
        </w:rPr>
        <w:t>后，采购人在</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个工作日内支付合同总价</w:t>
      </w:r>
      <w:r>
        <w:rPr>
          <w:rFonts w:hint="eastAsia" w:ascii="宋体" w:hAnsi="宋体" w:eastAsia="宋体" w:cs="Times New Roman"/>
          <w:color w:val="auto"/>
          <w:sz w:val="21"/>
          <w:szCs w:val="21"/>
          <w:highlight w:val="none"/>
          <w:lang w:val="en-US" w:eastAsia="zh-CN"/>
        </w:rPr>
        <w:t>40</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.所有设备到场全部安装完成并完成初验，</w:t>
      </w:r>
      <w:r>
        <w:rPr>
          <w:rFonts w:hint="eastAsia" w:ascii="宋体" w:hAnsi="宋体" w:eastAsia="宋体" w:cs="Times New Roman"/>
          <w:color w:val="auto"/>
          <w:sz w:val="21"/>
          <w:szCs w:val="21"/>
          <w:highlight w:val="none"/>
          <w:lang w:val="en-US" w:eastAsia="zh-CN"/>
        </w:rPr>
        <w:t>中标人向采购人提供等额发票及相关付款资料后，</w:t>
      </w:r>
      <w:r>
        <w:rPr>
          <w:rFonts w:hint="eastAsia" w:ascii="宋体" w:hAnsi="宋体" w:eastAsia="宋体" w:cs="Times New Roman"/>
          <w:color w:val="auto"/>
          <w:sz w:val="21"/>
          <w:szCs w:val="21"/>
          <w:highlight w:val="none"/>
        </w:rPr>
        <w:t>采购人在</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个工作日内支付合同总价</w:t>
      </w:r>
      <w:r>
        <w:rPr>
          <w:rFonts w:hint="eastAsia" w:ascii="宋体" w:hAnsi="宋体" w:eastAsia="宋体" w:cs="Times New Roman"/>
          <w:color w:val="auto"/>
          <w:sz w:val="21"/>
          <w:szCs w:val="21"/>
          <w:highlight w:val="none"/>
          <w:lang w:val="en-US" w:eastAsia="zh-CN"/>
        </w:rPr>
        <w:t>20</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.全部工程竣工，经采购人验收合格后、进行项目实际结算时，中标人向采购人提供等额发票</w:t>
      </w:r>
      <w:r>
        <w:rPr>
          <w:rFonts w:hint="eastAsia" w:ascii="宋体" w:hAnsi="宋体" w:eastAsia="宋体" w:cs="Times New Roman"/>
          <w:color w:val="auto"/>
          <w:sz w:val="21"/>
          <w:szCs w:val="21"/>
          <w:highlight w:val="none"/>
          <w:lang w:val="en-US" w:eastAsia="zh-CN"/>
        </w:rPr>
        <w:t>及相关付款资料后</w:t>
      </w:r>
      <w:r>
        <w:rPr>
          <w:rFonts w:hint="eastAsia" w:ascii="宋体" w:hAnsi="宋体" w:eastAsia="宋体" w:cs="Times New Roman"/>
          <w:color w:val="auto"/>
          <w:sz w:val="21"/>
          <w:szCs w:val="21"/>
          <w:highlight w:val="none"/>
        </w:rPr>
        <w:t>，采购人在</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个工作日内支付至实际结算价的</w:t>
      </w:r>
      <w:r>
        <w:rPr>
          <w:rFonts w:hint="eastAsia" w:ascii="宋体" w:hAnsi="宋体" w:eastAsia="宋体" w:cs="Times New Roman"/>
          <w:color w:val="auto"/>
          <w:sz w:val="21"/>
          <w:szCs w:val="21"/>
          <w:highlight w:val="none"/>
          <w:lang w:val="en-US" w:eastAsia="zh-CN"/>
        </w:rPr>
        <w:t>95</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.验收合格满计一年内无质量问题，且达到相关售后服务要求，中标人向采购人提供发票</w:t>
      </w:r>
      <w:r>
        <w:rPr>
          <w:rFonts w:hint="eastAsia" w:ascii="宋体" w:hAnsi="宋体" w:eastAsia="宋体" w:cs="Times New Roman"/>
          <w:color w:val="auto"/>
          <w:sz w:val="21"/>
          <w:szCs w:val="21"/>
          <w:highlight w:val="none"/>
          <w:lang w:val="en-US" w:eastAsia="zh-CN"/>
        </w:rPr>
        <w:t>及相关付款资料后</w:t>
      </w:r>
      <w:r>
        <w:rPr>
          <w:rFonts w:hint="eastAsia" w:ascii="宋体" w:hAnsi="宋体" w:eastAsia="宋体" w:cs="Times New Roman"/>
          <w:color w:val="auto"/>
          <w:sz w:val="21"/>
          <w:szCs w:val="21"/>
          <w:highlight w:val="none"/>
        </w:rPr>
        <w:t>，采购人在</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个工作日内支付实际结算价的剩余</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.最终结算价以实际结算价为准，实际结算价不高于合同价。</w:t>
      </w:r>
    </w:p>
    <w:p>
      <w:pPr>
        <w:pStyle w:val="13"/>
        <w:keepNext w:val="0"/>
        <w:keepLines w:val="0"/>
        <w:pageBreakBefore w:val="0"/>
        <w:widowControl/>
        <w:kinsoku/>
        <w:wordWrap/>
        <w:overflowPunct/>
        <w:topLinePunct w:val="0"/>
        <w:autoSpaceDE/>
        <w:autoSpaceDN/>
        <w:bidi w:val="0"/>
        <w:adjustRightInd w:val="0"/>
        <w:snapToGrid w:val="0"/>
        <w:spacing w:before="0" w:after="0"/>
        <w:ind w:left="0"/>
        <w:textAlignment w:val="auto"/>
        <w:rPr>
          <w:color w:val="auto"/>
          <w:highlight w:val="none"/>
          <w:lang w:val="en-US"/>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售后服务</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（一）质保期：设备安装完毕、经相关部门检查合格后，交付使用，从项目完工验收之日起</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年内，中标人</w:t>
      </w:r>
      <w:r>
        <w:rPr>
          <w:rFonts w:hint="eastAsia" w:ascii="宋体" w:hAnsi="宋体" w:eastAsia="宋体" w:cs="Times New Roman"/>
          <w:color w:val="auto"/>
          <w:sz w:val="21"/>
          <w:szCs w:val="21"/>
          <w:highlight w:val="none"/>
          <w:lang w:val="en-US" w:eastAsia="zh-CN"/>
        </w:rPr>
        <w:t>须派驻2名技术人员驻扎现场，</w:t>
      </w:r>
      <w:r>
        <w:rPr>
          <w:rFonts w:hint="eastAsia" w:ascii="宋体" w:hAnsi="宋体" w:eastAsia="宋体" w:cs="Times New Roman"/>
          <w:color w:val="auto"/>
          <w:sz w:val="21"/>
          <w:szCs w:val="21"/>
          <w:highlight w:val="none"/>
        </w:rPr>
        <w:t>免费提供维修和保养服务，并且每月巡检一次。保证在接到故障通知后4小时内到达现场。</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（二）投标人应在投标书中提供详细的售后服务计划、包括质保期后的修理、保养、零备件供应等内容。</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（三）售后服务人员具备专业素质及灵活迅速解决实际问题的能力，力求在最短的时间内完成任务，尽量做到处理故障不隔日，以减少采购单位的不便及损失。</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（四）质保期结束后，供应商有偿提供售后维修及保养服务的年费用应不高于本次中标合同金额的百分之三。</w:t>
      </w:r>
    </w:p>
    <w:p>
      <w:pPr>
        <w:pStyle w:val="13"/>
        <w:keepNext w:val="0"/>
        <w:keepLines w:val="0"/>
        <w:pageBreakBefore w:val="0"/>
        <w:widowControl/>
        <w:kinsoku/>
        <w:wordWrap/>
        <w:overflowPunct/>
        <w:topLinePunct w:val="0"/>
        <w:autoSpaceDE/>
        <w:autoSpaceDN/>
        <w:bidi w:val="0"/>
        <w:adjustRightInd w:val="0"/>
        <w:snapToGrid w:val="0"/>
        <w:spacing w:before="0" w:after="0"/>
        <w:ind w:left="0"/>
        <w:textAlignment w:val="auto"/>
        <w:rPr>
          <w:color w:val="auto"/>
          <w:highlight w:val="none"/>
        </w:rPr>
      </w:pPr>
    </w:p>
    <w:p>
      <w:pPr>
        <w:pStyle w:val="35"/>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其他要求</w:t>
      </w:r>
    </w:p>
    <w:p>
      <w:pPr>
        <w:spacing w:after="0" w:line="360" w:lineRule="auto"/>
        <w:ind w:firstLine="420" w:firstLineChars="200"/>
        <w:rPr>
          <w:rFonts w:ascii="宋体" w:hAnsi="宋体" w:eastAsia="宋体" w:cs="Times New Roman"/>
          <w:color w:val="auto"/>
          <w:sz w:val="21"/>
          <w:szCs w:val="21"/>
          <w:highlight w:val="none"/>
        </w:rPr>
      </w:pPr>
      <w:bookmarkStart w:id="18" w:name="_Toc31278"/>
      <w:bookmarkStart w:id="19" w:name="_Toc13112"/>
      <w:bookmarkStart w:id="20" w:name="_Toc14462"/>
      <w:bookmarkStart w:id="21" w:name="_Toc24679"/>
      <w:r>
        <w:rPr>
          <w:rFonts w:hint="eastAsia" w:ascii="宋体" w:hAnsi="宋体" w:eastAsia="宋体" w:cs="Times New Roman"/>
          <w:color w:val="auto"/>
          <w:sz w:val="21"/>
          <w:szCs w:val="21"/>
          <w:highlight w:val="none"/>
        </w:rPr>
        <w:t>1、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招标文件中内出现的所有设备品牌/参数均不是唯一指定，仅作参考，不对投标人所投货物品牌/参数作实质性要求。即投标人可就货物提出替代标准，只要投标人提供的货物满足采购人的功能要求，相当于（或优于）规定的货物品质和性能等技术参数要求，则视为满足。</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3、所有产品材料及货物标准必须符合国家标准及相关规定。</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4、投标人应根据采购要求，在投标文件中提供切实可行的供货安装方案。</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5、中标单位在供货安装过程中必须采取足够的安全措施，确保供货的安全，并自行负责相关安全责任。</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6、中标单位在安装过程中，如需对场地作局部破损，必须在供货安装实施前取得采购人的书面同意，并承诺负责恢复原状，采购人不另行支付任何费用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7、本项目以总包干形式进行总价报价，报价需包含完成项目所有内容的费用，以及所有相关税金等。</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8、项目未尽事宜将在采购合同中另行约定，中标单位需无条件同意采购人基于为顺利完成本项目所提出的各项合理要求。</w:t>
      </w:r>
    </w:p>
    <w:p>
      <w:pPr>
        <w:spacing w:after="0"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9</w:t>
      </w:r>
      <w:r>
        <w:rPr>
          <w:rFonts w:hint="eastAsia" w:ascii="宋体" w:hAnsi="宋体" w:eastAsia="宋体" w:cs="Times New Roman"/>
          <w:color w:val="auto"/>
          <w:sz w:val="21"/>
          <w:szCs w:val="21"/>
          <w:highlight w:val="none"/>
        </w:rPr>
        <w:t>、项目清单为本次采购最低要求，各供应商可以自行优化供货计划，为本项目设计最优投标方案。</w:t>
      </w:r>
    </w:p>
    <w:p>
      <w:pPr>
        <w:spacing w:after="0" w:line="360" w:lineRule="auto"/>
        <w:ind w:firstLine="422" w:firstLineChars="200"/>
        <w:rPr>
          <w:rFonts w:ascii="宋体" w:hAnsi="宋体" w:eastAsia="宋体" w:cs="Times New Roman"/>
          <w:b/>
          <w:bCs/>
          <w:color w:val="auto"/>
          <w:sz w:val="21"/>
          <w:szCs w:val="21"/>
          <w:highlight w:val="none"/>
        </w:rPr>
      </w:pPr>
    </w:p>
    <w:p>
      <w:pPr>
        <w:spacing w:line="360" w:lineRule="auto"/>
        <w:ind w:firstLine="422" w:firstLineChars="200"/>
        <w:rPr>
          <w:color w:val="auto"/>
          <w:sz w:val="24"/>
          <w:szCs w:val="24"/>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18"/>
      <w:bookmarkEnd w:id="19"/>
      <w:bookmarkEnd w:id="20"/>
      <w:bookmarkEnd w:id="21"/>
      <w:r>
        <w:rPr>
          <w:rFonts w:hint="eastAsia"/>
          <w:color w:val="auto"/>
          <w:sz w:val="24"/>
          <w:szCs w:val="24"/>
          <w:highlight w:val="none"/>
        </w:rPr>
        <w:br w:type="page"/>
      </w:r>
      <w:bookmarkStart w:id="22" w:name="_Toc2479"/>
      <w:r>
        <w:rPr>
          <w:rFonts w:hint="eastAsia"/>
          <w:color w:val="auto"/>
          <w:szCs w:val="28"/>
          <w:highlight w:val="none"/>
        </w:rPr>
        <w:t>第四部分 投标人须知</w:t>
      </w:r>
      <w:bookmarkEnd w:id="22"/>
    </w:p>
    <w:p>
      <w:pPr>
        <w:pStyle w:val="4"/>
        <w:numPr>
          <w:ilvl w:val="0"/>
          <w:numId w:val="26"/>
        </w:numPr>
        <w:spacing w:before="0" w:after="0" w:line="480" w:lineRule="auto"/>
        <w:jc w:val="center"/>
        <w:rPr>
          <w:rFonts w:ascii="宋体" w:hAnsi="宋体" w:eastAsia="宋体"/>
          <w:color w:val="auto"/>
          <w:highlight w:val="none"/>
        </w:rPr>
      </w:pPr>
      <w:bookmarkStart w:id="23" w:name="_Toc19746"/>
      <w:r>
        <w:rPr>
          <w:rFonts w:hint="eastAsia" w:ascii="宋体" w:hAnsi="宋体" w:eastAsia="宋体"/>
          <w:color w:val="auto"/>
          <w:highlight w:val="none"/>
        </w:rPr>
        <w:t>说明</w:t>
      </w:r>
      <w:bookmarkEnd w:id="23"/>
    </w:p>
    <w:p>
      <w:pPr>
        <w:pStyle w:val="5"/>
        <w:widowControl w:val="0"/>
        <w:overflowPunct w:val="0"/>
        <w:spacing w:before="0" w:after="0" w:line="240" w:lineRule="auto"/>
        <w:rPr>
          <w:rFonts w:ascii="宋体" w:hAnsi="宋体" w:eastAsia="宋体"/>
          <w:color w:val="auto"/>
          <w:sz w:val="21"/>
          <w:szCs w:val="21"/>
          <w:highlight w:val="none"/>
        </w:rPr>
      </w:pPr>
      <w:bookmarkStart w:id="24" w:name="_Toc18488"/>
      <w:r>
        <w:rPr>
          <w:rFonts w:hint="eastAsia" w:ascii="宋体" w:hAnsi="宋体" w:eastAsia="宋体"/>
          <w:color w:val="auto"/>
          <w:sz w:val="21"/>
          <w:szCs w:val="21"/>
          <w:highlight w:val="none"/>
        </w:rPr>
        <w:t>1.适用范围</w:t>
      </w:r>
      <w:bookmarkEnd w:id="24"/>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5" w:name="_Toc13400"/>
      <w:r>
        <w:rPr>
          <w:rFonts w:hint="eastAsia" w:ascii="宋体" w:hAnsi="宋体" w:eastAsia="宋体"/>
          <w:color w:val="auto"/>
          <w:sz w:val="21"/>
          <w:szCs w:val="21"/>
          <w:highlight w:val="none"/>
        </w:rPr>
        <w:t>2.</w:t>
      </w:r>
      <w:bookmarkStart w:id="26" w:name="_Toc382049092"/>
      <w:bookmarkStart w:id="27" w:name="_Toc303084246"/>
      <w:bookmarkStart w:id="28" w:name="_Toc1530"/>
      <w:bookmarkStart w:id="29" w:name="_Toc298847174"/>
      <w:r>
        <w:rPr>
          <w:rFonts w:hint="eastAsia" w:ascii="宋体" w:hAnsi="宋体" w:eastAsia="宋体"/>
          <w:color w:val="auto"/>
          <w:sz w:val="21"/>
          <w:szCs w:val="21"/>
          <w:highlight w:val="none"/>
        </w:rPr>
        <w:t>定义</w:t>
      </w:r>
      <w:bookmarkEnd w:id="25"/>
      <w:bookmarkEnd w:id="26"/>
      <w:bookmarkEnd w:id="27"/>
      <w:bookmarkEnd w:id="28"/>
      <w:bookmarkEnd w:id="29"/>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0" w:name="_Toc3780"/>
      <w:r>
        <w:rPr>
          <w:rFonts w:hint="eastAsia" w:ascii="宋体" w:hAnsi="宋体" w:eastAsia="宋体"/>
          <w:color w:val="auto"/>
          <w:sz w:val="21"/>
          <w:szCs w:val="21"/>
          <w:highlight w:val="none"/>
        </w:rPr>
        <w:t>3.货物和服务</w:t>
      </w:r>
      <w:bookmarkEnd w:id="30"/>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1" w:name="_Toc15945"/>
      <w:r>
        <w:rPr>
          <w:rFonts w:hint="eastAsia" w:ascii="宋体" w:hAnsi="宋体" w:eastAsia="宋体"/>
          <w:color w:val="auto"/>
          <w:sz w:val="21"/>
          <w:szCs w:val="21"/>
          <w:highlight w:val="none"/>
        </w:rPr>
        <w:t>4.投标费用</w:t>
      </w:r>
      <w:bookmarkEnd w:id="31"/>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2" w:name="_Toc25040"/>
      <w:r>
        <w:rPr>
          <w:rFonts w:hint="eastAsia" w:ascii="宋体" w:hAnsi="宋体" w:eastAsia="宋体"/>
          <w:color w:val="auto"/>
          <w:sz w:val="21"/>
          <w:szCs w:val="21"/>
          <w:highlight w:val="none"/>
        </w:rPr>
        <w:t>5.知识产权</w:t>
      </w:r>
      <w:bookmarkEnd w:id="32"/>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3" w:name="_Toc21930"/>
      <w:r>
        <w:rPr>
          <w:rFonts w:hint="eastAsia" w:ascii="宋体" w:hAnsi="宋体" w:eastAsia="宋体"/>
          <w:color w:val="auto"/>
          <w:sz w:val="21"/>
          <w:szCs w:val="21"/>
          <w:highlight w:val="none"/>
        </w:rPr>
        <w:t>6.关于联合体投标</w:t>
      </w:r>
      <w:bookmarkEnd w:id="33"/>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7"/>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16571"/>
      <w:r>
        <w:rPr>
          <w:rFonts w:hint="eastAsia" w:ascii="宋体" w:hAnsi="宋体" w:eastAsia="宋体"/>
          <w:color w:val="auto"/>
          <w:sz w:val="21"/>
          <w:szCs w:val="21"/>
          <w:highlight w:val="none"/>
        </w:rPr>
        <w:t>7.关于分支机构投标</w:t>
      </w:r>
      <w:bookmarkEnd w:id="34"/>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bookmarkStart w:id="35" w:name="EB389f116341dd4693875bc7987e7327f3"/>
    </w:p>
    <w:p>
      <w:pPr>
        <w:widowControl w:val="0"/>
        <w:numPr>
          <w:ilvl w:val="1"/>
          <w:numId w:val="27"/>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pPr>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36" w:name="_Toc17879"/>
      <w:r>
        <w:rPr>
          <w:rFonts w:hint="eastAsia" w:ascii="宋体" w:hAnsi="宋体" w:eastAsia="宋体"/>
          <w:color w:val="auto"/>
          <w:highlight w:val="none"/>
        </w:rPr>
        <w:t>招标文件</w:t>
      </w:r>
      <w:bookmarkEnd w:id="36"/>
    </w:p>
    <w:p>
      <w:pPr>
        <w:pStyle w:val="5"/>
        <w:widowControl w:val="0"/>
        <w:overflowPunct w:val="0"/>
        <w:spacing w:before="0" w:after="0" w:line="240" w:lineRule="auto"/>
        <w:rPr>
          <w:rFonts w:ascii="宋体" w:hAnsi="宋体" w:eastAsia="宋体"/>
          <w:color w:val="auto"/>
          <w:sz w:val="21"/>
          <w:szCs w:val="21"/>
          <w:highlight w:val="none"/>
        </w:rPr>
      </w:pPr>
      <w:bookmarkStart w:id="37" w:name="_Toc21771"/>
      <w:r>
        <w:rPr>
          <w:rFonts w:hint="eastAsia" w:ascii="宋体" w:hAnsi="宋体" w:eastAsia="宋体"/>
          <w:color w:val="auto"/>
          <w:sz w:val="21"/>
          <w:szCs w:val="21"/>
          <w:highlight w:val="none"/>
        </w:rPr>
        <w:t>8.招标文件的组成</w:t>
      </w:r>
      <w:bookmarkEnd w:id="37"/>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8" w:name="_Toc14217"/>
      <w:r>
        <w:rPr>
          <w:rFonts w:hint="eastAsia" w:ascii="宋体" w:hAnsi="宋体" w:eastAsia="宋体"/>
          <w:color w:val="auto"/>
          <w:sz w:val="21"/>
          <w:szCs w:val="21"/>
          <w:highlight w:val="none"/>
        </w:rPr>
        <w:t>9.招标文件的澄清或修改</w:t>
      </w:r>
      <w:bookmarkEnd w:id="38"/>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27"/>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26"/>
        </w:numPr>
        <w:spacing w:before="0" w:after="0" w:line="480" w:lineRule="auto"/>
        <w:jc w:val="center"/>
        <w:rPr>
          <w:rFonts w:ascii="宋体" w:hAnsi="宋体" w:eastAsia="宋体"/>
          <w:color w:val="auto"/>
          <w:highlight w:val="none"/>
        </w:rPr>
      </w:pPr>
      <w:bookmarkStart w:id="39" w:name="_Toc23726"/>
      <w:r>
        <w:rPr>
          <w:rFonts w:hint="eastAsia" w:ascii="宋体" w:hAnsi="宋体" w:eastAsia="宋体"/>
          <w:color w:val="auto"/>
          <w:highlight w:val="none"/>
        </w:rPr>
        <w:t>投标文件的编制</w:t>
      </w:r>
      <w:bookmarkEnd w:id="39"/>
    </w:p>
    <w:p>
      <w:pPr>
        <w:pStyle w:val="5"/>
        <w:widowControl w:val="0"/>
        <w:overflowPunct w:val="0"/>
        <w:spacing w:before="0" w:after="0" w:line="240" w:lineRule="auto"/>
        <w:rPr>
          <w:rFonts w:ascii="宋体" w:hAnsi="宋体" w:eastAsia="宋体"/>
          <w:color w:val="auto"/>
          <w:sz w:val="21"/>
          <w:szCs w:val="21"/>
          <w:highlight w:val="none"/>
        </w:rPr>
      </w:pPr>
      <w:bookmarkStart w:id="40" w:name="_Toc20623"/>
      <w:r>
        <w:rPr>
          <w:rFonts w:hint="eastAsia" w:ascii="宋体" w:hAnsi="宋体" w:eastAsia="宋体"/>
          <w:color w:val="auto"/>
          <w:sz w:val="21"/>
          <w:szCs w:val="21"/>
          <w:highlight w:val="none"/>
        </w:rPr>
        <w:t>10.投标文件的语言及度量衡单位</w:t>
      </w:r>
      <w:bookmarkEnd w:id="40"/>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307934854"/>
      <w:bookmarkStart w:id="42" w:name="_Toc382049103"/>
      <w:bookmarkStart w:id="43" w:name="_Toc303084256"/>
      <w:bookmarkStart w:id="44" w:name="_Toc12145"/>
      <w:bookmarkStart w:id="45" w:name="_Toc2886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41"/>
      <w:bookmarkEnd w:id="42"/>
      <w:bookmarkEnd w:id="43"/>
      <w:bookmarkEnd w:id="44"/>
      <w:bookmarkEnd w:id="45"/>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27"/>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6" w:name="_Toc30189"/>
      <w:r>
        <w:rPr>
          <w:rFonts w:hint="eastAsia" w:ascii="宋体" w:hAnsi="宋体" w:eastAsia="宋体"/>
          <w:color w:val="auto"/>
          <w:sz w:val="21"/>
          <w:szCs w:val="21"/>
          <w:highlight w:val="none"/>
        </w:rPr>
        <w:t>12.投标文件编制</w:t>
      </w:r>
      <w:bookmarkEnd w:id="46"/>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bookmarkStart w:id="47" w:name="_Toc303084258"/>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35"/>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5"/>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47"/>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8" w:name="_Toc259"/>
      <w:r>
        <w:rPr>
          <w:rFonts w:hint="eastAsia" w:ascii="宋体" w:hAnsi="宋体" w:eastAsia="宋体"/>
          <w:color w:val="auto"/>
          <w:sz w:val="21"/>
          <w:szCs w:val="21"/>
          <w:highlight w:val="none"/>
        </w:rPr>
        <w:t>13.投标报价说明</w:t>
      </w:r>
      <w:bookmarkEnd w:id="48"/>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27724"/>
      <w:r>
        <w:rPr>
          <w:rFonts w:hint="eastAsia" w:ascii="宋体" w:hAnsi="宋体" w:eastAsia="宋体"/>
          <w:color w:val="auto"/>
          <w:sz w:val="21"/>
          <w:szCs w:val="21"/>
          <w:highlight w:val="none"/>
        </w:rPr>
        <w:t>14.投标人所提供的服务或货物的证明文件</w:t>
      </w:r>
      <w:bookmarkEnd w:id="49"/>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bookmarkStart w:id="50" w:name="_Hlt107925668"/>
      <w:bookmarkEnd w:id="50"/>
      <w:bookmarkStart w:id="51" w:name="_Hlt107925638"/>
      <w:bookmarkEnd w:id="51"/>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5"/>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2" w:name="_Toc19520"/>
      <w:r>
        <w:rPr>
          <w:rFonts w:hint="eastAsia" w:ascii="宋体" w:hAnsi="宋体" w:eastAsia="宋体"/>
          <w:color w:val="auto"/>
          <w:sz w:val="21"/>
          <w:szCs w:val="21"/>
          <w:highlight w:val="none"/>
        </w:rPr>
        <w:t>15.★投标有效期</w:t>
      </w:r>
      <w:bookmarkEnd w:id="52"/>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3" w:name="_Toc12456"/>
      <w:r>
        <w:rPr>
          <w:rFonts w:hint="eastAsia" w:ascii="宋体" w:hAnsi="宋体" w:eastAsia="宋体"/>
          <w:color w:val="auto"/>
          <w:sz w:val="21"/>
          <w:szCs w:val="21"/>
          <w:highlight w:val="none"/>
        </w:rPr>
        <w:t>16.★投标保证金</w:t>
      </w:r>
      <w:bookmarkEnd w:id="53"/>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bookmarkStart w:id="54" w:name="_Ref179619405"/>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54"/>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55" w:name="_Toc31124"/>
      <w:r>
        <w:rPr>
          <w:rFonts w:hint="eastAsia" w:ascii="宋体" w:hAnsi="宋体" w:eastAsia="宋体"/>
          <w:color w:val="auto"/>
          <w:highlight w:val="none"/>
        </w:rPr>
        <w:t>投标文件的递交</w:t>
      </w:r>
      <w:bookmarkEnd w:id="55"/>
    </w:p>
    <w:p>
      <w:pPr>
        <w:pStyle w:val="5"/>
        <w:widowControl w:val="0"/>
        <w:overflowPunct w:val="0"/>
        <w:spacing w:before="0" w:after="0" w:line="240" w:lineRule="auto"/>
        <w:rPr>
          <w:rFonts w:ascii="宋体" w:hAnsi="宋体" w:eastAsia="宋体"/>
          <w:color w:val="auto"/>
          <w:sz w:val="21"/>
          <w:szCs w:val="21"/>
          <w:highlight w:val="none"/>
        </w:rPr>
      </w:pPr>
      <w:bookmarkStart w:id="56" w:name="_Toc382049111"/>
      <w:bookmarkStart w:id="57" w:name="_Toc303084264"/>
      <w:bookmarkStart w:id="58" w:name="_Toc24997"/>
      <w:bookmarkStart w:id="59" w:name="_Toc29590"/>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56"/>
      <w:bookmarkEnd w:id="57"/>
      <w:bookmarkEnd w:id="58"/>
      <w:bookmarkEnd w:id="59"/>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2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2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2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28"/>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29"/>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8628"/>
      <w:r>
        <w:rPr>
          <w:rFonts w:hint="eastAsia" w:ascii="宋体" w:hAnsi="宋体" w:eastAsia="宋体"/>
          <w:color w:val="auto"/>
          <w:sz w:val="21"/>
          <w:szCs w:val="21"/>
          <w:highlight w:val="none"/>
        </w:rPr>
        <w:t>18.迟交的投标文件</w:t>
      </w:r>
      <w:bookmarkEnd w:id="60"/>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13212"/>
      <w:r>
        <w:rPr>
          <w:rFonts w:hint="eastAsia" w:ascii="宋体" w:hAnsi="宋体" w:eastAsia="宋体"/>
          <w:color w:val="auto"/>
          <w:sz w:val="21"/>
          <w:szCs w:val="21"/>
          <w:highlight w:val="none"/>
        </w:rPr>
        <w:t>19.投标样品（如需提交）</w:t>
      </w:r>
      <w:bookmarkEnd w:id="61"/>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382049112"/>
      <w:bookmarkStart w:id="63" w:name="_Toc5900"/>
      <w:bookmarkStart w:id="64" w:name="_Toc9777"/>
      <w:bookmarkStart w:id="65" w:name="_Toc303084265"/>
      <w:r>
        <w:rPr>
          <w:rFonts w:hint="eastAsia" w:ascii="宋体" w:hAnsi="宋体" w:eastAsia="宋体"/>
          <w:color w:val="auto"/>
          <w:sz w:val="21"/>
          <w:szCs w:val="21"/>
          <w:highlight w:val="none"/>
        </w:rPr>
        <w:t>20.投标截止期</w:t>
      </w:r>
      <w:bookmarkEnd w:id="62"/>
      <w:bookmarkEnd w:id="63"/>
      <w:bookmarkEnd w:id="64"/>
      <w:bookmarkEnd w:id="65"/>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6" w:name="_Toc6003"/>
      <w:r>
        <w:rPr>
          <w:rFonts w:hint="eastAsia" w:ascii="宋体" w:hAnsi="宋体" w:eastAsia="宋体"/>
          <w:color w:val="auto"/>
          <w:sz w:val="21"/>
          <w:szCs w:val="21"/>
          <w:highlight w:val="none"/>
        </w:rPr>
        <w:t>21.投标文件的补充、修改与撤回</w:t>
      </w:r>
      <w:bookmarkEnd w:id="66"/>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13"/>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67" w:name="_Toc29574"/>
      <w:r>
        <w:rPr>
          <w:rFonts w:hint="eastAsia" w:ascii="宋体" w:hAnsi="宋体" w:eastAsia="宋体"/>
          <w:color w:val="auto"/>
          <w:highlight w:val="none"/>
        </w:rPr>
        <w:t>开标与评标</w:t>
      </w:r>
      <w:bookmarkEnd w:id="67"/>
    </w:p>
    <w:p>
      <w:pPr>
        <w:pStyle w:val="5"/>
        <w:widowControl w:val="0"/>
        <w:overflowPunct w:val="0"/>
        <w:spacing w:before="0" w:after="0" w:line="240" w:lineRule="auto"/>
        <w:rPr>
          <w:rFonts w:ascii="宋体" w:hAnsi="宋体" w:eastAsia="宋体"/>
          <w:color w:val="auto"/>
          <w:sz w:val="21"/>
          <w:szCs w:val="21"/>
          <w:highlight w:val="none"/>
        </w:rPr>
      </w:pPr>
      <w:bookmarkStart w:id="68" w:name="_Toc28458"/>
      <w:r>
        <w:rPr>
          <w:rFonts w:hint="eastAsia" w:ascii="宋体" w:hAnsi="宋体" w:eastAsia="宋体"/>
          <w:color w:val="auto"/>
          <w:sz w:val="21"/>
          <w:szCs w:val="21"/>
          <w:highlight w:val="none"/>
        </w:rPr>
        <w:t>22.开标</w:t>
      </w:r>
      <w:bookmarkEnd w:id="68"/>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27"/>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27"/>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27"/>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9" w:name="_Toc5524"/>
      <w:r>
        <w:rPr>
          <w:rFonts w:hint="eastAsia" w:ascii="宋体" w:hAnsi="宋体" w:eastAsia="宋体"/>
          <w:color w:val="auto"/>
          <w:sz w:val="21"/>
          <w:szCs w:val="21"/>
          <w:highlight w:val="none"/>
        </w:rPr>
        <w:t>23.评标委员会及评标方法</w:t>
      </w:r>
      <w:bookmarkEnd w:id="69"/>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招标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0" w:name="_Toc15231"/>
      <w:r>
        <w:rPr>
          <w:rFonts w:hint="eastAsia" w:ascii="宋体" w:hAnsi="宋体" w:eastAsia="宋体"/>
          <w:color w:val="auto"/>
          <w:sz w:val="21"/>
          <w:szCs w:val="21"/>
          <w:highlight w:val="none"/>
        </w:rPr>
        <w:t>24.评审原则及评标过程的保密</w:t>
      </w:r>
      <w:bookmarkEnd w:id="70"/>
    </w:p>
    <w:p>
      <w:pPr>
        <w:pStyle w:val="35"/>
        <w:widowControl w:val="0"/>
        <w:numPr>
          <w:ilvl w:val="0"/>
          <w:numId w:val="27"/>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1" w:name="_Toc3762"/>
      <w:r>
        <w:rPr>
          <w:rFonts w:hint="eastAsia" w:ascii="宋体" w:hAnsi="宋体" w:eastAsia="宋体"/>
          <w:color w:val="auto"/>
          <w:sz w:val="21"/>
          <w:szCs w:val="21"/>
          <w:highlight w:val="none"/>
        </w:rPr>
        <w:t>25.投标文件的初审</w:t>
      </w:r>
      <w:bookmarkEnd w:id="71"/>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2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27"/>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21742"/>
      <w:r>
        <w:rPr>
          <w:rFonts w:hint="eastAsia" w:ascii="宋体" w:hAnsi="宋体" w:eastAsia="宋体"/>
          <w:color w:val="auto"/>
          <w:sz w:val="21"/>
          <w:szCs w:val="21"/>
          <w:highlight w:val="none"/>
        </w:rPr>
        <w:t>26.商务、技术、价格评审（具体评审项目详见投标资料表）</w:t>
      </w:r>
      <w:bookmarkEnd w:id="72"/>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3" w:name="_Toc22192"/>
      <w:r>
        <w:rPr>
          <w:rFonts w:hint="eastAsia" w:ascii="宋体" w:hAnsi="宋体" w:eastAsia="宋体"/>
          <w:color w:val="auto"/>
          <w:sz w:val="21"/>
          <w:szCs w:val="21"/>
          <w:highlight w:val="none"/>
        </w:rPr>
        <w:t>27.优惠政策</w:t>
      </w:r>
      <w:bookmarkEnd w:id="73"/>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27"/>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30"/>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30"/>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30"/>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4" w:name="_Toc316375620"/>
      <w:bookmarkStart w:id="75" w:name="_Toc22591"/>
      <w:bookmarkStart w:id="76" w:name="_Toc382049120"/>
      <w:bookmarkStart w:id="77"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74"/>
      <w:r>
        <w:rPr>
          <w:rFonts w:hint="eastAsia" w:ascii="宋体" w:hAnsi="宋体" w:eastAsia="宋体"/>
          <w:color w:val="auto"/>
          <w:sz w:val="21"/>
          <w:szCs w:val="21"/>
          <w:highlight w:val="none"/>
        </w:rPr>
        <w:t>事项</w:t>
      </w:r>
      <w:bookmarkEnd w:id="75"/>
      <w:bookmarkEnd w:id="76"/>
      <w:bookmarkEnd w:id="77"/>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78" w:name="_Toc29310"/>
      <w:r>
        <w:rPr>
          <w:rFonts w:hint="eastAsia" w:ascii="宋体" w:hAnsi="宋体" w:eastAsia="宋体"/>
          <w:color w:val="auto"/>
          <w:highlight w:val="none"/>
        </w:rPr>
        <w:t>授予合同</w:t>
      </w:r>
      <w:bookmarkEnd w:id="78"/>
    </w:p>
    <w:p>
      <w:pPr>
        <w:pStyle w:val="5"/>
        <w:widowControl w:val="0"/>
        <w:overflowPunct w:val="0"/>
        <w:spacing w:before="0" w:after="0" w:line="240" w:lineRule="auto"/>
        <w:rPr>
          <w:rFonts w:ascii="宋体" w:hAnsi="宋体" w:eastAsia="宋体"/>
          <w:color w:val="auto"/>
          <w:sz w:val="21"/>
          <w:szCs w:val="21"/>
          <w:highlight w:val="none"/>
        </w:rPr>
      </w:pPr>
      <w:bookmarkStart w:id="79" w:name="_Toc508284011"/>
      <w:bookmarkStart w:id="80"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9"/>
      <w:bookmarkEnd w:id="80"/>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81" w:name="_Toc508284013"/>
      <w:bookmarkStart w:id="82" w:name="_Toc29283"/>
      <w:r>
        <w:rPr>
          <w:rFonts w:hint="eastAsia" w:ascii="宋体" w:hAnsi="宋体" w:eastAsia="宋体"/>
          <w:color w:val="auto"/>
          <w:sz w:val="21"/>
          <w:szCs w:val="21"/>
          <w:highlight w:val="none"/>
        </w:rPr>
        <w:t>30.发布采购结果</w:t>
      </w:r>
      <w:bookmarkEnd w:id="81"/>
      <w:bookmarkEnd w:id="82"/>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27"/>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27"/>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27"/>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3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3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3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3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3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7"/>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27"/>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32"/>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32"/>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32"/>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32"/>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32"/>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7"/>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27"/>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83" w:name="_Toc22451"/>
      <w:r>
        <w:rPr>
          <w:rFonts w:hint="eastAsia" w:ascii="宋体" w:hAnsi="宋体" w:eastAsia="宋体"/>
          <w:color w:val="auto"/>
          <w:sz w:val="21"/>
          <w:szCs w:val="21"/>
          <w:highlight w:val="none"/>
        </w:rPr>
        <w:t>31.合同的签订与履行</w:t>
      </w:r>
      <w:bookmarkEnd w:id="83"/>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27"/>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84" w:name="_Toc2744"/>
      <w:bookmarkStart w:id="85" w:name="_Toc303084277"/>
      <w:bookmarkStart w:id="86" w:name="_Toc29009"/>
      <w:bookmarkStart w:id="87"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84"/>
      <w:bookmarkEnd w:id="85"/>
      <w:bookmarkEnd w:id="86"/>
      <w:bookmarkEnd w:id="87"/>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88" w:name="_Toc13694"/>
      <w:r>
        <w:rPr>
          <w:rFonts w:hint="eastAsia" w:ascii="宋体" w:hAnsi="宋体" w:eastAsia="宋体"/>
          <w:color w:val="auto"/>
          <w:highlight w:val="none"/>
        </w:rPr>
        <w:t>询问或质疑</w:t>
      </w:r>
      <w:bookmarkEnd w:id="88"/>
    </w:p>
    <w:p>
      <w:pPr>
        <w:pStyle w:val="5"/>
        <w:widowControl w:val="0"/>
        <w:overflowPunct w:val="0"/>
        <w:spacing w:before="0" w:after="0" w:line="240" w:lineRule="auto"/>
        <w:rPr>
          <w:rFonts w:ascii="宋体" w:hAnsi="宋体" w:eastAsia="宋体"/>
          <w:color w:val="auto"/>
          <w:sz w:val="21"/>
          <w:szCs w:val="21"/>
          <w:highlight w:val="none"/>
        </w:rPr>
      </w:pPr>
      <w:bookmarkStart w:id="89" w:name="_Toc25498"/>
      <w:r>
        <w:rPr>
          <w:rFonts w:hint="eastAsia" w:ascii="宋体" w:hAnsi="宋体" w:eastAsia="宋体"/>
          <w:color w:val="auto"/>
          <w:sz w:val="21"/>
          <w:szCs w:val="21"/>
          <w:highlight w:val="none"/>
        </w:rPr>
        <w:t>33.询问</w:t>
      </w:r>
      <w:bookmarkEnd w:id="89"/>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0" w:name="_Toc8234"/>
      <w:r>
        <w:rPr>
          <w:rFonts w:hint="eastAsia" w:ascii="宋体" w:hAnsi="宋体" w:eastAsia="宋体"/>
          <w:color w:val="auto"/>
          <w:sz w:val="21"/>
          <w:szCs w:val="21"/>
          <w:highlight w:val="none"/>
        </w:rPr>
        <w:t>34.质疑</w:t>
      </w:r>
      <w:bookmarkEnd w:id="90"/>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27"/>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26"/>
        </w:numPr>
        <w:spacing w:before="0" w:after="0" w:line="480" w:lineRule="auto"/>
        <w:jc w:val="center"/>
        <w:rPr>
          <w:rFonts w:ascii="宋体" w:hAnsi="宋体" w:eastAsia="宋体"/>
          <w:color w:val="auto"/>
          <w:highlight w:val="none"/>
        </w:rPr>
      </w:pPr>
      <w:bookmarkStart w:id="91" w:name="_Toc24383"/>
      <w:r>
        <w:rPr>
          <w:rFonts w:hint="eastAsia" w:ascii="宋体" w:hAnsi="宋体" w:eastAsia="宋体"/>
          <w:color w:val="auto"/>
          <w:highlight w:val="none"/>
        </w:rPr>
        <w:t>其他</w:t>
      </w:r>
      <w:bookmarkEnd w:id="91"/>
    </w:p>
    <w:p>
      <w:pPr>
        <w:pStyle w:val="5"/>
        <w:widowControl w:val="0"/>
        <w:overflowPunct w:val="0"/>
        <w:spacing w:before="0" w:after="0" w:line="240" w:lineRule="auto"/>
        <w:rPr>
          <w:rFonts w:ascii="宋体" w:hAnsi="宋体" w:eastAsia="宋体"/>
          <w:color w:val="auto"/>
          <w:sz w:val="21"/>
          <w:szCs w:val="21"/>
          <w:highlight w:val="none"/>
        </w:rPr>
      </w:pPr>
      <w:bookmarkStart w:id="92" w:name="_Toc10082"/>
      <w:r>
        <w:rPr>
          <w:rFonts w:hint="eastAsia" w:ascii="宋体" w:hAnsi="宋体" w:eastAsia="宋体"/>
          <w:color w:val="auto"/>
          <w:sz w:val="21"/>
          <w:szCs w:val="21"/>
          <w:highlight w:val="none"/>
        </w:rPr>
        <w:t>35.招标文件的解释权</w:t>
      </w:r>
      <w:bookmarkEnd w:id="92"/>
    </w:p>
    <w:p>
      <w:pPr>
        <w:pStyle w:val="35"/>
        <w:widowControl w:val="0"/>
        <w:numPr>
          <w:ilvl w:val="0"/>
          <w:numId w:val="27"/>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27"/>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93" w:name="_Toc21448"/>
      <w:r>
        <w:rPr>
          <w:rFonts w:hint="eastAsia"/>
          <w:color w:val="auto"/>
          <w:sz w:val="28"/>
          <w:szCs w:val="28"/>
          <w:highlight w:val="none"/>
        </w:rPr>
        <w:t>第五部分 合同格式（仅供参考）</w:t>
      </w:r>
      <w:bookmarkEnd w:id="93"/>
      <w:bookmarkStart w:id="94" w:name="_Toc21155"/>
      <w:bookmarkStart w:id="95" w:name="_Toc13430"/>
      <w:bookmarkStart w:id="96" w:name="_Toc1534"/>
    </w:p>
    <w:p>
      <w:pPr>
        <w:pStyle w:val="4"/>
        <w:spacing w:before="0" w:after="0" w:line="240" w:lineRule="auto"/>
        <w:jc w:val="center"/>
        <w:rPr>
          <w:rFonts w:ascii="宋体" w:hAnsi="宋体" w:eastAsia="宋体" w:cs="宋体"/>
          <w:color w:val="auto"/>
          <w:highlight w:val="none"/>
        </w:rPr>
      </w:pPr>
      <w:bookmarkStart w:id="97" w:name="_Toc16730"/>
      <w:r>
        <w:rPr>
          <w:rFonts w:hint="eastAsia" w:ascii="宋体" w:hAnsi="宋体" w:eastAsia="宋体" w:cs="宋体"/>
          <w:color w:val="auto"/>
          <w:highlight w:val="none"/>
        </w:rPr>
        <w:t>合同格式</w:t>
      </w:r>
      <w:bookmarkEnd w:id="94"/>
      <w:bookmarkEnd w:id="95"/>
      <w:bookmarkEnd w:id="96"/>
      <w:bookmarkEnd w:id="97"/>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98"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4"/>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4"/>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4"/>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4"/>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4"/>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98"/>
    <w:p>
      <w:pPr>
        <w:spacing w:after="0" w:line="360" w:lineRule="auto"/>
        <w:ind w:firstLine="422" w:firstLineChars="200"/>
        <w:rPr>
          <w:rFonts w:ascii="宋体" w:hAnsi="宋体" w:eastAsia="宋体"/>
          <w:b/>
          <w:color w:val="auto"/>
          <w:sz w:val="21"/>
          <w:szCs w:val="21"/>
          <w:highlight w:val="none"/>
        </w:rPr>
      </w:pPr>
      <w:bookmarkStart w:id="99"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00" w:name="_Toc86481569"/>
      <w:r>
        <w:rPr>
          <w:rFonts w:hint="eastAsia" w:ascii="宋体" w:hAnsi="宋体" w:eastAsia="宋体"/>
          <w:b/>
          <w:color w:val="auto"/>
          <w:sz w:val="21"/>
          <w:szCs w:val="21"/>
          <w:highlight w:val="none"/>
        </w:rPr>
        <w:t>第十二条 合同生效</w:t>
      </w:r>
      <w:bookmarkEnd w:id="10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99"/>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101" w:name="_Toc23749"/>
      <w:r>
        <w:rPr>
          <w:rFonts w:hint="eastAsia"/>
          <w:color w:val="auto"/>
          <w:sz w:val="28"/>
          <w:szCs w:val="28"/>
          <w:highlight w:val="none"/>
        </w:rPr>
        <w:t>第六部分  附件－投标文件格式</w:t>
      </w:r>
      <w:bookmarkEnd w:id="101"/>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02" w:name="_Toc26830"/>
      <w:r>
        <w:rPr>
          <w:rFonts w:hint="eastAsia" w:ascii="宋体" w:hAnsi="宋体" w:eastAsia="宋体"/>
          <w:color w:val="auto"/>
          <w:sz w:val="21"/>
          <w:szCs w:val="21"/>
          <w:highlight w:val="none"/>
        </w:rPr>
        <w:t>附件1.投标文件目录</w:t>
      </w:r>
      <w:bookmarkEnd w:id="10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3" w:name="_Toc18893"/>
      <w:r>
        <w:rPr>
          <w:rFonts w:hint="eastAsia" w:ascii="宋体" w:hAnsi="宋体" w:eastAsia="宋体"/>
          <w:color w:val="auto"/>
          <w:sz w:val="21"/>
          <w:szCs w:val="21"/>
          <w:highlight w:val="none"/>
        </w:rPr>
        <w:t>附件1-1 评分标准索引表</w:t>
      </w:r>
      <w:bookmarkEnd w:id="103"/>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33"/>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13"/>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4" w:name="_Toc30640"/>
      <w:r>
        <w:rPr>
          <w:rFonts w:hint="eastAsia" w:ascii="宋体" w:hAnsi="宋体" w:eastAsia="宋体"/>
          <w:color w:val="auto"/>
          <w:sz w:val="21"/>
          <w:szCs w:val="21"/>
          <w:highlight w:val="none"/>
        </w:rPr>
        <w:t>附件2.投标书格式</w:t>
      </w:r>
      <w:bookmarkEnd w:id="104"/>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34"/>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105" w:name="_Toc6866"/>
      <w:r>
        <w:rPr>
          <w:rFonts w:hint="eastAsia" w:ascii="宋体" w:hAnsi="宋体" w:eastAsia="宋体"/>
          <w:color w:val="auto"/>
          <w:sz w:val="21"/>
          <w:szCs w:val="21"/>
          <w:highlight w:val="none"/>
        </w:rPr>
        <w:t>附件3.开标一览表格式</w:t>
      </w:r>
      <w:bookmarkEnd w:id="105"/>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6"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0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5"/>
                <w:rFonts w:ascii="宋体" w:hAnsi="宋体" w:eastAsia="宋体" w:cs="宋体"/>
                <w:b/>
                <w:color w:val="auto"/>
                <w:sz w:val="21"/>
                <w:szCs w:val="21"/>
                <w:highlight w:val="none"/>
              </w:rPr>
            </w:pPr>
            <w:r>
              <w:rPr>
                <w:rStyle w:val="45"/>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w:t>
            </w:r>
            <w:r>
              <w:rPr>
                <w:rStyle w:val="45"/>
                <w:rFonts w:hint="eastAsia" w:ascii="宋体" w:hAnsi="宋体" w:eastAsia="宋体" w:cs="宋体"/>
                <w:b/>
                <w:color w:val="auto"/>
                <w:sz w:val="21"/>
                <w:szCs w:val="21"/>
                <w:highlight w:val="none"/>
              </w:rPr>
              <w:t>；</w:t>
            </w:r>
          </w:p>
          <w:p>
            <w:pPr>
              <w:tabs>
                <w:tab w:val="left" w:pos="284"/>
              </w:tabs>
              <w:spacing w:after="0"/>
              <w:rPr>
                <w:rStyle w:val="45"/>
                <w:rFonts w:ascii="宋体" w:hAnsi="宋体" w:eastAsia="宋体" w:cs="宋体"/>
                <w:b/>
                <w:color w:val="auto"/>
                <w:sz w:val="21"/>
                <w:szCs w:val="21"/>
                <w:highlight w:val="none"/>
              </w:rPr>
            </w:pPr>
            <w:r>
              <w:rPr>
                <w:rStyle w:val="45"/>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5"/>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35"/>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45"/>
                <w:rFonts w:ascii="宋体" w:hAnsi="宋体" w:eastAsia="宋体" w:cs="宋体"/>
                <w:b/>
                <w:color w:val="auto"/>
                <w:sz w:val="21"/>
                <w:szCs w:val="21"/>
                <w:highlight w:val="none"/>
              </w:rPr>
            </w:pPr>
            <w:r>
              <w:rPr>
                <w:rStyle w:val="45"/>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5"/>
                <w:rFonts w:ascii="宋体" w:hAnsi="宋体" w:eastAsia="宋体" w:cs="宋体"/>
                <w:b/>
                <w:color w:val="auto"/>
                <w:sz w:val="21"/>
                <w:szCs w:val="21"/>
                <w:highlight w:val="none"/>
              </w:rPr>
            </w:pPr>
            <w:r>
              <w:rPr>
                <w:rStyle w:val="45"/>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5"/>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7" w:name="_Toc16412"/>
      <w:r>
        <w:rPr>
          <w:rFonts w:hint="eastAsia" w:ascii="宋体" w:hAnsi="宋体" w:eastAsia="宋体"/>
          <w:color w:val="auto"/>
          <w:sz w:val="21"/>
          <w:szCs w:val="21"/>
          <w:highlight w:val="none"/>
        </w:rPr>
        <w:t>附件5. 法定代表人证明书格式</w:t>
      </w:r>
      <w:bookmarkEnd w:id="10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8"/>
        <w:spacing w:line="420" w:lineRule="atLeast"/>
        <w:ind w:firstLine="433"/>
        <w:rPr>
          <w:rFonts w:ascii="宋体" w:eastAsia="宋体"/>
          <w:color w:val="auto"/>
          <w:sz w:val="21"/>
          <w:szCs w:val="21"/>
          <w:highlight w:val="none"/>
        </w:rPr>
      </w:pPr>
    </w:p>
    <w:p>
      <w:pPr>
        <w:pStyle w:val="3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8"/>
        <w:spacing w:line="500" w:lineRule="atLeast"/>
        <w:ind w:firstLine="3517" w:firstLineChars="1675"/>
        <w:rPr>
          <w:rFonts w:ascii="宋体" w:eastAsia="宋体"/>
          <w:color w:val="auto"/>
          <w:sz w:val="21"/>
          <w:szCs w:val="21"/>
          <w:highlight w:val="none"/>
        </w:rPr>
      </w:pP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8"/>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6"/>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08" w:name="_Toc31205"/>
      <w:r>
        <w:rPr>
          <w:rFonts w:hint="eastAsia" w:ascii="宋体" w:hAnsi="宋体" w:eastAsia="宋体"/>
          <w:color w:val="auto"/>
          <w:sz w:val="21"/>
          <w:szCs w:val="21"/>
          <w:highlight w:val="none"/>
        </w:rPr>
        <w:t>附件6.法定代表人授权书格式</w:t>
      </w:r>
      <w:bookmarkEnd w:id="108"/>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8"/>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8"/>
        <w:spacing w:line="500" w:lineRule="atLeast"/>
        <w:ind w:firstLine="3517" w:firstLineChars="1675"/>
        <w:rPr>
          <w:rFonts w:ascii="宋体" w:eastAsia="宋体"/>
          <w:color w:val="auto"/>
          <w:sz w:val="21"/>
          <w:szCs w:val="21"/>
          <w:highlight w:val="none"/>
        </w:rPr>
      </w:pP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8"/>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8"/>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6"/>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9"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0" w:name="_Toc17164"/>
      <w:r>
        <w:rPr>
          <w:rFonts w:hint="eastAsia" w:ascii="宋体" w:hAnsi="宋体" w:eastAsia="宋体"/>
          <w:color w:val="auto"/>
          <w:sz w:val="21"/>
          <w:szCs w:val="21"/>
          <w:highlight w:val="none"/>
        </w:rPr>
        <w:t>附件7.资格申明</w:t>
      </w:r>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8"/>
        <w:spacing w:line="500" w:lineRule="atLeast"/>
        <w:ind w:firstLine="3517" w:firstLineChars="1675"/>
        <w:rPr>
          <w:rFonts w:ascii="宋体" w:eastAsia="宋体"/>
          <w:color w:val="auto"/>
          <w:sz w:val="21"/>
          <w:szCs w:val="21"/>
          <w:highlight w:val="none"/>
        </w:rPr>
      </w:pPr>
    </w:p>
    <w:p>
      <w:pPr>
        <w:pStyle w:val="38"/>
        <w:spacing w:line="500" w:lineRule="atLeast"/>
        <w:ind w:firstLine="3517" w:firstLineChars="1675"/>
        <w:rPr>
          <w:rFonts w:ascii="宋体" w:eastAsia="宋体"/>
          <w:color w:val="auto"/>
          <w:sz w:val="21"/>
          <w:szCs w:val="21"/>
          <w:highlight w:val="none"/>
        </w:rPr>
      </w:pPr>
    </w:p>
    <w:p>
      <w:pPr>
        <w:pStyle w:val="3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1" w:name="_Toc27839"/>
      <w:r>
        <w:rPr>
          <w:rFonts w:hint="eastAsia" w:ascii="宋体" w:hAnsi="宋体" w:eastAsia="宋体"/>
          <w:color w:val="auto"/>
          <w:sz w:val="21"/>
          <w:szCs w:val="21"/>
          <w:highlight w:val="none"/>
        </w:rPr>
        <w:t>附件8.营业执照</w:t>
      </w:r>
      <w:bookmarkEnd w:id="111"/>
    </w:p>
    <w:p>
      <w:pPr>
        <w:jc w:val="center"/>
        <w:rPr>
          <w:rFonts w:ascii="黑体" w:eastAsia="黑体"/>
          <w:color w:val="auto"/>
          <w:sz w:val="28"/>
          <w:szCs w:val="28"/>
          <w:highlight w:val="none"/>
        </w:rPr>
      </w:pPr>
      <w:bookmarkStart w:id="112" w:name="_Toc4926"/>
      <w:bookmarkStart w:id="113" w:name="_Toc1511"/>
      <w:bookmarkStart w:id="114" w:name="_Toc5919"/>
      <w:bookmarkStart w:id="115" w:name="_Toc17470"/>
      <w:bookmarkStart w:id="116" w:name="_Toc24210"/>
      <w:r>
        <w:rPr>
          <w:rFonts w:hint="eastAsia" w:ascii="黑体" w:eastAsia="黑体"/>
          <w:color w:val="auto"/>
          <w:sz w:val="28"/>
          <w:szCs w:val="28"/>
          <w:highlight w:val="none"/>
        </w:rPr>
        <w:t>营业执照</w:t>
      </w:r>
      <w:bookmarkEnd w:id="112"/>
      <w:bookmarkEnd w:id="113"/>
      <w:bookmarkEnd w:id="114"/>
      <w:bookmarkEnd w:id="115"/>
      <w:bookmarkEnd w:id="11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7" w:name="_Toc26141"/>
      <w:r>
        <w:rPr>
          <w:rFonts w:hint="eastAsia" w:ascii="宋体" w:hAnsi="宋体" w:eastAsia="宋体"/>
          <w:color w:val="auto"/>
          <w:sz w:val="21"/>
          <w:szCs w:val="21"/>
          <w:highlight w:val="none"/>
        </w:rPr>
        <w:t>附件9.相关资质证明文件</w:t>
      </w:r>
      <w:bookmarkEnd w:id="117"/>
    </w:p>
    <w:p>
      <w:pPr>
        <w:rPr>
          <w:color w:val="auto"/>
          <w:highlight w:val="none"/>
        </w:rPr>
      </w:pPr>
    </w:p>
    <w:p>
      <w:pPr>
        <w:jc w:val="center"/>
        <w:rPr>
          <w:rFonts w:ascii="黑体" w:eastAsia="黑体"/>
          <w:color w:val="auto"/>
          <w:sz w:val="28"/>
          <w:szCs w:val="28"/>
          <w:highlight w:val="none"/>
        </w:rPr>
      </w:pPr>
      <w:bookmarkStart w:id="118" w:name="_Toc16233"/>
      <w:bookmarkStart w:id="119" w:name="_Toc9592"/>
      <w:bookmarkStart w:id="120" w:name="_Toc30307"/>
      <w:bookmarkStart w:id="121" w:name="_Toc16698"/>
      <w:bookmarkStart w:id="122" w:name="_Toc13458"/>
      <w:r>
        <w:rPr>
          <w:rFonts w:hint="eastAsia" w:ascii="黑体" w:eastAsia="黑体"/>
          <w:color w:val="auto"/>
          <w:sz w:val="28"/>
          <w:szCs w:val="28"/>
          <w:highlight w:val="none"/>
        </w:rPr>
        <w:t>相关资质证明文件</w:t>
      </w:r>
      <w:bookmarkEnd w:id="109"/>
      <w:bookmarkEnd w:id="118"/>
      <w:bookmarkEnd w:id="119"/>
      <w:bookmarkEnd w:id="120"/>
      <w:bookmarkEnd w:id="121"/>
      <w:bookmarkEnd w:id="122"/>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3" w:name="_Toc17618"/>
      <w:r>
        <w:rPr>
          <w:rFonts w:hint="eastAsia" w:ascii="宋体" w:hAnsi="宋体" w:eastAsia="宋体"/>
          <w:color w:val="auto"/>
          <w:sz w:val="21"/>
          <w:szCs w:val="21"/>
          <w:highlight w:val="none"/>
        </w:rPr>
        <w:t>附件10. 商务条款偏离表格式</w:t>
      </w:r>
      <w:bookmarkEnd w:id="12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24" w:name="_Toc32183"/>
      <w:r>
        <w:rPr>
          <w:rFonts w:hint="eastAsia" w:ascii="宋体" w:hAnsi="宋体" w:eastAsia="宋体"/>
          <w:color w:val="auto"/>
          <w:sz w:val="21"/>
          <w:szCs w:val="21"/>
          <w:highlight w:val="none"/>
        </w:rPr>
        <w:t>附件11. 技术规格偏离表格式</w:t>
      </w:r>
      <w:bookmarkEnd w:id="124"/>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25"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26" w:name="_Toc29613"/>
      <w:r>
        <w:rPr>
          <w:rFonts w:hint="eastAsia" w:ascii="宋体" w:hAnsi="宋体" w:eastAsia="宋体"/>
          <w:color w:val="auto"/>
          <w:sz w:val="21"/>
          <w:szCs w:val="21"/>
          <w:highlight w:val="none"/>
        </w:rPr>
        <w:t>附件12.重要技术参数（▲）响应表</w:t>
      </w:r>
      <w:bookmarkEnd w:id="125"/>
      <w:bookmarkEnd w:id="126"/>
    </w:p>
    <w:p>
      <w:pPr>
        <w:jc w:val="center"/>
        <w:rPr>
          <w:rFonts w:ascii="黑体" w:eastAsia="黑体"/>
          <w:color w:val="auto"/>
          <w:sz w:val="28"/>
          <w:szCs w:val="28"/>
          <w:highlight w:val="none"/>
        </w:rPr>
      </w:pPr>
      <w:bookmarkStart w:id="127" w:name="_Toc4464"/>
      <w:bookmarkStart w:id="128" w:name="_Toc4827"/>
      <w:bookmarkStart w:id="129" w:name="_Toc18668"/>
      <w:bookmarkStart w:id="130" w:name="_Toc6080"/>
      <w:bookmarkStart w:id="131" w:name="_Toc1274"/>
      <w:bookmarkStart w:id="132" w:name="_Toc2607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27"/>
      <w:bookmarkEnd w:id="128"/>
      <w:bookmarkEnd w:id="129"/>
      <w:bookmarkEnd w:id="130"/>
      <w:bookmarkEnd w:id="131"/>
      <w:bookmarkEnd w:id="132"/>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33" w:name="_Toc21739"/>
            <w:bookmarkStart w:id="134" w:name="_Toc27090"/>
            <w:bookmarkStart w:id="135" w:name="_Toc15903"/>
            <w:bookmarkStart w:id="136" w:name="_Toc16872"/>
            <w:bookmarkStart w:id="137" w:name="_Toc4304"/>
            <w:bookmarkStart w:id="138" w:name="_Toc22448"/>
            <w:bookmarkStart w:id="139" w:name="_Toc14815"/>
            <w:bookmarkStart w:id="140" w:name="_Toc2700"/>
            <w:bookmarkStart w:id="141" w:name="_Toc12049"/>
            <w:bookmarkStart w:id="142" w:name="_Toc10045"/>
            <w:r>
              <w:rPr>
                <w:rFonts w:hint="eastAsia" w:ascii="宋体" w:hAnsi="宋体" w:eastAsia="宋体" w:cs="Times New Roman"/>
                <w:color w:val="auto"/>
                <w:sz w:val="21"/>
                <w:szCs w:val="21"/>
                <w:highlight w:val="none"/>
              </w:rPr>
              <w:t>技术参数（▲）</w:t>
            </w:r>
            <w:bookmarkEnd w:id="133"/>
            <w:bookmarkEnd w:id="134"/>
            <w:bookmarkEnd w:id="135"/>
            <w:bookmarkEnd w:id="136"/>
            <w:bookmarkEnd w:id="137"/>
            <w:bookmarkEnd w:id="138"/>
            <w:bookmarkEnd w:id="139"/>
            <w:bookmarkEnd w:id="140"/>
            <w:bookmarkEnd w:id="141"/>
            <w:bookmarkEnd w:id="142"/>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43" w:name="_Toc8312"/>
            <w:bookmarkStart w:id="144" w:name="_Toc21809"/>
            <w:bookmarkStart w:id="145" w:name="_Toc22879"/>
            <w:bookmarkStart w:id="146" w:name="_Toc22917"/>
            <w:bookmarkStart w:id="147" w:name="_Toc19251"/>
            <w:bookmarkStart w:id="148" w:name="_Toc27442"/>
            <w:bookmarkStart w:id="149" w:name="_Toc24662"/>
            <w:bookmarkStart w:id="150" w:name="_Toc7333"/>
            <w:bookmarkStart w:id="151" w:name="_Toc8490"/>
            <w:bookmarkStart w:id="152" w:name="_Toc32531"/>
            <w:r>
              <w:rPr>
                <w:rFonts w:hint="eastAsia" w:ascii="宋体" w:hAnsi="宋体" w:eastAsia="宋体" w:cs="Times New Roman"/>
                <w:color w:val="auto"/>
                <w:sz w:val="21"/>
                <w:szCs w:val="21"/>
                <w:highlight w:val="none"/>
              </w:rPr>
              <w:t>是否响应</w:t>
            </w:r>
            <w:bookmarkEnd w:id="143"/>
            <w:bookmarkEnd w:id="144"/>
            <w:bookmarkEnd w:id="145"/>
            <w:bookmarkEnd w:id="146"/>
            <w:bookmarkEnd w:id="147"/>
            <w:bookmarkEnd w:id="148"/>
            <w:bookmarkEnd w:id="149"/>
            <w:bookmarkEnd w:id="150"/>
            <w:bookmarkEnd w:id="151"/>
            <w:bookmarkEnd w:id="152"/>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53" w:name="_Toc1330"/>
            <w:bookmarkStart w:id="154" w:name="_Toc20820"/>
            <w:bookmarkStart w:id="155" w:name="_Toc1912"/>
            <w:bookmarkStart w:id="156" w:name="_Toc17296"/>
            <w:bookmarkStart w:id="157" w:name="_Toc5563"/>
            <w:bookmarkStart w:id="158" w:name="_Toc5992"/>
            <w:bookmarkStart w:id="159" w:name="_Toc17642"/>
            <w:bookmarkStart w:id="160" w:name="_Toc3701"/>
            <w:bookmarkStart w:id="161" w:name="_Toc20139"/>
            <w:bookmarkStart w:id="162" w:name="_Toc27185"/>
            <w:r>
              <w:rPr>
                <w:rFonts w:hint="eastAsia" w:ascii="宋体" w:hAnsi="宋体" w:eastAsia="宋体" w:cs="Times New Roman"/>
                <w:color w:val="auto"/>
                <w:sz w:val="21"/>
                <w:szCs w:val="21"/>
                <w:highlight w:val="none"/>
              </w:rPr>
              <w:t>页码范围</w:t>
            </w:r>
            <w:bookmarkEnd w:id="153"/>
            <w:bookmarkEnd w:id="154"/>
            <w:bookmarkEnd w:id="155"/>
            <w:bookmarkEnd w:id="156"/>
            <w:bookmarkEnd w:id="157"/>
            <w:bookmarkEnd w:id="158"/>
            <w:bookmarkEnd w:id="159"/>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35"/>
        <w:spacing w:after="0" w:line="360" w:lineRule="auto"/>
        <w:rPr>
          <w:rFonts w:ascii="宋体" w:hAnsi="宋体" w:eastAsia="宋体"/>
          <w:color w:val="auto"/>
          <w:sz w:val="21"/>
          <w:szCs w:val="21"/>
          <w:highlight w:val="none"/>
        </w:rPr>
      </w:pPr>
    </w:p>
    <w:p>
      <w:pPr>
        <w:pStyle w:val="35"/>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3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5"/>
        <w:numPr>
          <w:ilvl w:val="0"/>
          <w:numId w:val="35"/>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5"/>
        <w:numPr>
          <w:ilvl w:val="0"/>
          <w:numId w:val="3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5"/>
        <w:numPr>
          <w:ilvl w:val="0"/>
          <w:numId w:val="3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5"/>
        <w:numPr>
          <w:ilvl w:val="0"/>
          <w:numId w:val="35"/>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63" w:name="_Toc27674"/>
      <w:r>
        <w:rPr>
          <w:rFonts w:hint="eastAsia" w:ascii="宋体" w:hAnsi="宋体" w:eastAsia="宋体"/>
          <w:color w:val="auto"/>
          <w:sz w:val="21"/>
          <w:szCs w:val="21"/>
          <w:highlight w:val="none"/>
        </w:rPr>
        <w:t>附件13.业绩表</w:t>
      </w:r>
      <w:bookmarkEnd w:id="163"/>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5"/>
        <w:spacing w:after="0"/>
        <w:rPr>
          <w:rFonts w:ascii="宋体" w:hAnsi="宋体" w:eastAsia="宋体"/>
          <w:color w:val="auto"/>
          <w:sz w:val="21"/>
          <w:szCs w:val="21"/>
          <w:highlight w:val="none"/>
        </w:rPr>
      </w:pPr>
    </w:p>
    <w:p>
      <w:pPr>
        <w:pStyle w:val="35"/>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36"/>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5"/>
        <w:numPr>
          <w:ilvl w:val="0"/>
          <w:numId w:val="36"/>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5"/>
        <w:numPr>
          <w:ilvl w:val="0"/>
          <w:numId w:val="36"/>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64" w:name="_Toc7860"/>
      <w:r>
        <w:rPr>
          <w:rFonts w:hint="eastAsia" w:ascii="宋体" w:hAnsi="宋体" w:eastAsia="宋体"/>
          <w:color w:val="auto"/>
          <w:sz w:val="21"/>
          <w:szCs w:val="21"/>
          <w:highlight w:val="none"/>
        </w:rPr>
        <w:t>附件14. 项目实施方案格式</w:t>
      </w:r>
      <w:bookmarkEnd w:id="16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65" w:name="_Toc8596"/>
      <w:r>
        <w:rPr>
          <w:rFonts w:hint="eastAsia" w:ascii="宋体" w:hAnsi="宋体" w:eastAsia="宋体"/>
          <w:color w:val="auto"/>
          <w:sz w:val="21"/>
          <w:szCs w:val="21"/>
          <w:highlight w:val="none"/>
        </w:rPr>
        <w:t>附件15. 实施本项目的有关人员资料表格式</w:t>
      </w:r>
      <w:bookmarkEnd w:id="165"/>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6"/>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5"/>
        <w:numPr>
          <w:ilvl w:val="0"/>
          <w:numId w:val="3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35"/>
        <w:numPr>
          <w:ilvl w:val="0"/>
          <w:numId w:val="37"/>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5"/>
        <w:numPr>
          <w:ilvl w:val="0"/>
          <w:numId w:val="37"/>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66" w:name="_Toc21598"/>
      <w:r>
        <w:rPr>
          <w:rFonts w:hint="eastAsia" w:ascii="宋体" w:hAnsi="宋体" w:eastAsia="宋体"/>
          <w:color w:val="auto"/>
          <w:sz w:val="21"/>
          <w:szCs w:val="21"/>
          <w:highlight w:val="none"/>
        </w:rPr>
        <w:t>附件16.投标货物说明一览表格式</w:t>
      </w:r>
      <w:bookmarkEnd w:id="166"/>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67" w:name="_Toc10094"/>
      <w:bookmarkStart w:id="168" w:name="_Toc417907703"/>
      <w:bookmarkStart w:id="169" w:name="_Toc21223"/>
      <w:r>
        <w:rPr>
          <w:rFonts w:hint="eastAsia" w:ascii="宋体" w:hAnsi="宋体" w:eastAsia="宋体"/>
          <w:color w:val="auto"/>
          <w:sz w:val="21"/>
          <w:szCs w:val="21"/>
          <w:highlight w:val="none"/>
        </w:rPr>
        <w:t>附件17.在经营活动中没有重大违法记录的书面声明格式</w:t>
      </w:r>
      <w:bookmarkEnd w:id="16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68"/>
      <w:bookmarkEnd w:id="169"/>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2"/>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13"/>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13"/>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13"/>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2"/>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13"/>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13"/>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13"/>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13"/>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rPr>
        <w:t>2、若投标人属于《政府采购促进中小企业发展管理办法》的通知（财库〔2020〕46号）的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70" w:name="_Toc28081"/>
      <w:r>
        <w:rPr>
          <w:rFonts w:hint="eastAsia" w:ascii="宋体" w:hAnsi="宋体" w:eastAsia="宋体"/>
          <w:color w:val="auto"/>
          <w:sz w:val="21"/>
          <w:szCs w:val="21"/>
          <w:highlight w:val="none"/>
        </w:rPr>
        <w:t>附件19.《残疾人福利性单位声明函》（残疾人福利性单位适用）</w:t>
      </w:r>
      <w:bookmarkEnd w:id="170"/>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71" w:name="_Toc508960153"/>
      <w:bookmarkStart w:id="172" w:name="_Toc509479530"/>
      <w:bookmarkStart w:id="173" w:name="_Toc22970"/>
      <w:bookmarkStart w:id="174" w:name="_Toc509844825"/>
      <w:bookmarkStart w:id="175" w:name="_Toc30247"/>
      <w:bookmarkStart w:id="176" w:name="_Toc509927455"/>
      <w:bookmarkStart w:id="177" w:name="_Toc20910"/>
      <w:bookmarkStart w:id="178" w:name="_Toc17761"/>
      <w:bookmarkStart w:id="179" w:name="_Toc510171693"/>
      <w:bookmarkStart w:id="180" w:name="_Toc30277"/>
      <w:bookmarkStart w:id="181" w:name="_Toc508958703"/>
      <w:bookmarkStart w:id="182" w:name="_Toc508898066"/>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71"/>
      <w:bookmarkEnd w:id="172"/>
      <w:bookmarkEnd w:id="173"/>
      <w:bookmarkEnd w:id="174"/>
      <w:bookmarkEnd w:id="175"/>
      <w:bookmarkEnd w:id="176"/>
      <w:bookmarkEnd w:id="177"/>
      <w:bookmarkEnd w:id="178"/>
      <w:bookmarkEnd w:id="179"/>
      <w:bookmarkEnd w:id="180"/>
      <w:bookmarkEnd w:id="181"/>
      <w:bookmarkEnd w:id="182"/>
    </w:p>
    <w:p>
      <w:pPr>
        <w:pStyle w:val="13"/>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83" w:name="_Toc508960154"/>
      <w:bookmarkStart w:id="184" w:name="_Toc508898067"/>
      <w:bookmarkStart w:id="185" w:name="_Toc5447"/>
      <w:bookmarkStart w:id="186" w:name="_Toc31520"/>
      <w:bookmarkStart w:id="187" w:name="_Toc21053"/>
      <w:bookmarkStart w:id="188" w:name="_Toc510171694"/>
      <w:bookmarkStart w:id="189" w:name="_Toc509479531"/>
      <w:bookmarkStart w:id="190" w:name="_Toc28527"/>
      <w:bookmarkStart w:id="191" w:name="_Toc26216"/>
      <w:bookmarkStart w:id="192" w:name="_Toc508958704"/>
      <w:bookmarkStart w:id="193" w:name="_Toc509844826"/>
      <w:bookmarkStart w:id="194" w:name="_Toc50992745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508898068"/>
      <w:bookmarkStart w:id="196" w:name="_Toc510171695"/>
      <w:bookmarkStart w:id="197" w:name="_Toc9148"/>
      <w:bookmarkStart w:id="198" w:name="_Toc28126"/>
      <w:bookmarkStart w:id="199" w:name="_Toc509844827"/>
      <w:bookmarkStart w:id="200" w:name="_Toc14653"/>
      <w:bookmarkStart w:id="201" w:name="_Toc509479532"/>
      <w:bookmarkStart w:id="202" w:name="_Toc24848"/>
      <w:bookmarkStart w:id="203" w:name="_Toc509927457"/>
      <w:bookmarkStart w:id="204" w:name="_Toc508960155"/>
      <w:bookmarkStart w:id="205" w:name="_Toc28626"/>
      <w:bookmarkStart w:id="206" w:name="_Toc50895870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508898069"/>
      <w:bookmarkStart w:id="208" w:name="_Toc22981"/>
      <w:bookmarkStart w:id="209" w:name="_Toc508958706"/>
      <w:bookmarkStart w:id="210" w:name="_Toc28044"/>
      <w:bookmarkStart w:id="211" w:name="_Toc509927458"/>
      <w:bookmarkStart w:id="212" w:name="_Toc509479533"/>
      <w:bookmarkStart w:id="213" w:name="_Toc510171696"/>
      <w:bookmarkStart w:id="214" w:name="_Toc509844828"/>
      <w:bookmarkStart w:id="215" w:name="_Toc28686"/>
      <w:bookmarkStart w:id="216" w:name="_Toc7858"/>
      <w:bookmarkStart w:id="217" w:name="_Toc508960156"/>
      <w:bookmarkStart w:id="218" w:name="_Toc9837"/>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07"/>
      <w:bookmarkEnd w:id="208"/>
      <w:bookmarkEnd w:id="209"/>
      <w:bookmarkEnd w:id="210"/>
      <w:bookmarkEnd w:id="211"/>
      <w:bookmarkEnd w:id="212"/>
      <w:bookmarkEnd w:id="213"/>
      <w:bookmarkEnd w:id="214"/>
      <w:bookmarkEnd w:id="215"/>
      <w:bookmarkEnd w:id="216"/>
      <w:bookmarkEnd w:id="217"/>
      <w:bookmarkEnd w:id="218"/>
    </w:p>
    <w:p>
      <w:pPr>
        <w:spacing w:after="0" w:line="480" w:lineRule="auto"/>
        <w:ind w:firstLine="420" w:firstLineChars="200"/>
        <w:rPr>
          <w:rFonts w:ascii="宋体" w:hAnsi="宋体" w:eastAsia="宋体"/>
          <w:color w:val="auto"/>
          <w:sz w:val="21"/>
          <w:szCs w:val="21"/>
          <w:highlight w:val="none"/>
        </w:rPr>
      </w:pPr>
      <w:bookmarkStart w:id="219" w:name="_Toc508958707"/>
      <w:bookmarkStart w:id="220" w:name="_Toc18843"/>
      <w:bookmarkStart w:id="221" w:name="_Toc508960157"/>
      <w:bookmarkStart w:id="222" w:name="_Toc5289"/>
      <w:bookmarkStart w:id="223" w:name="_Toc509844829"/>
      <w:bookmarkStart w:id="224" w:name="_Toc508898070"/>
      <w:bookmarkStart w:id="225" w:name="_Toc509479534"/>
      <w:bookmarkStart w:id="226" w:name="_Toc509927459"/>
      <w:bookmarkStart w:id="227" w:name="_Toc51017169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19"/>
      <w:bookmarkEnd w:id="220"/>
      <w:bookmarkEnd w:id="221"/>
      <w:bookmarkEnd w:id="222"/>
      <w:bookmarkEnd w:id="223"/>
      <w:bookmarkEnd w:id="224"/>
      <w:bookmarkEnd w:id="225"/>
      <w:bookmarkEnd w:id="226"/>
      <w:bookmarkEnd w:id="227"/>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28" w:name="_Toc25634"/>
      <w:r>
        <w:rPr>
          <w:rFonts w:hint="eastAsia" w:ascii="宋体" w:hAnsi="宋体" w:eastAsia="宋体"/>
          <w:color w:val="auto"/>
          <w:sz w:val="21"/>
          <w:szCs w:val="21"/>
          <w:highlight w:val="none"/>
        </w:rPr>
        <w:t>附件20. 投标保证金汇入情况说明格式</w:t>
      </w:r>
      <w:bookmarkEnd w:id="228"/>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6"/>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229" w:name="_Toc4363"/>
      <w:r>
        <w:rPr>
          <w:rFonts w:hint="eastAsia" w:ascii="宋体" w:hAnsi="宋体" w:eastAsia="宋体"/>
          <w:color w:val="auto"/>
          <w:sz w:val="21"/>
          <w:szCs w:val="21"/>
          <w:highlight w:val="none"/>
        </w:rPr>
        <w:t>附件21.政府采购投标担保函</w:t>
      </w:r>
      <w:bookmarkEnd w:id="229"/>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30" w:name="_Toc27534"/>
      <w:r>
        <w:rPr>
          <w:rStyle w:val="36"/>
          <w:rFonts w:hint="eastAsia" w:ascii="宋体" w:hAnsi="宋体" w:eastAsia="宋体" w:cs="宋体"/>
          <w:color w:val="auto"/>
          <w:sz w:val="21"/>
          <w:szCs w:val="21"/>
          <w:highlight w:val="none"/>
        </w:rPr>
        <w:t>附件22.政府采购履约担保函</w:t>
      </w:r>
      <w:bookmarkEnd w:id="230"/>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13"/>
        <w:rPr>
          <w:color w:val="auto"/>
          <w:highlight w:val="none"/>
        </w:rPr>
      </w:pPr>
    </w:p>
    <w:p>
      <w:pPr>
        <w:spacing w:after="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5"/>
        <w:spacing w:before="0" w:after="0" w:line="240" w:lineRule="auto"/>
        <w:rPr>
          <w:rFonts w:ascii="宋体" w:hAnsi="宋体" w:eastAsia="宋体" w:cs="宋体"/>
          <w:color w:val="auto"/>
          <w:sz w:val="21"/>
          <w:szCs w:val="21"/>
          <w:highlight w:val="none"/>
        </w:rPr>
      </w:pPr>
      <w:bookmarkStart w:id="231" w:name="_Toc17023"/>
      <w:r>
        <w:rPr>
          <w:rFonts w:hint="eastAsia" w:ascii="宋体" w:hAnsi="宋体" w:eastAsia="宋体" w:cs="宋体"/>
          <w:color w:val="auto"/>
          <w:sz w:val="21"/>
          <w:szCs w:val="21"/>
          <w:highlight w:val="none"/>
        </w:rPr>
        <w:t>附件23.获取招标文件登记表</w:t>
      </w:r>
      <w:bookmarkEnd w:id="231"/>
    </w:p>
    <w:p>
      <w:pPr>
        <w:spacing w:after="0"/>
        <w:jc w:val="center"/>
        <w:rPr>
          <w:rFonts w:ascii="黑体" w:hAnsi="宋体"/>
          <w:color w:val="auto"/>
          <w:sz w:val="44"/>
          <w:szCs w:val="44"/>
          <w:highlight w:val="none"/>
        </w:rPr>
      </w:pPr>
      <w:bookmarkStart w:id="232"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32"/>
    </w:p>
    <w:tbl>
      <w:tblPr>
        <w:tblStyle w:val="27"/>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5"/>
        <w:spacing w:before="0" w:after="0" w:line="240" w:lineRule="auto"/>
        <w:rPr>
          <w:rFonts w:ascii="宋体" w:hAnsi="宋体" w:eastAsia="宋体" w:cs="宋体"/>
          <w:color w:val="auto"/>
          <w:sz w:val="21"/>
          <w:szCs w:val="21"/>
          <w:highlight w:val="none"/>
        </w:rPr>
      </w:pPr>
      <w:bookmarkStart w:id="233" w:name="_Toc11182"/>
      <w:r>
        <w:rPr>
          <w:rFonts w:hint="eastAsia" w:ascii="宋体" w:hAnsi="宋体" w:eastAsia="宋体" w:cs="宋体"/>
          <w:color w:val="auto"/>
          <w:sz w:val="21"/>
          <w:szCs w:val="21"/>
          <w:highlight w:val="none"/>
        </w:rPr>
        <w:t>附件 24.质疑函范本</w:t>
      </w:r>
      <w:bookmarkEnd w:id="233"/>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13"/>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8" w:type="first"/>
      <w:footerReference r:id="rId7" w:type="default"/>
      <w:pgSz w:w="11906" w:h="16838"/>
      <w:pgMar w:top="1440" w:right="1800" w:bottom="1440" w:left="1800" w:header="708" w:footer="708" w:gutter="0"/>
      <w:pgNumType w:fmt="decimal"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22"/>
      </w:pPr>
      <w:r>
        <w:rPr>
          <w:rStyle w:val="32"/>
        </w:rPr>
        <w:footnoteRef/>
      </w:r>
      <w:r>
        <w:t xml:space="preserve"> </w:t>
      </w:r>
      <w:r>
        <w:rPr>
          <w:rFonts w:hint="eastAsia"/>
        </w:rPr>
        <w:t>从业人员、营业人员、资产总额填报上一年度数据，无上一年度数据的新成立企业可不填报。</w:t>
      </w:r>
    </w:p>
  </w:footnote>
  <w:footnote w:id="1">
    <w:p>
      <w:pPr>
        <w:pStyle w:val="22"/>
      </w:pPr>
      <w:r>
        <w:rPr>
          <w:rStyle w:val="32"/>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DED1D999"/>
    <w:multiLevelType w:val="singleLevel"/>
    <w:tmpl w:val="DED1D999"/>
    <w:lvl w:ilvl="0" w:tentative="0">
      <w:start w:val="1"/>
      <w:numFmt w:val="decimal"/>
      <w:lvlText w:val="%1."/>
      <w:lvlJc w:val="left"/>
      <w:pPr>
        <w:tabs>
          <w:tab w:val="left" w:pos="312"/>
        </w:tabs>
      </w:pPr>
    </w:lvl>
  </w:abstractNum>
  <w:abstractNum w:abstractNumId="5">
    <w:nsid w:val="E09EF6E1"/>
    <w:multiLevelType w:val="singleLevel"/>
    <w:tmpl w:val="E09EF6E1"/>
    <w:lvl w:ilvl="0" w:tentative="0">
      <w:start w:val="1"/>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2505F54"/>
    <w:multiLevelType w:val="multilevel"/>
    <w:tmpl w:val="02505F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F06731"/>
    <w:multiLevelType w:val="multilevel"/>
    <w:tmpl w:val="02F06731"/>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FD309A"/>
    <w:multiLevelType w:val="multilevel"/>
    <w:tmpl w:val="07FD309A"/>
    <w:lvl w:ilvl="0" w:tentative="0">
      <w:start w:val="1"/>
      <w:numFmt w:val="decimal"/>
      <w:lvlText w:val="%1）"/>
      <w:lvlJc w:val="left"/>
      <w:pPr>
        <w:ind w:left="619" w:hanging="420"/>
      </w:pPr>
      <w:rPr>
        <w:rFonts w:hint="default" w:ascii="Times New Roman" w:hAnsi="Times New Roman" w:eastAsia="宋体" w:cs="Times New Roman"/>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11">
    <w:nsid w:val="0CC1074B"/>
    <w:multiLevelType w:val="multilevel"/>
    <w:tmpl w:val="0CC1074B"/>
    <w:lvl w:ilvl="0" w:tentative="0">
      <w:start w:val="1"/>
      <w:numFmt w:val="decimal"/>
      <w:lvlText w:val="%1）"/>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E340DE8"/>
    <w:multiLevelType w:val="multilevel"/>
    <w:tmpl w:val="0E340D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6F0BF5"/>
    <w:multiLevelType w:val="multilevel"/>
    <w:tmpl w:val="116F0BF5"/>
    <w:lvl w:ilvl="0" w:tentative="0">
      <w:start w:val="1"/>
      <w:numFmt w:val="decimal"/>
      <w:lvlText w:val="3.%1."/>
      <w:lvlJc w:val="left"/>
      <w:pPr>
        <w:ind w:left="420" w:hanging="420"/>
      </w:pPr>
      <w:rPr>
        <w:rFonts w:hint="default" w:ascii="Times New Roman" w:hAnsi="Times New Roman" w:eastAsia="宋体" w:cs="Times New Roman"/>
        <w:spacing w:val="0"/>
        <w:w w:val="10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171A764D"/>
    <w:multiLevelType w:val="multilevel"/>
    <w:tmpl w:val="171A76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913C2A"/>
    <w:multiLevelType w:val="multilevel"/>
    <w:tmpl w:val="1F913C2A"/>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064432"/>
    <w:multiLevelType w:val="multilevel"/>
    <w:tmpl w:val="20064432"/>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06CABF7"/>
    <w:multiLevelType w:val="singleLevel"/>
    <w:tmpl w:val="206CABF7"/>
    <w:lvl w:ilvl="0" w:tentative="0">
      <w:start w:val="1"/>
      <w:numFmt w:val="decimal"/>
      <w:suff w:val="nothing"/>
      <w:lvlText w:val="（%1）"/>
      <w:lvlJc w:val="left"/>
    </w:lvl>
  </w:abstractNum>
  <w:abstractNum w:abstractNumId="19">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555"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D86204B"/>
    <w:multiLevelType w:val="multilevel"/>
    <w:tmpl w:val="2D86204B"/>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45C58DC"/>
    <w:multiLevelType w:val="multilevel"/>
    <w:tmpl w:val="345C58D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3F88662E"/>
    <w:multiLevelType w:val="singleLevel"/>
    <w:tmpl w:val="3F88662E"/>
    <w:lvl w:ilvl="0" w:tentative="0">
      <w:start w:val="1"/>
      <w:numFmt w:val="decimal"/>
      <w:suff w:val="space"/>
      <w:lvlText w:val="%1)"/>
      <w:lvlJc w:val="left"/>
    </w:lvl>
  </w:abstractNum>
  <w:abstractNum w:abstractNumId="23">
    <w:nsid w:val="458246C8"/>
    <w:multiLevelType w:val="multilevel"/>
    <w:tmpl w:val="458246C8"/>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5C435B5"/>
    <w:multiLevelType w:val="multilevel"/>
    <w:tmpl w:val="45C435B5"/>
    <w:lvl w:ilvl="0" w:tentative="0">
      <w:start w:val="1"/>
      <w:numFmt w:val="decimal"/>
      <w:lvlText w:val="1.%1."/>
      <w:lvlJc w:val="left"/>
      <w:pPr>
        <w:ind w:left="420" w:hanging="420"/>
      </w:pPr>
      <w:rPr>
        <w:rFonts w:hint="default" w:ascii="Times New Roman" w:hAnsi="Times New Roman" w:eastAsia="宋体" w:cs="Times New Roman"/>
        <w:spacing w:val="0"/>
        <w:w w:val="10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B0A0A69"/>
    <w:multiLevelType w:val="multilevel"/>
    <w:tmpl w:val="4B0A0A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B57080B"/>
    <w:multiLevelType w:val="multilevel"/>
    <w:tmpl w:val="4B57080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CE00545"/>
    <w:multiLevelType w:val="multilevel"/>
    <w:tmpl w:val="4CE00545"/>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4C43B2C"/>
    <w:multiLevelType w:val="multilevel"/>
    <w:tmpl w:val="54C43B2C"/>
    <w:lvl w:ilvl="0" w:tentative="0">
      <w:start w:val="1"/>
      <w:numFmt w:val="decimal"/>
      <w:lvlText w:val="%1）"/>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E49740D"/>
    <w:multiLevelType w:val="multilevel"/>
    <w:tmpl w:val="5E4974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E5521A0"/>
    <w:multiLevelType w:val="multilevel"/>
    <w:tmpl w:val="5E5521A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5814ED"/>
    <w:multiLevelType w:val="multilevel"/>
    <w:tmpl w:val="5E5814ED"/>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A253BD"/>
    <w:multiLevelType w:val="multilevel"/>
    <w:tmpl w:val="6CA253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0925689"/>
    <w:multiLevelType w:val="multilevel"/>
    <w:tmpl w:val="70925689"/>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7701405"/>
    <w:multiLevelType w:val="singleLevel"/>
    <w:tmpl w:val="77701405"/>
    <w:lvl w:ilvl="0" w:tentative="0">
      <w:start w:val="2"/>
      <w:numFmt w:val="decimal"/>
      <w:suff w:val="nothing"/>
      <w:lvlText w:val="%1、"/>
      <w:lvlJc w:val="left"/>
    </w:lvl>
  </w:abstractNum>
  <w:num w:numId="1">
    <w:abstractNumId w:val="19"/>
  </w:num>
  <w:num w:numId="2">
    <w:abstractNumId w:val="21"/>
  </w:num>
  <w:num w:numId="3">
    <w:abstractNumId w:val="36"/>
  </w:num>
  <w:num w:numId="4">
    <w:abstractNumId w:val="15"/>
  </w:num>
  <w:num w:numId="5">
    <w:abstractNumId w:val="24"/>
  </w:num>
  <w:num w:numId="6">
    <w:abstractNumId w:val="8"/>
  </w:num>
  <w:num w:numId="7">
    <w:abstractNumId w:val="31"/>
  </w:num>
  <w:num w:numId="8">
    <w:abstractNumId w:val="23"/>
  </w:num>
  <w:num w:numId="9">
    <w:abstractNumId w:val="16"/>
  </w:num>
  <w:num w:numId="10">
    <w:abstractNumId w:val="10"/>
  </w:num>
  <w:num w:numId="11">
    <w:abstractNumId w:val="13"/>
  </w:num>
  <w:num w:numId="12">
    <w:abstractNumId w:val="11"/>
  </w:num>
  <w:num w:numId="13">
    <w:abstractNumId w:val="35"/>
  </w:num>
  <w:num w:numId="14">
    <w:abstractNumId w:val="17"/>
  </w:num>
  <w:num w:numId="15">
    <w:abstractNumId w:val="20"/>
  </w:num>
  <w:num w:numId="16">
    <w:abstractNumId w:val="27"/>
  </w:num>
  <w:num w:numId="17">
    <w:abstractNumId w:val="9"/>
  </w:num>
  <w:num w:numId="18">
    <w:abstractNumId w:val="33"/>
  </w:num>
  <w:num w:numId="19">
    <w:abstractNumId w:val="28"/>
  </w:num>
  <w:num w:numId="20">
    <w:abstractNumId w:val="25"/>
  </w:num>
  <w:num w:numId="21">
    <w:abstractNumId w:val="26"/>
  </w:num>
  <w:num w:numId="22">
    <w:abstractNumId w:val="12"/>
  </w:num>
  <w:num w:numId="23">
    <w:abstractNumId w:val="34"/>
  </w:num>
  <w:num w:numId="24">
    <w:abstractNumId w:val="32"/>
  </w:num>
  <w:num w:numId="25">
    <w:abstractNumId w:val="4"/>
  </w:num>
  <w:num w:numId="26">
    <w:abstractNumId w:val="29"/>
  </w:num>
  <w:num w:numId="27">
    <w:abstractNumId w:val="14"/>
  </w:num>
  <w:num w:numId="28">
    <w:abstractNumId w:val="22"/>
  </w:num>
  <w:num w:numId="29">
    <w:abstractNumId w:val="18"/>
  </w:num>
  <w:num w:numId="30">
    <w:abstractNumId w:val="5"/>
  </w:num>
  <w:num w:numId="31">
    <w:abstractNumId w:val="6"/>
  </w:num>
  <w:num w:numId="32">
    <w:abstractNumId w:val="1"/>
  </w:num>
  <w:num w:numId="33">
    <w:abstractNumId w:val="2"/>
  </w:num>
  <w:num w:numId="34">
    <w:abstractNumId w:val="7"/>
  </w:num>
  <w:num w:numId="35">
    <w:abstractNumId w:val="0"/>
  </w:num>
  <w:num w:numId="36">
    <w:abstractNumId w:val="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462"/>
    <w:rsid w:val="000300E4"/>
    <w:rsid w:val="0003307E"/>
    <w:rsid w:val="000336BA"/>
    <w:rsid w:val="000359A1"/>
    <w:rsid w:val="00044A22"/>
    <w:rsid w:val="00046837"/>
    <w:rsid w:val="0006688D"/>
    <w:rsid w:val="0007500F"/>
    <w:rsid w:val="00076809"/>
    <w:rsid w:val="0008282E"/>
    <w:rsid w:val="00092768"/>
    <w:rsid w:val="000972BE"/>
    <w:rsid w:val="000A363F"/>
    <w:rsid w:val="000A42A8"/>
    <w:rsid w:val="000A5063"/>
    <w:rsid w:val="000A5DBD"/>
    <w:rsid w:val="000B40D5"/>
    <w:rsid w:val="000C2F1F"/>
    <w:rsid w:val="000C39BD"/>
    <w:rsid w:val="000C4524"/>
    <w:rsid w:val="000D44A6"/>
    <w:rsid w:val="000D5273"/>
    <w:rsid w:val="000F09D9"/>
    <w:rsid w:val="000F0E98"/>
    <w:rsid w:val="000F4000"/>
    <w:rsid w:val="0010130E"/>
    <w:rsid w:val="001049A5"/>
    <w:rsid w:val="001242F3"/>
    <w:rsid w:val="00134CAD"/>
    <w:rsid w:val="0013730B"/>
    <w:rsid w:val="00137853"/>
    <w:rsid w:val="00137E1C"/>
    <w:rsid w:val="00142446"/>
    <w:rsid w:val="00147012"/>
    <w:rsid w:val="00153E0B"/>
    <w:rsid w:val="00164CCA"/>
    <w:rsid w:val="00172A27"/>
    <w:rsid w:val="00173126"/>
    <w:rsid w:val="00173905"/>
    <w:rsid w:val="00173E04"/>
    <w:rsid w:val="00175D29"/>
    <w:rsid w:val="001844F4"/>
    <w:rsid w:val="00185039"/>
    <w:rsid w:val="00195D04"/>
    <w:rsid w:val="001968D2"/>
    <w:rsid w:val="001A06D8"/>
    <w:rsid w:val="001A2D42"/>
    <w:rsid w:val="001A2EF7"/>
    <w:rsid w:val="001B1D5B"/>
    <w:rsid w:val="001B41CF"/>
    <w:rsid w:val="001B5860"/>
    <w:rsid w:val="001C1135"/>
    <w:rsid w:val="001C15AE"/>
    <w:rsid w:val="001C2CB5"/>
    <w:rsid w:val="001C4661"/>
    <w:rsid w:val="001C5689"/>
    <w:rsid w:val="001C6E4B"/>
    <w:rsid w:val="001E4B08"/>
    <w:rsid w:val="001F0070"/>
    <w:rsid w:val="001F4B02"/>
    <w:rsid w:val="001F68E4"/>
    <w:rsid w:val="002065A7"/>
    <w:rsid w:val="0021149E"/>
    <w:rsid w:val="00213021"/>
    <w:rsid w:val="00216BE9"/>
    <w:rsid w:val="0022503E"/>
    <w:rsid w:val="00225BB4"/>
    <w:rsid w:val="00226313"/>
    <w:rsid w:val="00240F5F"/>
    <w:rsid w:val="002444F3"/>
    <w:rsid w:val="00244C00"/>
    <w:rsid w:val="00247AE0"/>
    <w:rsid w:val="002504F8"/>
    <w:rsid w:val="00260AC1"/>
    <w:rsid w:val="0026312D"/>
    <w:rsid w:val="0027078E"/>
    <w:rsid w:val="00272C44"/>
    <w:rsid w:val="00274359"/>
    <w:rsid w:val="00284156"/>
    <w:rsid w:val="00285619"/>
    <w:rsid w:val="00285643"/>
    <w:rsid w:val="002867A1"/>
    <w:rsid w:val="002901F8"/>
    <w:rsid w:val="002A540A"/>
    <w:rsid w:val="002B4087"/>
    <w:rsid w:val="002B5F6C"/>
    <w:rsid w:val="002C165E"/>
    <w:rsid w:val="002C6C78"/>
    <w:rsid w:val="002D1594"/>
    <w:rsid w:val="002D2E82"/>
    <w:rsid w:val="002D3F9C"/>
    <w:rsid w:val="002D503C"/>
    <w:rsid w:val="002D7E27"/>
    <w:rsid w:val="002E17E5"/>
    <w:rsid w:val="002E6B7E"/>
    <w:rsid w:val="0030669E"/>
    <w:rsid w:val="00314549"/>
    <w:rsid w:val="00320CEA"/>
    <w:rsid w:val="00323B43"/>
    <w:rsid w:val="00326831"/>
    <w:rsid w:val="003274CE"/>
    <w:rsid w:val="003430F6"/>
    <w:rsid w:val="003546E7"/>
    <w:rsid w:val="0038564C"/>
    <w:rsid w:val="00385FDA"/>
    <w:rsid w:val="00393B1D"/>
    <w:rsid w:val="003A02D3"/>
    <w:rsid w:val="003A1D97"/>
    <w:rsid w:val="003A4B40"/>
    <w:rsid w:val="003B4964"/>
    <w:rsid w:val="003B7E7C"/>
    <w:rsid w:val="003C3B19"/>
    <w:rsid w:val="003C412B"/>
    <w:rsid w:val="003C415C"/>
    <w:rsid w:val="003D36FB"/>
    <w:rsid w:val="003D37D8"/>
    <w:rsid w:val="003D6182"/>
    <w:rsid w:val="003E2B8C"/>
    <w:rsid w:val="003F4822"/>
    <w:rsid w:val="00401CC0"/>
    <w:rsid w:val="00402032"/>
    <w:rsid w:val="00410F11"/>
    <w:rsid w:val="0041742E"/>
    <w:rsid w:val="004203B9"/>
    <w:rsid w:val="00421BCF"/>
    <w:rsid w:val="004322A2"/>
    <w:rsid w:val="004358AB"/>
    <w:rsid w:val="00451EB4"/>
    <w:rsid w:val="00453AD3"/>
    <w:rsid w:val="00460B31"/>
    <w:rsid w:val="00462105"/>
    <w:rsid w:val="00463829"/>
    <w:rsid w:val="00475289"/>
    <w:rsid w:val="00475A80"/>
    <w:rsid w:val="00490B9E"/>
    <w:rsid w:val="0049529B"/>
    <w:rsid w:val="00497577"/>
    <w:rsid w:val="004A05D7"/>
    <w:rsid w:val="004A2B28"/>
    <w:rsid w:val="004A69F1"/>
    <w:rsid w:val="004B3550"/>
    <w:rsid w:val="004C19C5"/>
    <w:rsid w:val="004D51A2"/>
    <w:rsid w:val="004D5AFB"/>
    <w:rsid w:val="004D797B"/>
    <w:rsid w:val="004E04FD"/>
    <w:rsid w:val="004E3308"/>
    <w:rsid w:val="004F1BB7"/>
    <w:rsid w:val="0050759C"/>
    <w:rsid w:val="005269A9"/>
    <w:rsid w:val="0053446C"/>
    <w:rsid w:val="00546A42"/>
    <w:rsid w:val="00546AF9"/>
    <w:rsid w:val="0055408D"/>
    <w:rsid w:val="0057492D"/>
    <w:rsid w:val="00590819"/>
    <w:rsid w:val="00592795"/>
    <w:rsid w:val="00593D68"/>
    <w:rsid w:val="005A1361"/>
    <w:rsid w:val="005A208B"/>
    <w:rsid w:val="005A253A"/>
    <w:rsid w:val="005A26AD"/>
    <w:rsid w:val="005A7612"/>
    <w:rsid w:val="005C702E"/>
    <w:rsid w:val="005D01B8"/>
    <w:rsid w:val="005D066B"/>
    <w:rsid w:val="005D3C62"/>
    <w:rsid w:val="005D6E1F"/>
    <w:rsid w:val="005F573A"/>
    <w:rsid w:val="005F7EB1"/>
    <w:rsid w:val="00604B81"/>
    <w:rsid w:val="0060565A"/>
    <w:rsid w:val="00610F49"/>
    <w:rsid w:val="00613417"/>
    <w:rsid w:val="0061545F"/>
    <w:rsid w:val="006175DE"/>
    <w:rsid w:val="006215AC"/>
    <w:rsid w:val="00621821"/>
    <w:rsid w:val="00622362"/>
    <w:rsid w:val="00622497"/>
    <w:rsid w:val="00625AED"/>
    <w:rsid w:val="006276AD"/>
    <w:rsid w:val="006378D4"/>
    <w:rsid w:val="0064416A"/>
    <w:rsid w:val="0065365D"/>
    <w:rsid w:val="0065543F"/>
    <w:rsid w:val="006578CD"/>
    <w:rsid w:val="00663DAD"/>
    <w:rsid w:val="00664F6B"/>
    <w:rsid w:val="006731D2"/>
    <w:rsid w:val="00682986"/>
    <w:rsid w:val="006913C9"/>
    <w:rsid w:val="00691701"/>
    <w:rsid w:val="00691AE0"/>
    <w:rsid w:val="0069491E"/>
    <w:rsid w:val="006A019F"/>
    <w:rsid w:val="006B7878"/>
    <w:rsid w:val="006C14BD"/>
    <w:rsid w:val="006C28E5"/>
    <w:rsid w:val="006D08E0"/>
    <w:rsid w:val="006D1BA8"/>
    <w:rsid w:val="006D393E"/>
    <w:rsid w:val="006D4AD8"/>
    <w:rsid w:val="006D6AAE"/>
    <w:rsid w:val="006E0B58"/>
    <w:rsid w:val="006E0C4B"/>
    <w:rsid w:val="006F148C"/>
    <w:rsid w:val="007110BA"/>
    <w:rsid w:val="00711465"/>
    <w:rsid w:val="0072310A"/>
    <w:rsid w:val="00723B11"/>
    <w:rsid w:val="007343A7"/>
    <w:rsid w:val="00734BB2"/>
    <w:rsid w:val="0075028E"/>
    <w:rsid w:val="007608B9"/>
    <w:rsid w:val="00761AAB"/>
    <w:rsid w:val="007724B4"/>
    <w:rsid w:val="007818FB"/>
    <w:rsid w:val="00790940"/>
    <w:rsid w:val="007916E7"/>
    <w:rsid w:val="00794ED3"/>
    <w:rsid w:val="00797C5D"/>
    <w:rsid w:val="00797D2F"/>
    <w:rsid w:val="007A1091"/>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7F7CA8"/>
    <w:rsid w:val="00806380"/>
    <w:rsid w:val="008079A2"/>
    <w:rsid w:val="0081104F"/>
    <w:rsid w:val="0081449D"/>
    <w:rsid w:val="00817A7C"/>
    <w:rsid w:val="00822299"/>
    <w:rsid w:val="00833E43"/>
    <w:rsid w:val="0083486A"/>
    <w:rsid w:val="00841378"/>
    <w:rsid w:val="00842B87"/>
    <w:rsid w:val="00845BEB"/>
    <w:rsid w:val="008472E6"/>
    <w:rsid w:val="00851D17"/>
    <w:rsid w:val="00853463"/>
    <w:rsid w:val="0086026F"/>
    <w:rsid w:val="008640F5"/>
    <w:rsid w:val="00865C9F"/>
    <w:rsid w:val="008707B1"/>
    <w:rsid w:val="00884B96"/>
    <w:rsid w:val="008907DA"/>
    <w:rsid w:val="008A0587"/>
    <w:rsid w:val="008B7726"/>
    <w:rsid w:val="008D0742"/>
    <w:rsid w:val="008D429E"/>
    <w:rsid w:val="008D5A10"/>
    <w:rsid w:val="008E319F"/>
    <w:rsid w:val="008E4452"/>
    <w:rsid w:val="008E619C"/>
    <w:rsid w:val="008F5B95"/>
    <w:rsid w:val="008F6E0E"/>
    <w:rsid w:val="008F79E1"/>
    <w:rsid w:val="0090129D"/>
    <w:rsid w:val="009034D4"/>
    <w:rsid w:val="00906F49"/>
    <w:rsid w:val="0090712D"/>
    <w:rsid w:val="009108BB"/>
    <w:rsid w:val="00914604"/>
    <w:rsid w:val="0091719D"/>
    <w:rsid w:val="00917D02"/>
    <w:rsid w:val="00923533"/>
    <w:rsid w:val="00930A38"/>
    <w:rsid w:val="00934170"/>
    <w:rsid w:val="00942948"/>
    <w:rsid w:val="009474B5"/>
    <w:rsid w:val="00971DCB"/>
    <w:rsid w:val="00972D86"/>
    <w:rsid w:val="009736BF"/>
    <w:rsid w:val="0097392B"/>
    <w:rsid w:val="00976066"/>
    <w:rsid w:val="00980A66"/>
    <w:rsid w:val="009904F7"/>
    <w:rsid w:val="009910F6"/>
    <w:rsid w:val="0099348C"/>
    <w:rsid w:val="009A7058"/>
    <w:rsid w:val="009C1A04"/>
    <w:rsid w:val="009C2E4A"/>
    <w:rsid w:val="009C6AD9"/>
    <w:rsid w:val="009D55C3"/>
    <w:rsid w:val="009E398C"/>
    <w:rsid w:val="009E6F05"/>
    <w:rsid w:val="009F5C5C"/>
    <w:rsid w:val="00A026F6"/>
    <w:rsid w:val="00A047B9"/>
    <w:rsid w:val="00A10906"/>
    <w:rsid w:val="00A14EEF"/>
    <w:rsid w:val="00A25E78"/>
    <w:rsid w:val="00A312F8"/>
    <w:rsid w:val="00A61230"/>
    <w:rsid w:val="00A642CC"/>
    <w:rsid w:val="00A76EA1"/>
    <w:rsid w:val="00A813C5"/>
    <w:rsid w:val="00A824E6"/>
    <w:rsid w:val="00A858DC"/>
    <w:rsid w:val="00A94D14"/>
    <w:rsid w:val="00AA650D"/>
    <w:rsid w:val="00AB19CE"/>
    <w:rsid w:val="00AB3969"/>
    <w:rsid w:val="00AC187B"/>
    <w:rsid w:val="00AC5C21"/>
    <w:rsid w:val="00AE310E"/>
    <w:rsid w:val="00AE4FC5"/>
    <w:rsid w:val="00AF5F1F"/>
    <w:rsid w:val="00B027A4"/>
    <w:rsid w:val="00B16757"/>
    <w:rsid w:val="00B236B3"/>
    <w:rsid w:val="00B26534"/>
    <w:rsid w:val="00B26806"/>
    <w:rsid w:val="00B31B24"/>
    <w:rsid w:val="00B4287F"/>
    <w:rsid w:val="00B4315F"/>
    <w:rsid w:val="00B60DAB"/>
    <w:rsid w:val="00B7194E"/>
    <w:rsid w:val="00B763B0"/>
    <w:rsid w:val="00B86628"/>
    <w:rsid w:val="00B93045"/>
    <w:rsid w:val="00BA4130"/>
    <w:rsid w:val="00BB00F5"/>
    <w:rsid w:val="00BB2CAF"/>
    <w:rsid w:val="00BC1902"/>
    <w:rsid w:val="00BC3E74"/>
    <w:rsid w:val="00BD0E73"/>
    <w:rsid w:val="00BD630F"/>
    <w:rsid w:val="00BD7C1B"/>
    <w:rsid w:val="00BE2254"/>
    <w:rsid w:val="00BF17FD"/>
    <w:rsid w:val="00BF41D4"/>
    <w:rsid w:val="00BF5AFB"/>
    <w:rsid w:val="00C05272"/>
    <w:rsid w:val="00C16734"/>
    <w:rsid w:val="00C17B47"/>
    <w:rsid w:val="00C25C77"/>
    <w:rsid w:val="00C303E7"/>
    <w:rsid w:val="00C319C2"/>
    <w:rsid w:val="00C465A1"/>
    <w:rsid w:val="00C62DC1"/>
    <w:rsid w:val="00C62E44"/>
    <w:rsid w:val="00C63BD8"/>
    <w:rsid w:val="00C65954"/>
    <w:rsid w:val="00C67BFD"/>
    <w:rsid w:val="00C7126B"/>
    <w:rsid w:val="00C72C24"/>
    <w:rsid w:val="00C73468"/>
    <w:rsid w:val="00C80EC4"/>
    <w:rsid w:val="00C834BA"/>
    <w:rsid w:val="00C8568E"/>
    <w:rsid w:val="00CB7EF0"/>
    <w:rsid w:val="00CC584A"/>
    <w:rsid w:val="00CC5E4E"/>
    <w:rsid w:val="00CC709B"/>
    <w:rsid w:val="00CD0979"/>
    <w:rsid w:val="00CD0EAB"/>
    <w:rsid w:val="00CE2AF3"/>
    <w:rsid w:val="00CE621D"/>
    <w:rsid w:val="00CE66E8"/>
    <w:rsid w:val="00D01EC8"/>
    <w:rsid w:val="00D0359C"/>
    <w:rsid w:val="00D04618"/>
    <w:rsid w:val="00D05388"/>
    <w:rsid w:val="00D114CD"/>
    <w:rsid w:val="00D11571"/>
    <w:rsid w:val="00D14476"/>
    <w:rsid w:val="00D232FF"/>
    <w:rsid w:val="00D279AA"/>
    <w:rsid w:val="00D34544"/>
    <w:rsid w:val="00D44A97"/>
    <w:rsid w:val="00D45C0C"/>
    <w:rsid w:val="00D508A5"/>
    <w:rsid w:val="00D5104B"/>
    <w:rsid w:val="00D555D8"/>
    <w:rsid w:val="00D57DC0"/>
    <w:rsid w:val="00D60778"/>
    <w:rsid w:val="00D64D28"/>
    <w:rsid w:val="00D6604D"/>
    <w:rsid w:val="00D677F1"/>
    <w:rsid w:val="00D74601"/>
    <w:rsid w:val="00D83E46"/>
    <w:rsid w:val="00D847B6"/>
    <w:rsid w:val="00DA6169"/>
    <w:rsid w:val="00DB11C3"/>
    <w:rsid w:val="00DB5480"/>
    <w:rsid w:val="00DB6317"/>
    <w:rsid w:val="00DC1D5B"/>
    <w:rsid w:val="00DC5AD9"/>
    <w:rsid w:val="00DC691F"/>
    <w:rsid w:val="00DD02DE"/>
    <w:rsid w:val="00DD07B7"/>
    <w:rsid w:val="00DD113C"/>
    <w:rsid w:val="00DE0BEB"/>
    <w:rsid w:val="00DE4856"/>
    <w:rsid w:val="00DF485B"/>
    <w:rsid w:val="00E21B77"/>
    <w:rsid w:val="00E25D9D"/>
    <w:rsid w:val="00E40CAD"/>
    <w:rsid w:val="00E44530"/>
    <w:rsid w:val="00E57546"/>
    <w:rsid w:val="00E61D2E"/>
    <w:rsid w:val="00E62B7F"/>
    <w:rsid w:val="00E64D0E"/>
    <w:rsid w:val="00E726BC"/>
    <w:rsid w:val="00E72821"/>
    <w:rsid w:val="00E73B95"/>
    <w:rsid w:val="00E81DDC"/>
    <w:rsid w:val="00E81F67"/>
    <w:rsid w:val="00E83650"/>
    <w:rsid w:val="00E83A31"/>
    <w:rsid w:val="00E93913"/>
    <w:rsid w:val="00E93E51"/>
    <w:rsid w:val="00E97CC0"/>
    <w:rsid w:val="00EA2524"/>
    <w:rsid w:val="00EB41B2"/>
    <w:rsid w:val="00EB5850"/>
    <w:rsid w:val="00EC092D"/>
    <w:rsid w:val="00EC0DF8"/>
    <w:rsid w:val="00ED378B"/>
    <w:rsid w:val="00EE08F9"/>
    <w:rsid w:val="00EE220F"/>
    <w:rsid w:val="00EE58D6"/>
    <w:rsid w:val="00EE5B3F"/>
    <w:rsid w:val="00EF2EA6"/>
    <w:rsid w:val="00EF728A"/>
    <w:rsid w:val="00EF7D0D"/>
    <w:rsid w:val="00F00FF7"/>
    <w:rsid w:val="00F02093"/>
    <w:rsid w:val="00F068E3"/>
    <w:rsid w:val="00F10B5F"/>
    <w:rsid w:val="00F218C1"/>
    <w:rsid w:val="00F321EB"/>
    <w:rsid w:val="00F346CF"/>
    <w:rsid w:val="00F3610C"/>
    <w:rsid w:val="00F46B19"/>
    <w:rsid w:val="00F51A68"/>
    <w:rsid w:val="00F52A5F"/>
    <w:rsid w:val="00F52FD5"/>
    <w:rsid w:val="00F5410D"/>
    <w:rsid w:val="00F55954"/>
    <w:rsid w:val="00F56902"/>
    <w:rsid w:val="00F61962"/>
    <w:rsid w:val="00F62865"/>
    <w:rsid w:val="00F64022"/>
    <w:rsid w:val="00F64660"/>
    <w:rsid w:val="00F67677"/>
    <w:rsid w:val="00F97062"/>
    <w:rsid w:val="00F9745D"/>
    <w:rsid w:val="00FC7B53"/>
    <w:rsid w:val="00FD12EC"/>
    <w:rsid w:val="00FD48CC"/>
    <w:rsid w:val="00FE62D1"/>
    <w:rsid w:val="00FF1540"/>
    <w:rsid w:val="00FF26BF"/>
    <w:rsid w:val="018023CE"/>
    <w:rsid w:val="01881AD6"/>
    <w:rsid w:val="01B938AA"/>
    <w:rsid w:val="02126CDB"/>
    <w:rsid w:val="021832B7"/>
    <w:rsid w:val="024E2E49"/>
    <w:rsid w:val="02A741FD"/>
    <w:rsid w:val="02C16E5D"/>
    <w:rsid w:val="02D964CF"/>
    <w:rsid w:val="0340787C"/>
    <w:rsid w:val="03707410"/>
    <w:rsid w:val="037E53F3"/>
    <w:rsid w:val="037F03E3"/>
    <w:rsid w:val="038A17B6"/>
    <w:rsid w:val="03947F97"/>
    <w:rsid w:val="03A0770F"/>
    <w:rsid w:val="03A27BF9"/>
    <w:rsid w:val="03A448B8"/>
    <w:rsid w:val="03AD071E"/>
    <w:rsid w:val="04DF1036"/>
    <w:rsid w:val="05A97DEC"/>
    <w:rsid w:val="05C81981"/>
    <w:rsid w:val="05FE0158"/>
    <w:rsid w:val="06BC41F2"/>
    <w:rsid w:val="07197D08"/>
    <w:rsid w:val="071C2CFD"/>
    <w:rsid w:val="071E5C55"/>
    <w:rsid w:val="073F7319"/>
    <w:rsid w:val="07595F41"/>
    <w:rsid w:val="07615EC0"/>
    <w:rsid w:val="077005AB"/>
    <w:rsid w:val="078F4581"/>
    <w:rsid w:val="07995C5E"/>
    <w:rsid w:val="07BE179A"/>
    <w:rsid w:val="07BF027F"/>
    <w:rsid w:val="08031A31"/>
    <w:rsid w:val="081A5CC7"/>
    <w:rsid w:val="085B265A"/>
    <w:rsid w:val="08A276E5"/>
    <w:rsid w:val="09061A75"/>
    <w:rsid w:val="09182241"/>
    <w:rsid w:val="093C069F"/>
    <w:rsid w:val="09461C94"/>
    <w:rsid w:val="09855177"/>
    <w:rsid w:val="09870F93"/>
    <w:rsid w:val="09F1637C"/>
    <w:rsid w:val="0A25628F"/>
    <w:rsid w:val="0AA534D5"/>
    <w:rsid w:val="0AA650EB"/>
    <w:rsid w:val="0AB8066A"/>
    <w:rsid w:val="0AF47339"/>
    <w:rsid w:val="0B164B10"/>
    <w:rsid w:val="0B22594B"/>
    <w:rsid w:val="0B3F1841"/>
    <w:rsid w:val="0B9A0B03"/>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4A310F"/>
    <w:rsid w:val="11DA73AF"/>
    <w:rsid w:val="124D03D1"/>
    <w:rsid w:val="12C60D80"/>
    <w:rsid w:val="131F7A3A"/>
    <w:rsid w:val="132645D0"/>
    <w:rsid w:val="13455ABC"/>
    <w:rsid w:val="1370322B"/>
    <w:rsid w:val="13B27845"/>
    <w:rsid w:val="141A03E1"/>
    <w:rsid w:val="143B2E0B"/>
    <w:rsid w:val="14672B11"/>
    <w:rsid w:val="14892735"/>
    <w:rsid w:val="14CC769D"/>
    <w:rsid w:val="15197BE9"/>
    <w:rsid w:val="15D359D7"/>
    <w:rsid w:val="15D81E0F"/>
    <w:rsid w:val="160F71F1"/>
    <w:rsid w:val="161E4A62"/>
    <w:rsid w:val="16271BCA"/>
    <w:rsid w:val="163C77BE"/>
    <w:rsid w:val="1679588C"/>
    <w:rsid w:val="16994962"/>
    <w:rsid w:val="16A71041"/>
    <w:rsid w:val="16AA24BF"/>
    <w:rsid w:val="16F72341"/>
    <w:rsid w:val="17680CAB"/>
    <w:rsid w:val="176E4128"/>
    <w:rsid w:val="1783371F"/>
    <w:rsid w:val="17910523"/>
    <w:rsid w:val="17E62B67"/>
    <w:rsid w:val="180F4499"/>
    <w:rsid w:val="18221ECE"/>
    <w:rsid w:val="18C83F00"/>
    <w:rsid w:val="19A2789F"/>
    <w:rsid w:val="1A021B30"/>
    <w:rsid w:val="1A460CF5"/>
    <w:rsid w:val="1A7F297D"/>
    <w:rsid w:val="1AB16AC1"/>
    <w:rsid w:val="1B034A52"/>
    <w:rsid w:val="1B1F34AD"/>
    <w:rsid w:val="1B792927"/>
    <w:rsid w:val="1B8D5DC6"/>
    <w:rsid w:val="1BFE1D3B"/>
    <w:rsid w:val="1C2775EC"/>
    <w:rsid w:val="1C750ECE"/>
    <w:rsid w:val="1D0836D7"/>
    <w:rsid w:val="1D196139"/>
    <w:rsid w:val="1DB85900"/>
    <w:rsid w:val="1E010AF7"/>
    <w:rsid w:val="1E0178EB"/>
    <w:rsid w:val="1E200351"/>
    <w:rsid w:val="1E301173"/>
    <w:rsid w:val="1E38333E"/>
    <w:rsid w:val="1EA40BB4"/>
    <w:rsid w:val="1F43381C"/>
    <w:rsid w:val="1FA4148D"/>
    <w:rsid w:val="20121621"/>
    <w:rsid w:val="201A421D"/>
    <w:rsid w:val="204E554F"/>
    <w:rsid w:val="20590035"/>
    <w:rsid w:val="20FC799E"/>
    <w:rsid w:val="22154DDD"/>
    <w:rsid w:val="22213E42"/>
    <w:rsid w:val="22336873"/>
    <w:rsid w:val="238C2182"/>
    <w:rsid w:val="239015D1"/>
    <w:rsid w:val="23BB4E7D"/>
    <w:rsid w:val="23C172D6"/>
    <w:rsid w:val="23D525BD"/>
    <w:rsid w:val="23F04F64"/>
    <w:rsid w:val="24814CBE"/>
    <w:rsid w:val="24AC168B"/>
    <w:rsid w:val="24BF08CE"/>
    <w:rsid w:val="258C3BEC"/>
    <w:rsid w:val="25A30812"/>
    <w:rsid w:val="260E3862"/>
    <w:rsid w:val="262569FC"/>
    <w:rsid w:val="26344C98"/>
    <w:rsid w:val="26F56CE2"/>
    <w:rsid w:val="27435D49"/>
    <w:rsid w:val="27676B57"/>
    <w:rsid w:val="27A34F71"/>
    <w:rsid w:val="27B36A67"/>
    <w:rsid w:val="27EB0D9B"/>
    <w:rsid w:val="286602C8"/>
    <w:rsid w:val="28665C95"/>
    <w:rsid w:val="290B3EB9"/>
    <w:rsid w:val="291418C2"/>
    <w:rsid w:val="2950768C"/>
    <w:rsid w:val="297A5FC4"/>
    <w:rsid w:val="29814843"/>
    <w:rsid w:val="29E83346"/>
    <w:rsid w:val="2A1113BC"/>
    <w:rsid w:val="2A8D4F8F"/>
    <w:rsid w:val="2A911082"/>
    <w:rsid w:val="2A917B34"/>
    <w:rsid w:val="2AE3766F"/>
    <w:rsid w:val="2B7E4054"/>
    <w:rsid w:val="2BF22742"/>
    <w:rsid w:val="2C987C56"/>
    <w:rsid w:val="2CFF149A"/>
    <w:rsid w:val="2D201865"/>
    <w:rsid w:val="2D2D79DD"/>
    <w:rsid w:val="2D4B5CEA"/>
    <w:rsid w:val="2D652658"/>
    <w:rsid w:val="2DC80C49"/>
    <w:rsid w:val="2DCA6355"/>
    <w:rsid w:val="2DF0699F"/>
    <w:rsid w:val="2E166748"/>
    <w:rsid w:val="2E556F01"/>
    <w:rsid w:val="2E8E20B4"/>
    <w:rsid w:val="2ED06066"/>
    <w:rsid w:val="2ED1223D"/>
    <w:rsid w:val="2EE470F7"/>
    <w:rsid w:val="2F000139"/>
    <w:rsid w:val="2F561B8A"/>
    <w:rsid w:val="2F6B57DE"/>
    <w:rsid w:val="2F9F42DC"/>
    <w:rsid w:val="2FF37AB3"/>
    <w:rsid w:val="30076C99"/>
    <w:rsid w:val="30FF27D2"/>
    <w:rsid w:val="31170995"/>
    <w:rsid w:val="311C44F6"/>
    <w:rsid w:val="31264A30"/>
    <w:rsid w:val="31884E67"/>
    <w:rsid w:val="31A0275E"/>
    <w:rsid w:val="31ED6B08"/>
    <w:rsid w:val="328464CE"/>
    <w:rsid w:val="32AB70C5"/>
    <w:rsid w:val="32DC33E0"/>
    <w:rsid w:val="335D0AF5"/>
    <w:rsid w:val="3370088C"/>
    <w:rsid w:val="33A3154A"/>
    <w:rsid w:val="33B7773C"/>
    <w:rsid w:val="33DC2F78"/>
    <w:rsid w:val="3428227C"/>
    <w:rsid w:val="35260F83"/>
    <w:rsid w:val="35425EB0"/>
    <w:rsid w:val="35602226"/>
    <w:rsid w:val="356B72E7"/>
    <w:rsid w:val="3572424F"/>
    <w:rsid w:val="35FC3844"/>
    <w:rsid w:val="36AD519D"/>
    <w:rsid w:val="36B57705"/>
    <w:rsid w:val="37A103ED"/>
    <w:rsid w:val="37EA5E6E"/>
    <w:rsid w:val="37FF016F"/>
    <w:rsid w:val="38185448"/>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220A46"/>
    <w:rsid w:val="4571374F"/>
    <w:rsid w:val="458B1BB0"/>
    <w:rsid w:val="45BD3112"/>
    <w:rsid w:val="4611075B"/>
    <w:rsid w:val="46214818"/>
    <w:rsid w:val="467A0297"/>
    <w:rsid w:val="467B7FF4"/>
    <w:rsid w:val="468B7125"/>
    <w:rsid w:val="46C4691F"/>
    <w:rsid w:val="477E129A"/>
    <w:rsid w:val="479D1D34"/>
    <w:rsid w:val="47B609C0"/>
    <w:rsid w:val="482D31EA"/>
    <w:rsid w:val="485970A0"/>
    <w:rsid w:val="48A41906"/>
    <w:rsid w:val="48B65C71"/>
    <w:rsid w:val="48F303D7"/>
    <w:rsid w:val="490B4B2A"/>
    <w:rsid w:val="492837FF"/>
    <w:rsid w:val="492E6A57"/>
    <w:rsid w:val="4A0030EE"/>
    <w:rsid w:val="4AAA6485"/>
    <w:rsid w:val="4AC36065"/>
    <w:rsid w:val="4AF41862"/>
    <w:rsid w:val="4B4F0BCF"/>
    <w:rsid w:val="4B7501F5"/>
    <w:rsid w:val="4B8C2DEB"/>
    <w:rsid w:val="4BFA3C9F"/>
    <w:rsid w:val="4C0E3379"/>
    <w:rsid w:val="4C107F48"/>
    <w:rsid w:val="4C3277BC"/>
    <w:rsid w:val="4CC353EB"/>
    <w:rsid w:val="4CF36F3C"/>
    <w:rsid w:val="4D257A40"/>
    <w:rsid w:val="4D4F67BA"/>
    <w:rsid w:val="4D603399"/>
    <w:rsid w:val="4D867EE1"/>
    <w:rsid w:val="4DBC4C65"/>
    <w:rsid w:val="4DF6568D"/>
    <w:rsid w:val="4E550010"/>
    <w:rsid w:val="4E5F14CB"/>
    <w:rsid w:val="4F1330BD"/>
    <w:rsid w:val="4F3705F8"/>
    <w:rsid w:val="4FAC3540"/>
    <w:rsid w:val="4FBB12F4"/>
    <w:rsid w:val="4FCF1583"/>
    <w:rsid w:val="4FFA7625"/>
    <w:rsid w:val="501B0BF9"/>
    <w:rsid w:val="507D2599"/>
    <w:rsid w:val="5096229D"/>
    <w:rsid w:val="50DC4184"/>
    <w:rsid w:val="50FF7100"/>
    <w:rsid w:val="51475B39"/>
    <w:rsid w:val="514C3EA7"/>
    <w:rsid w:val="51743B32"/>
    <w:rsid w:val="519849E5"/>
    <w:rsid w:val="51B36892"/>
    <w:rsid w:val="52506DA7"/>
    <w:rsid w:val="53282BA6"/>
    <w:rsid w:val="533B2B84"/>
    <w:rsid w:val="53590134"/>
    <w:rsid w:val="537A7243"/>
    <w:rsid w:val="539C1B81"/>
    <w:rsid w:val="53AE750F"/>
    <w:rsid w:val="53F263AD"/>
    <w:rsid w:val="549A6BFA"/>
    <w:rsid w:val="54E72921"/>
    <w:rsid w:val="553F36F9"/>
    <w:rsid w:val="55764DC6"/>
    <w:rsid w:val="55806F07"/>
    <w:rsid w:val="55CD2377"/>
    <w:rsid w:val="55FA2961"/>
    <w:rsid w:val="565E7F4F"/>
    <w:rsid w:val="56775789"/>
    <w:rsid w:val="567D664C"/>
    <w:rsid w:val="56857D06"/>
    <w:rsid w:val="56914056"/>
    <w:rsid w:val="56DB613D"/>
    <w:rsid w:val="57FC2169"/>
    <w:rsid w:val="58096275"/>
    <w:rsid w:val="581C04F1"/>
    <w:rsid w:val="582E6EF7"/>
    <w:rsid w:val="583C1E28"/>
    <w:rsid w:val="58434392"/>
    <w:rsid w:val="584E30E6"/>
    <w:rsid w:val="59014D02"/>
    <w:rsid w:val="597B384D"/>
    <w:rsid w:val="59996DA8"/>
    <w:rsid w:val="59C30F1B"/>
    <w:rsid w:val="59C909E9"/>
    <w:rsid w:val="5A0D5854"/>
    <w:rsid w:val="5A20156F"/>
    <w:rsid w:val="5A4F07EF"/>
    <w:rsid w:val="5AC7121C"/>
    <w:rsid w:val="5AD90B8D"/>
    <w:rsid w:val="5AE12927"/>
    <w:rsid w:val="5B2243E9"/>
    <w:rsid w:val="5B4E1A44"/>
    <w:rsid w:val="5B666742"/>
    <w:rsid w:val="5B873201"/>
    <w:rsid w:val="5B89551D"/>
    <w:rsid w:val="5B967767"/>
    <w:rsid w:val="5B993CB9"/>
    <w:rsid w:val="5B9E55DE"/>
    <w:rsid w:val="5C286807"/>
    <w:rsid w:val="5C33694C"/>
    <w:rsid w:val="5C446BC8"/>
    <w:rsid w:val="5C4C687B"/>
    <w:rsid w:val="5C7C2768"/>
    <w:rsid w:val="5CB23AE6"/>
    <w:rsid w:val="5CF55792"/>
    <w:rsid w:val="5CFD533A"/>
    <w:rsid w:val="5D0145FD"/>
    <w:rsid w:val="5D893B14"/>
    <w:rsid w:val="5D9D750C"/>
    <w:rsid w:val="5E2B7D62"/>
    <w:rsid w:val="5EA06921"/>
    <w:rsid w:val="5ED5006A"/>
    <w:rsid w:val="5F576E4B"/>
    <w:rsid w:val="5F7A2C30"/>
    <w:rsid w:val="5FBE370A"/>
    <w:rsid w:val="60292845"/>
    <w:rsid w:val="604011D5"/>
    <w:rsid w:val="612E1A5D"/>
    <w:rsid w:val="61816046"/>
    <w:rsid w:val="62391564"/>
    <w:rsid w:val="624B5ADB"/>
    <w:rsid w:val="62816669"/>
    <w:rsid w:val="62BA0953"/>
    <w:rsid w:val="62D03A7C"/>
    <w:rsid w:val="62F16BCB"/>
    <w:rsid w:val="62F648FE"/>
    <w:rsid w:val="6317026C"/>
    <w:rsid w:val="63341DB1"/>
    <w:rsid w:val="63880A89"/>
    <w:rsid w:val="638D4D32"/>
    <w:rsid w:val="63A10995"/>
    <w:rsid w:val="63C23EFA"/>
    <w:rsid w:val="643A070A"/>
    <w:rsid w:val="644C573D"/>
    <w:rsid w:val="648667A7"/>
    <w:rsid w:val="64DB383A"/>
    <w:rsid w:val="65032F85"/>
    <w:rsid w:val="65136B50"/>
    <w:rsid w:val="65571CD7"/>
    <w:rsid w:val="657E2A35"/>
    <w:rsid w:val="65A94E9D"/>
    <w:rsid w:val="65C60A92"/>
    <w:rsid w:val="660B4C3F"/>
    <w:rsid w:val="662203DD"/>
    <w:rsid w:val="66DD6702"/>
    <w:rsid w:val="679406CB"/>
    <w:rsid w:val="67C35C0B"/>
    <w:rsid w:val="680E6BE1"/>
    <w:rsid w:val="68652AB3"/>
    <w:rsid w:val="68AD17BB"/>
    <w:rsid w:val="68D94D22"/>
    <w:rsid w:val="691E1B41"/>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24E99"/>
    <w:rsid w:val="6BEA2A9B"/>
    <w:rsid w:val="6C9C0875"/>
    <w:rsid w:val="6CAA3931"/>
    <w:rsid w:val="6D3933CA"/>
    <w:rsid w:val="6D7B61EC"/>
    <w:rsid w:val="6DD049FF"/>
    <w:rsid w:val="6E09491E"/>
    <w:rsid w:val="6E0D3655"/>
    <w:rsid w:val="6E5F4465"/>
    <w:rsid w:val="6E8A09ED"/>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0350E6"/>
    <w:rsid w:val="731E1007"/>
    <w:rsid w:val="73370D24"/>
    <w:rsid w:val="7359268C"/>
    <w:rsid w:val="739503EB"/>
    <w:rsid w:val="73A05B28"/>
    <w:rsid w:val="73C07D69"/>
    <w:rsid w:val="74277756"/>
    <w:rsid w:val="74B42AE4"/>
    <w:rsid w:val="750A429D"/>
    <w:rsid w:val="755D38A7"/>
    <w:rsid w:val="75614792"/>
    <w:rsid w:val="75784473"/>
    <w:rsid w:val="757E044C"/>
    <w:rsid w:val="75977BC3"/>
    <w:rsid w:val="75B161B3"/>
    <w:rsid w:val="75E470E3"/>
    <w:rsid w:val="75F7771C"/>
    <w:rsid w:val="76736B32"/>
    <w:rsid w:val="76E3765E"/>
    <w:rsid w:val="76FC2AFA"/>
    <w:rsid w:val="77653671"/>
    <w:rsid w:val="778546CC"/>
    <w:rsid w:val="77B56730"/>
    <w:rsid w:val="77C04A8B"/>
    <w:rsid w:val="77CA2AC1"/>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DD0469F"/>
    <w:rsid w:val="7E2142A2"/>
    <w:rsid w:val="7E4F5384"/>
    <w:rsid w:val="7E5A6DFA"/>
    <w:rsid w:val="7E7B0BF2"/>
    <w:rsid w:val="7E8D75B6"/>
    <w:rsid w:val="7E963C57"/>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56"/>
    <w:qFormat/>
    <w:uiPriority w:val="9"/>
    <w:pPr>
      <w:keepNext/>
      <w:keepLines/>
      <w:widowControl w:val="0"/>
      <w:adjustRightInd/>
      <w:snapToGrid/>
      <w:spacing w:before="340" w:after="330" w:line="578" w:lineRule="auto"/>
      <w:ind w:left="425"/>
      <w:jc w:val="both"/>
      <w:outlineLvl w:val="0"/>
    </w:pPr>
    <w:rPr>
      <w:rFonts w:ascii="Times New Roman" w:hAnsi="Times New Roman" w:eastAsia="宋体"/>
      <w:b/>
      <w:bCs/>
      <w:kern w:val="44"/>
      <w:sz w:val="44"/>
      <w:szCs w:val="44"/>
    </w:rPr>
  </w:style>
  <w:style w:type="paragraph" w:styleId="2">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unhideWhenUsed/>
    <w:qFormat/>
    <w:uiPriority w:val="9"/>
    <w:pPr>
      <w:keepNext/>
      <w:keepLines/>
      <w:spacing w:before="280" w:after="290" w:line="372" w:lineRule="auto"/>
      <w:outlineLvl w:val="4"/>
    </w:pPr>
    <w:rPr>
      <w:b/>
      <w:sz w:val="28"/>
    </w:rPr>
  </w:style>
  <w:style w:type="paragraph" w:styleId="8">
    <w:name w:val="heading 6"/>
    <w:basedOn w:val="1"/>
    <w:next w:val="1"/>
    <w:unhideWhenUsed/>
    <w:qFormat/>
    <w:uiPriority w:val="9"/>
    <w:pPr>
      <w:keepNext/>
      <w:spacing w:line="720" w:lineRule="auto"/>
      <w:ind w:left="200" w:leftChars="200"/>
      <w:outlineLvl w:val="5"/>
    </w:pPr>
    <w:rPr>
      <w:rFonts w:asciiTheme="majorHAnsi" w:hAnsiTheme="majorHAnsi" w:eastAsiaTheme="majorEastAsia" w:cstheme="majorBidi"/>
      <w:sz w:val="36"/>
      <w:szCs w:val="36"/>
    </w:rPr>
  </w:style>
  <w:style w:type="paragraph" w:styleId="9">
    <w:name w:val="heading 7"/>
    <w:basedOn w:val="1"/>
    <w:next w:val="1"/>
    <w:unhideWhenUsed/>
    <w:qFormat/>
    <w:uiPriority w:val="9"/>
    <w:pPr>
      <w:keepNext/>
      <w:keepLines/>
      <w:widowControl w:val="0"/>
      <w:adjustRightInd/>
      <w:snapToGrid/>
      <w:spacing w:before="240" w:after="64" w:line="320" w:lineRule="auto"/>
      <w:ind w:left="1296" w:hanging="1296"/>
      <w:jc w:val="both"/>
      <w:outlineLvl w:val="6"/>
    </w:pPr>
    <w:rPr>
      <w:rFonts w:ascii="Calibri" w:hAnsi="Calibri" w:eastAsia="宋体" w:cs="Times New Roman"/>
      <w:b/>
      <w:bCs/>
      <w:kern w:val="2"/>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heme="minorHAnsi" w:hAnsiTheme="minorHAnsi"/>
    </w:rPr>
  </w:style>
  <w:style w:type="paragraph" w:styleId="10">
    <w:name w:val="toc 7"/>
    <w:basedOn w:val="1"/>
    <w:next w:val="1"/>
    <w:unhideWhenUsed/>
    <w:qFormat/>
    <w:uiPriority w:val="39"/>
    <w:pPr>
      <w:widowControl w:val="0"/>
      <w:adjustRightInd/>
      <w:snapToGrid/>
      <w:spacing w:after="0" w:line="360" w:lineRule="auto"/>
      <w:ind w:left="2520" w:leftChars="1200" w:firstLine="560" w:firstLineChars="200"/>
      <w:jc w:val="both"/>
    </w:pPr>
    <w:rPr>
      <w:rFonts w:ascii="Times New Roman" w:hAnsi="Times New Roman" w:eastAsia="宋体" w:cs="Times New Roman"/>
      <w:kern w:val="2"/>
      <w:sz w:val="28"/>
      <w:szCs w:val="28"/>
    </w:r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57"/>
    <w:unhideWhenUsed/>
    <w:qFormat/>
    <w:uiPriority w:val="99"/>
  </w:style>
  <w:style w:type="paragraph" w:styleId="13">
    <w:name w:val="Body Text"/>
    <w:basedOn w:val="1"/>
    <w:next w:val="14"/>
    <w:qFormat/>
    <w:uiPriority w:val="1"/>
    <w:pPr>
      <w:spacing w:before="161"/>
      <w:ind w:left="120"/>
    </w:pPr>
    <w:rPr>
      <w:rFonts w:ascii="宋体" w:hAnsi="宋体" w:eastAsia="宋体" w:cs="宋体"/>
      <w:sz w:val="24"/>
      <w:lang w:val="zh-CN" w:bidi="zh-CN"/>
    </w:rPr>
  </w:style>
  <w:style w:type="paragraph" w:styleId="14">
    <w:name w:val="Body Text First Indent"/>
    <w:basedOn w:val="13"/>
    <w:unhideWhenUsed/>
    <w:qFormat/>
    <w:uiPriority w:val="99"/>
    <w:pPr>
      <w:ind w:firstLine="420" w:firstLineChars="100"/>
    </w:pPr>
    <w:rPr>
      <w:rFonts w:ascii="Times New Roman" w:hAnsi="Times New Roman" w:cs="Times New Roman"/>
    </w:rPr>
  </w:style>
  <w:style w:type="paragraph" w:styleId="15">
    <w:name w:val="toc 3"/>
    <w:basedOn w:val="1"/>
    <w:next w:val="1"/>
    <w:unhideWhenUsed/>
    <w:qFormat/>
    <w:uiPriority w:val="39"/>
    <w:pPr>
      <w:tabs>
        <w:tab w:val="right" w:leader="dot" w:pos="8296"/>
      </w:tabs>
      <w:ind w:left="838" w:leftChars="381"/>
    </w:pPr>
    <w:rPr>
      <w:sz w:val="21"/>
      <w:szCs w:val="21"/>
    </w:rPr>
  </w:style>
  <w:style w:type="paragraph" w:styleId="16">
    <w:name w:val="Plain Text"/>
    <w:basedOn w:val="1"/>
    <w:link w:val="47"/>
    <w:qFormat/>
    <w:uiPriority w:val="0"/>
    <w:pPr>
      <w:widowControl w:val="0"/>
      <w:adjustRightInd/>
      <w:snapToGrid/>
      <w:spacing w:after="0"/>
      <w:jc w:val="both"/>
    </w:pPr>
    <w:rPr>
      <w:rFonts w:ascii="宋体" w:hAnsi="Courier New" w:eastAsia="宋体" w:cs="Times New Roman"/>
      <w:b/>
      <w:kern w:val="2"/>
      <w:sz w:val="21"/>
      <w:szCs w:val="20"/>
    </w:rPr>
  </w:style>
  <w:style w:type="paragraph" w:styleId="17">
    <w:name w:val="Balloon Text"/>
    <w:basedOn w:val="1"/>
    <w:link w:val="50"/>
    <w:semiHidden/>
    <w:unhideWhenUsed/>
    <w:qFormat/>
    <w:uiPriority w:val="99"/>
    <w:pPr>
      <w:spacing w:after="0"/>
    </w:pPr>
    <w:rPr>
      <w:sz w:val="18"/>
      <w:szCs w:val="18"/>
    </w:rPr>
  </w:style>
  <w:style w:type="paragraph" w:styleId="18">
    <w:name w:val="footer"/>
    <w:basedOn w:val="1"/>
    <w:link w:val="49"/>
    <w:unhideWhenUsed/>
    <w:qFormat/>
    <w:uiPriority w:val="99"/>
    <w:pPr>
      <w:tabs>
        <w:tab w:val="center" w:pos="4153"/>
        <w:tab w:val="right" w:pos="8306"/>
      </w:tabs>
    </w:pPr>
    <w:rPr>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semiHidden/>
    <w:unhideWhenUsed/>
    <w:qFormat/>
    <w:uiPriority w:val="39"/>
  </w:style>
  <w:style w:type="paragraph" w:styleId="21">
    <w:name w:val="toc 4"/>
    <w:basedOn w:val="1"/>
    <w:next w:val="1"/>
    <w:unhideWhenUsed/>
    <w:qFormat/>
    <w:uiPriority w:val="39"/>
    <w:pPr>
      <w:tabs>
        <w:tab w:val="right" w:leader="dot" w:pos="8296"/>
      </w:tabs>
      <w:spacing w:after="120"/>
      <w:ind w:left="1320" w:leftChars="600"/>
    </w:pPr>
  </w:style>
  <w:style w:type="paragraph" w:styleId="22">
    <w:name w:val="footnote text"/>
    <w:basedOn w:val="1"/>
    <w:semiHidden/>
    <w:unhideWhenUsed/>
    <w:qFormat/>
    <w:uiPriority w:val="99"/>
    <w:rPr>
      <w:sz w:val="18"/>
    </w:rPr>
  </w:style>
  <w:style w:type="paragraph" w:styleId="23">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4">
    <w:name w:val="Normal (Web)"/>
    <w:basedOn w:val="1"/>
    <w:link w:val="52"/>
    <w:qFormat/>
    <w:uiPriority w:val="99"/>
    <w:pPr>
      <w:widowControl w:val="0"/>
      <w:adjustRightInd/>
      <w:snapToGrid/>
      <w:spacing w:after="0"/>
      <w:jc w:val="both"/>
    </w:pPr>
    <w:rPr>
      <w:rFonts w:eastAsia="宋体" w:asciiTheme="minorHAnsi" w:hAnsiTheme="minorHAnsi"/>
      <w:kern w:val="2"/>
      <w:sz w:val="24"/>
      <w:szCs w:val="24"/>
    </w:rPr>
  </w:style>
  <w:style w:type="paragraph" w:styleId="25">
    <w:name w:val="annotation subject"/>
    <w:basedOn w:val="12"/>
    <w:next w:val="12"/>
    <w:link w:val="64"/>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basedOn w:val="28"/>
    <w:qFormat/>
    <w:uiPriority w:val="20"/>
    <w:rPr>
      <w:i/>
      <w:iCs/>
    </w:rPr>
  </w:style>
  <w:style w:type="character" w:styleId="30">
    <w:name w:val="Hyperlink"/>
    <w:qFormat/>
    <w:uiPriority w:val="99"/>
    <w:rPr>
      <w:rFonts w:hint="eastAsia" w:ascii="宋体" w:hAnsi="宋体" w:eastAsia="宋体" w:cs="宋体"/>
      <w:b/>
      <w:color w:val="0031C1"/>
      <w:kern w:val="0"/>
      <w:sz w:val="18"/>
      <w:szCs w:val="18"/>
      <w:u w:val="none"/>
      <w:lang w:eastAsia="en-US"/>
    </w:rPr>
  </w:style>
  <w:style w:type="character" w:styleId="31">
    <w:name w:val="annotation reference"/>
    <w:basedOn w:val="28"/>
    <w:unhideWhenUsed/>
    <w:qFormat/>
    <w:uiPriority w:val="99"/>
    <w:rPr>
      <w:sz w:val="21"/>
      <w:szCs w:val="21"/>
    </w:rPr>
  </w:style>
  <w:style w:type="character" w:styleId="32">
    <w:name w:val="footnote reference"/>
    <w:basedOn w:val="28"/>
    <w:semiHidden/>
    <w:unhideWhenUsed/>
    <w:qFormat/>
    <w:uiPriority w:val="99"/>
    <w:rPr>
      <w:vertAlign w:val="superscript"/>
    </w:rPr>
  </w:style>
  <w:style w:type="character" w:customStyle="1" w:styleId="33">
    <w:name w:val="标题 2 字符"/>
    <w:basedOn w:val="28"/>
    <w:link w:val="2"/>
    <w:qFormat/>
    <w:uiPriority w:val="9"/>
    <w:rPr>
      <w:rFonts w:asciiTheme="majorHAnsi" w:hAnsiTheme="majorHAnsi" w:eastAsiaTheme="majorEastAsia" w:cstheme="majorBidi"/>
      <w:b/>
      <w:bCs/>
      <w:sz w:val="32"/>
      <w:szCs w:val="32"/>
    </w:rPr>
  </w:style>
  <w:style w:type="character" w:customStyle="1" w:styleId="34">
    <w:name w:val="标题 3 字符"/>
    <w:basedOn w:val="28"/>
    <w:link w:val="4"/>
    <w:qFormat/>
    <w:uiPriority w:val="9"/>
    <w:rPr>
      <w:rFonts w:ascii="Tahoma" w:hAnsi="Tahoma"/>
      <w:b/>
      <w:bCs/>
      <w:sz w:val="32"/>
      <w:szCs w:val="32"/>
    </w:rPr>
  </w:style>
  <w:style w:type="paragraph" w:styleId="35">
    <w:name w:val="List Paragraph"/>
    <w:basedOn w:val="1"/>
    <w:qFormat/>
    <w:uiPriority w:val="34"/>
    <w:pPr>
      <w:ind w:firstLine="420" w:firstLineChars="200"/>
    </w:pPr>
  </w:style>
  <w:style w:type="character" w:customStyle="1" w:styleId="36">
    <w:name w:val="标题 4 字符"/>
    <w:basedOn w:val="28"/>
    <w:link w:val="5"/>
    <w:qFormat/>
    <w:uiPriority w:val="9"/>
    <w:rPr>
      <w:rFonts w:asciiTheme="majorHAnsi" w:hAnsiTheme="majorHAnsi" w:eastAsiaTheme="majorEastAsia" w:cstheme="majorBidi"/>
      <w:b/>
      <w:bCs/>
      <w:sz w:val="28"/>
      <w:szCs w:val="28"/>
    </w:rPr>
  </w:style>
  <w:style w:type="character" w:customStyle="1" w:styleId="37">
    <w:name w:val="正文缩进2格 Char"/>
    <w:link w:val="38"/>
    <w:qFormat/>
    <w:uiPriority w:val="0"/>
    <w:rPr>
      <w:rFonts w:ascii="仿宋_GB2312" w:hAnsi="宋体" w:eastAsia="仿宋_GB2312"/>
      <w:kern w:val="2"/>
      <w:sz w:val="31"/>
    </w:rPr>
  </w:style>
  <w:style w:type="paragraph" w:customStyle="1" w:styleId="38">
    <w:name w:val="正文缩进2格"/>
    <w:basedOn w:val="1"/>
    <w:link w:val="37"/>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9">
    <w:name w:val="正文缩进4格"/>
    <w:basedOn w:val="38"/>
    <w:qFormat/>
    <w:uiPriority w:val="0"/>
    <w:pPr>
      <w:ind w:left="2" w:firstLine="538" w:firstLineChars="192"/>
    </w:pPr>
    <w:rPr>
      <w:color w:val="0000FF"/>
      <w:sz w:val="28"/>
    </w:rPr>
  </w:style>
  <w:style w:type="character" w:customStyle="1" w:styleId="40">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1">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2">
    <w:name w:val="标题1"/>
    <w:qFormat/>
    <w:uiPriority w:val="0"/>
    <w:rPr>
      <w:rFonts w:ascii="Times New Roman" w:hAnsi="Times New Roman" w:eastAsia="宋体" w:cs="Times New Roman"/>
      <w:b/>
      <w:kern w:val="0"/>
      <w:sz w:val="24"/>
      <w:szCs w:val="20"/>
      <w:lang w:eastAsia="en-US"/>
    </w:rPr>
  </w:style>
  <w:style w:type="character" w:customStyle="1" w:styleId="43">
    <w:name w:val="标题 3.1 Char"/>
    <w:link w:val="44"/>
    <w:qFormat/>
    <w:uiPriority w:val="0"/>
    <w:rPr>
      <w:rFonts w:ascii="宋体" w:hAnsi="宋体" w:eastAsia="宋体"/>
      <w:b/>
      <w:color w:val="FF0000"/>
      <w:kern w:val="2"/>
      <w:sz w:val="32"/>
    </w:rPr>
  </w:style>
  <w:style w:type="paragraph" w:customStyle="1" w:styleId="44">
    <w:name w:val="标题 3.1"/>
    <w:basedOn w:val="4"/>
    <w:link w:val="43"/>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5">
    <w:name w:val="样式 楷体_GB2312 小四"/>
    <w:qFormat/>
    <w:uiPriority w:val="0"/>
    <w:rPr>
      <w:rFonts w:ascii="楷体_GB2312" w:hAnsi="楷体_GB2312" w:eastAsia="仿宋_GB2312"/>
      <w:sz w:val="24"/>
    </w:rPr>
  </w:style>
  <w:style w:type="character" w:customStyle="1" w:styleId="46">
    <w:name w:val="纯文本 Char"/>
    <w:qFormat/>
    <w:uiPriority w:val="0"/>
    <w:rPr>
      <w:rFonts w:ascii="宋体" w:hAnsi="Courier New" w:eastAsia="宋体" w:cs="Times New Roman"/>
      <w:b/>
      <w:kern w:val="2"/>
      <w:sz w:val="21"/>
      <w:szCs w:val="20"/>
    </w:rPr>
  </w:style>
  <w:style w:type="character" w:customStyle="1" w:styleId="47">
    <w:name w:val="纯文本 字符"/>
    <w:basedOn w:val="28"/>
    <w:link w:val="16"/>
    <w:semiHidden/>
    <w:qFormat/>
    <w:uiPriority w:val="99"/>
    <w:rPr>
      <w:rFonts w:ascii="宋体" w:hAnsi="Courier New" w:eastAsia="宋体" w:cs="Courier New"/>
      <w:sz w:val="21"/>
      <w:szCs w:val="21"/>
    </w:rPr>
  </w:style>
  <w:style w:type="character" w:customStyle="1" w:styleId="48">
    <w:name w:val="页眉 字符"/>
    <w:basedOn w:val="28"/>
    <w:link w:val="19"/>
    <w:qFormat/>
    <w:uiPriority w:val="99"/>
    <w:rPr>
      <w:rFonts w:ascii="Tahoma" w:hAnsi="Tahoma"/>
      <w:sz w:val="18"/>
      <w:szCs w:val="18"/>
    </w:rPr>
  </w:style>
  <w:style w:type="character" w:customStyle="1" w:styleId="49">
    <w:name w:val="页脚 字符"/>
    <w:basedOn w:val="28"/>
    <w:link w:val="18"/>
    <w:qFormat/>
    <w:uiPriority w:val="99"/>
    <w:rPr>
      <w:rFonts w:ascii="Tahoma" w:hAnsi="Tahoma"/>
      <w:sz w:val="18"/>
      <w:szCs w:val="18"/>
    </w:rPr>
  </w:style>
  <w:style w:type="character" w:customStyle="1" w:styleId="50">
    <w:name w:val="批注框文本 字符"/>
    <w:basedOn w:val="28"/>
    <w:link w:val="17"/>
    <w:semiHidden/>
    <w:qFormat/>
    <w:uiPriority w:val="99"/>
    <w:rPr>
      <w:rFonts w:ascii="Tahoma" w:hAnsi="Tahoma"/>
      <w:sz w:val="18"/>
      <w:szCs w:val="18"/>
    </w:rPr>
  </w:style>
  <w:style w:type="paragraph" w:customStyle="1" w:styleId="5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52">
    <w:name w:val="普通(网站) 字符"/>
    <w:link w:val="24"/>
    <w:qFormat/>
    <w:uiPriority w:val="0"/>
    <w:rPr>
      <w:rFonts w:eastAsia="宋体"/>
      <w:kern w:val="2"/>
      <w:sz w:val="24"/>
      <w:szCs w:val="24"/>
    </w:rPr>
  </w:style>
  <w:style w:type="paragraph" w:customStyle="1" w:styleId="53">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4">
    <w:name w:val="p141"/>
    <w:qFormat/>
    <w:uiPriority w:val="0"/>
    <w:rPr>
      <w:sz w:val="21"/>
      <w:szCs w:val="21"/>
    </w:rPr>
  </w:style>
  <w:style w:type="paragraph" w:customStyle="1" w:styleId="55">
    <w:name w:val="首行缩进"/>
    <w:basedOn w:val="1"/>
    <w:qFormat/>
    <w:uiPriority w:val="0"/>
    <w:pPr>
      <w:ind w:firstLine="480" w:firstLineChars="200"/>
    </w:pPr>
    <w:rPr>
      <w:lang w:val="zh-CN"/>
    </w:rPr>
  </w:style>
  <w:style w:type="character" w:customStyle="1" w:styleId="56">
    <w:name w:val="标题 1 字符"/>
    <w:basedOn w:val="28"/>
    <w:link w:val="3"/>
    <w:qFormat/>
    <w:uiPriority w:val="9"/>
    <w:rPr>
      <w:rFonts w:cstheme="minorBidi"/>
      <w:b/>
      <w:bCs/>
      <w:kern w:val="44"/>
      <w:sz w:val="44"/>
      <w:szCs w:val="44"/>
    </w:rPr>
  </w:style>
  <w:style w:type="character" w:customStyle="1" w:styleId="57">
    <w:name w:val="批注文字 字符"/>
    <w:basedOn w:val="28"/>
    <w:link w:val="12"/>
    <w:qFormat/>
    <w:uiPriority w:val="99"/>
    <w:rPr>
      <w:rFonts w:ascii="Tahoma" w:hAnsi="Tahoma" w:eastAsia="微软雅黑" w:cstheme="minorBidi"/>
      <w:sz w:val="22"/>
      <w:szCs w:val="22"/>
    </w:rPr>
  </w:style>
  <w:style w:type="paragraph" w:customStyle="1" w:styleId="58">
    <w:name w:val="*8. General Text"/>
    <w:basedOn w:val="1"/>
    <w:qFormat/>
    <w:uiPriority w:val="0"/>
    <w:pPr>
      <w:widowControl w:val="0"/>
      <w:overflowPunct w:val="0"/>
      <w:autoSpaceDE w:val="0"/>
      <w:autoSpaceDN w:val="0"/>
      <w:snapToGrid/>
      <w:spacing w:after="120" w:line="280" w:lineRule="exact"/>
      <w:ind w:left="-1" w:leftChars="-1" w:hanging="2"/>
      <w:textAlignment w:val="baseline"/>
    </w:pPr>
    <w:rPr>
      <w:rFonts w:ascii="Garamond" w:hAnsi="Garamond" w:eastAsia="宋体" w:cs="Times New Roman"/>
      <w:sz w:val="21"/>
    </w:rPr>
  </w:style>
  <w:style w:type="table" w:customStyle="1" w:styleId="59">
    <w:name w:val="网格型浅色1"/>
    <w:basedOn w:val="26"/>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0">
    <w:name w:val="0段落文字"/>
    <w:basedOn w:val="1"/>
    <w:qFormat/>
    <w:uiPriority w:val="0"/>
    <w:pPr>
      <w:widowControl w:val="0"/>
      <w:adjustRightInd/>
      <w:snapToGrid/>
      <w:spacing w:after="0" w:line="400" w:lineRule="exact"/>
      <w:ind w:firstLine="480" w:firstLineChars="200"/>
      <w:jc w:val="both"/>
    </w:pPr>
    <w:rPr>
      <w:rFonts w:ascii="宋体" w:hAnsi="宋体" w:eastAsia="宋体" w:cs="Times New Roman"/>
      <w:bCs/>
      <w:snapToGrid w:val="0"/>
      <w:sz w:val="24"/>
      <w:szCs w:val="30"/>
      <w:lang w:val="zh-CN"/>
    </w:rPr>
  </w:style>
  <w:style w:type="paragraph" w:customStyle="1" w:styleId="61">
    <w:name w:val="*正文"/>
    <w:basedOn w:val="62"/>
    <w:qFormat/>
    <w:uiPriority w:val="0"/>
    <w:pPr>
      <w:spacing w:line="360" w:lineRule="auto"/>
      <w:ind w:firstLine="200" w:firstLineChars="200"/>
      <w:jc w:val="left"/>
    </w:pPr>
    <w:rPr>
      <w:rFonts w:ascii="宋体" w:hAnsi="宋体"/>
      <w:kern w:val="0"/>
      <w:sz w:val="24"/>
      <w:szCs w:val="24"/>
      <w:lang w:val="zh-CN" w:bidi="mn-Mong-CN"/>
    </w:rPr>
  </w:style>
  <w:style w:type="paragraph" w:customStyle="1" w:styleId="6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列表段落1"/>
    <w:basedOn w:val="1"/>
    <w:qFormat/>
    <w:uiPriority w:val="34"/>
    <w:pPr>
      <w:ind w:firstLine="420" w:firstLineChars="200"/>
    </w:pPr>
  </w:style>
  <w:style w:type="character" w:customStyle="1" w:styleId="64">
    <w:name w:val="批注主题 字符"/>
    <w:basedOn w:val="57"/>
    <w:link w:val="25"/>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4F3B0-99D7-4A80-89D0-ECD7CF22218A}">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186</Pages>
  <Words>19433</Words>
  <Characters>110771</Characters>
  <Lines>923</Lines>
  <Paragraphs>259</Paragraphs>
  <TotalTime>13</TotalTime>
  <ScaleCrop>false</ScaleCrop>
  <LinksUpToDate>false</LinksUpToDate>
  <CharactersWithSpaces>129945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2021-03-24T15:03:00Z</dcterms:created>
  <dc:creator>广东三方诚信招标有限公司东莞分公司</dc:creator>
  <cp:keywords>文件格式版本</cp:keywords>
  <cp:lastModifiedBy>嗨呀</cp:lastModifiedBy>
  <cp:lastPrinted>2019-04-01T01:49:00Z</cp:lastPrinted>
  <dcterms:modified xsi:type="dcterms:W3CDTF">2021-04-09T09:53:55Z</dcterms:modified>
  <dc:subject>公开招标文件版本</dc:subject>
  <dc:title>公开招标文件版本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E3B0CF8B14B94B83BC0400FCC04335D8</vt:lpwstr>
  </property>
</Properties>
</file>