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eastAsia="黑体"/>
          <w:b/>
          <w:color w:val="auto"/>
          <w:sz w:val="36"/>
          <w:highlight w:val="none"/>
        </w:rPr>
      </w:pPr>
      <w:r>
        <w:rPr>
          <w:rFonts w:hint="eastAsia" w:ascii="黑体" w:eastAsia="黑体"/>
          <w:color w:val="auto"/>
          <w:szCs w:val="21"/>
          <w:highlight w:val="none"/>
        </w:rPr>
        <w:drawing>
          <wp:inline distT="0" distB="0" distL="114300" distR="114300">
            <wp:extent cx="682625" cy="652145"/>
            <wp:effectExtent l="0" t="0" r="3175" b="14605"/>
            <wp:docPr id="9" name="图片 9" descr="QQ截图2020060316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截图20200603163454"/>
                    <pic:cNvPicPr>
                      <a:picLocks noChangeAspect="1"/>
                    </pic:cNvPicPr>
                  </pic:nvPicPr>
                  <pic:blipFill>
                    <a:blip r:embed="rId8"/>
                    <a:srcRect l="6233" t="18358" r="67326" b="19339"/>
                    <a:stretch>
                      <a:fillRect/>
                    </a:stretch>
                  </pic:blipFill>
                  <pic:spPr>
                    <a:xfrm>
                      <a:off x="0" y="0"/>
                      <a:ext cx="682625" cy="652145"/>
                    </a:xfrm>
                    <a:prstGeom prst="rect">
                      <a:avLst/>
                    </a:prstGeom>
                  </pic:spPr>
                </pic:pic>
              </a:graphicData>
            </a:graphic>
          </wp:inline>
        </w:drawing>
      </w:r>
    </w:p>
    <w:p>
      <w:pPr>
        <w:jc w:val="right"/>
        <w:rPr>
          <w:rFonts w:eastAsia="黑体"/>
          <w:b/>
          <w:color w:val="auto"/>
          <w:sz w:val="36"/>
          <w:highlight w:val="none"/>
        </w:rPr>
      </w:pPr>
    </w:p>
    <w:p>
      <w:pPr>
        <w:rPr>
          <w:color w:val="auto"/>
          <w:highlight w:val="none"/>
        </w:rPr>
      </w:pPr>
    </w:p>
    <w:p>
      <w:pPr>
        <w:rPr>
          <w:color w:val="auto"/>
          <w:highlight w:val="none"/>
        </w:rPr>
      </w:pPr>
    </w:p>
    <w:p>
      <w:pPr>
        <w:rPr>
          <w:color w:val="auto"/>
          <w:highlight w:val="none"/>
        </w:rPr>
      </w:pPr>
    </w:p>
    <w:p>
      <w:pPr>
        <w:spacing w:after="0"/>
        <w:ind w:right="-28"/>
        <w:jc w:val="center"/>
        <w:textAlignment w:val="bottom"/>
        <w:rPr>
          <w:rFonts w:ascii="黑体" w:hAnsi="黑体" w:eastAsia="黑体" w:cs="黑体"/>
          <w:bCs/>
          <w:color w:val="auto"/>
          <w:spacing w:val="57"/>
          <w:sz w:val="72"/>
          <w:szCs w:val="72"/>
          <w:highlight w:val="none"/>
        </w:rPr>
      </w:pPr>
      <w:r>
        <w:rPr>
          <w:rFonts w:hint="eastAsia" w:ascii="黑体" w:hAnsi="黑体" w:eastAsia="黑体" w:cs="黑体"/>
          <w:bCs/>
          <w:color w:val="auto"/>
          <w:spacing w:val="57"/>
          <w:sz w:val="72"/>
          <w:szCs w:val="72"/>
          <w:highlight w:val="none"/>
        </w:rPr>
        <w:t>公开招标文件</w:t>
      </w:r>
    </w:p>
    <w:p>
      <w:pPr>
        <w:jc w:val="center"/>
        <w:rPr>
          <w:rFonts w:ascii="黑体" w:hAnsi="黑体" w:eastAsia="黑体" w:cs="黑体"/>
          <w:color w:val="auto"/>
          <w:highlight w:val="none"/>
        </w:rPr>
      </w:pPr>
      <w:r>
        <w:rPr>
          <w:rFonts w:hint="eastAsia" w:ascii="黑体" w:hAnsi="黑体" w:eastAsia="黑体" w:cs="黑体"/>
          <w:bCs/>
          <w:color w:val="auto"/>
          <w:spacing w:val="57"/>
          <w:sz w:val="72"/>
          <w:szCs w:val="72"/>
          <w:highlight w:val="none"/>
        </w:rPr>
        <w:t>东莞市政府采购</w:t>
      </w:r>
    </w:p>
    <w:p>
      <w:pPr>
        <w:jc w:val="center"/>
        <w:rPr>
          <w:color w:val="auto"/>
          <w:highlight w:val="none"/>
        </w:rPr>
      </w:pPr>
    </w:p>
    <w:p>
      <w:pPr>
        <w:rPr>
          <w:color w:val="auto"/>
          <w:highlight w:val="none"/>
        </w:rPr>
      </w:pPr>
    </w:p>
    <w:tbl>
      <w:tblPr>
        <w:tblStyle w:val="20"/>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61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项目名称：</w:t>
            </w:r>
          </w:p>
        </w:tc>
        <w:tc>
          <w:tcPr>
            <w:tcW w:w="620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东莞滨海湾新区交椅湾智慧道路(二期）后台设备采购项目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项目采购编号：</w:t>
            </w:r>
          </w:p>
        </w:tc>
        <w:tc>
          <w:tcPr>
            <w:tcW w:w="6203" w:type="dxa"/>
            <w:noWrap/>
            <w:vAlign w:val="center"/>
          </w:tcPr>
          <w:p>
            <w:pPr>
              <w:spacing w:before="200"/>
              <w:jc w:val="both"/>
              <w:rPr>
                <w:rFonts w:ascii="黑体" w:hAnsi="黑体" w:eastAsia="黑体" w:cs="黑体"/>
                <w:bCs/>
                <w:color w:val="auto"/>
                <w:sz w:val="32"/>
                <w:szCs w:val="24"/>
                <w:highlight w:val="none"/>
              </w:rPr>
            </w:pPr>
            <w:r>
              <w:rPr>
                <w:rFonts w:ascii="黑体" w:hAnsi="黑体" w:eastAsia="黑体" w:cs="黑体"/>
                <w:bCs/>
                <w:color w:val="auto"/>
                <w:sz w:val="32"/>
                <w:szCs w:val="24"/>
                <w:highlight w:val="none"/>
              </w:rPr>
              <w:t>441900011-2021-00039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采购人：</w:t>
            </w:r>
          </w:p>
        </w:tc>
        <w:tc>
          <w:tcPr>
            <w:tcW w:w="6203" w:type="dxa"/>
            <w:noWrap/>
            <w:vAlign w:val="center"/>
          </w:tcPr>
          <w:p>
            <w:pPr>
              <w:spacing w:before="200"/>
              <w:jc w:val="both"/>
              <w:rPr>
                <w:rFonts w:ascii="黑体" w:hAnsi="黑体" w:eastAsia="黑体" w:cs="黑体"/>
                <w:bCs/>
                <w:color w:val="auto"/>
                <w:sz w:val="32"/>
                <w:szCs w:val="24"/>
                <w:highlight w:val="none"/>
              </w:rPr>
            </w:pPr>
            <w:r>
              <w:rPr>
                <w:rFonts w:hint="eastAsia" w:ascii="Arial" w:hAnsi="Arial" w:eastAsia="黑体" w:cs="Arial"/>
                <w:bCs/>
                <w:color w:val="auto"/>
                <w:sz w:val="32"/>
                <w:szCs w:val="24"/>
                <w:highlight w:val="none"/>
              </w:rPr>
              <w:t>东莞滨海湾新区管理委员会</w:t>
            </w:r>
          </w:p>
        </w:tc>
      </w:tr>
    </w:tbl>
    <w:p>
      <w:pPr>
        <w:jc w:val="center"/>
        <w:rPr>
          <w:rFonts w:ascii="黑体" w:eastAsia="黑体"/>
          <w:color w:val="auto"/>
          <w:szCs w:val="21"/>
          <w:highlight w:val="none"/>
        </w:rPr>
      </w:pPr>
    </w:p>
    <w:p>
      <w:pPr>
        <w:jc w:val="center"/>
        <w:rPr>
          <w:rFonts w:ascii="黑体" w:eastAsia="黑体"/>
          <w:color w:val="auto"/>
          <w:szCs w:val="21"/>
          <w:highlight w:val="none"/>
        </w:rPr>
      </w:pPr>
    </w:p>
    <w:p>
      <w:pPr>
        <w:jc w:val="center"/>
        <w:rPr>
          <w:rFonts w:ascii="黑体" w:eastAsia="黑体"/>
          <w:color w:val="auto"/>
          <w:szCs w:val="21"/>
          <w:highlight w:val="none"/>
        </w:rPr>
      </w:pPr>
    </w:p>
    <w:p>
      <w:pPr>
        <w:jc w:val="center"/>
        <w:rPr>
          <w:rFonts w:ascii="黑体" w:eastAsia="黑体"/>
          <w:color w:val="auto"/>
          <w:szCs w:val="21"/>
          <w:highlight w:val="none"/>
        </w:rPr>
      </w:pPr>
    </w:p>
    <w:p>
      <w:pPr>
        <w:jc w:val="center"/>
        <w:rPr>
          <w:rFonts w:ascii="黑体" w:eastAsia="黑体"/>
          <w:color w:val="auto"/>
          <w:szCs w:val="21"/>
          <w:highlight w:val="none"/>
        </w:rPr>
      </w:pPr>
    </w:p>
    <w:p>
      <w:pPr>
        <w:pStyle w:val="16"/>
        <w:rPr>
          <w:color w:val="auto"/>
          <w:sz w:val="32"/>
          <w:szCs w:val="32"/>
          <w:highlight w:val="none"/>
        </w:rPr>
        <w:sectPr>
          <w:headerReference r:id="rId4" w:type="default"/>
          <w:pgSz w:w="11906" w:h="16838"/>
          <w:pgMar w:top="1440" w:right="1800" w:bottom="1440" w:left="1800" w:header="708" w:footer="708" w:gutter="0"/>
          <w:pgNumType w:start="0"/>
          <w:cols w:space="708" w:num="1"/>
          <w:titlePg/>
          <w:docGrid w:type="lines" w:linePitch="360" w:charSpace="0"/>
        </w:sectPr>
      </w:pPr>
      <w:r>
        <w:rPr>
          <w:rFonts w:hint="eastAsia" w:ascii="黑体" w:eastAsia="黑体"/>
          <w:color w:val="auto"/>
          <w:szCs w:val="21"/>
          <w:highlight w:val="none"/>
        </w:rPr>
        <w:drawing>
          <wp:inline distT="0" distB="0" distL="114300" distR="114300">
            <wp:extent cx="3716020" cy="633730"/>
            <wp:effectExtent l="0" t="0" r="17780" b="13970"/>
            <wp:docPr id="14" name="图片 14" descr="QQ截图2020060316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QQ截图20200603163515"/>
                    <pic:cNvPicPr>
                      <a:picLocks noChangeAspect="1"/>
                    </pic:cNvPicPr>
                  </pic:nvPicPr>
                  <pic:blipFill>
                    <a:blip r:embed="rId9"/>
                    <a:srcRect l="6033" t="52170" r="5754" b="9299"/>
                    <a:stretch>
                      <a:fillRect/>
                    </a:stretch>
                  </pic:blipFill>
                  <pic:spPr>
                    <a:xfrm>
                      <a:off x="0" y="0"/>
                      <a:ext cx="3716020" cy="633730"/>
                    </a:xfrm>
                    <a:prstGeom prst="rect">
                      <a:avLst/>
                    </a:prstGeom>
                  </pic:spPr>
                </pic:pic>
              </a:graphicData>
            </a:graphic>
          </wp:inline>
        </w:drawing>
      </w:r>
    </w:p>
    <w:p>
      <w:pPr>
        <w:pStyle w:val="16"/>
        <w:rPr>
          <w:color w:val="auto"/>
          <w:sz w:val="40"/>
          <w:szCs w:val="40"/>
          <w:highlight w:val="none"/>
        </w:rPr>
      </w:pPr>
      <w:r>
        <w:rPr>
          <w:rFonts w:hint="eastAsia"/>
          <w:color w:val="auto"/>
          <w:sz w:val="40"/>
          <w:szCs w:val="40"/>
          <w:highlight w:val="none"/>
        </w:rPr>
        <w:t>目录</w:t>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"1-4" \h \z \u </w:instrText>
      </w:r>
      <w:r>
        <w:rPr>
          <w:rFonts w:hint="eastAsia" w:ascii="宋体" w:hAnsi="宋体" w:eastAsia="宋体" w:cs="宋体"/>
          <w:color w:val="auto"/>
          <w:highlight w:val="none"/>
        </w:rPr>
        <w:fldChar w:fldCharType="separate"/>
      </w:r>
      <w:r>
        <w:rPr>
          <w:color w:val="auto"/>
          <w:highlight w:val="none"/>
        </w:rPr>
        <w:fldChar w:fldCharType="begin"/>
      </w:r>
      <w:r>
        <w:rPr>
          <w:color w:val="auto"/>
          <w:highlight w:val="none"/>
        </w:rPr>
        <w:instrText xml:space="preserve"> HYPERLINK \l "_Toc1420" </w:instrText>
      </w:r>
      <w:r>
        <w:rPr>
          <w:color w:val="auto"/>
          <w:highlight w:val="none"/>
        </w:rPr>
        <w:fldChar w:fldCharType="separate"/>
      </w:r>
      <w:r>
        <w:rPr>
          <w:rFonts w:hint="eastAsia" w:ascii="宋体" w:hAnsi="宋体" w:eastAsia="宋体" w:cs="宋体"/>
          <w:color w:val="auto"/>
          <w:highlight w:val="none"/>
        </w:rPr>
        <w:t>投标邀请书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_Toc1420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"_Toc14146" </w:instrText>
      </w:r>
      <w:r>
        <w:rPr>
          <w:color w:val="auto"/>
          <w:highlight w:val="none"/>
        </w:rPr>
        <w:fldChar w:fldCharType="separate"/>
      </w:r>
      <w:r>
        <w:rPr>
          <w:rFonts w:hint="eastAsia" w:cs="宋体"/>
          <w:color w:val="auto"/>
          <w:sz w:val="21"/>
          <w:szCs w:val="21"/>
          <w:highlight w:val="none"/>
        </w:rPr>
        <w:t>第二部分 相关资料表格</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_Toc14146 </w:instrText>
      </w:r>
      <w:r>
        <w:rPr>
          <w:rFonts w:hint="eastAsia" w:cs="宋体"/>
          <w:color w:val="auto"/>
          <w:sz w:val="21"/>
          <w:szCs w:val="21"/>
          <w:highlight w:val="none"/>
        </w:rPr>
        <w:fldChar w:fldCharType="separate"/>
      </w:r>
      <w:r>
        <w:rPr>
          <w:rFonts w:hint="eastAsia" w:cs="宋体"/>
          <w:color w:val="auto"/>
          <w:sz w:val="21"/>
          <w:szCs w:val="21"/>
          <w:highlight w:val="none"/>
        </w:rPr>
        <w:t>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"_Toc20683" </w:instrText>
      </w:r>
      <w:r>
        <w:rPr>
          <w:color w:val="auto"/>
          <w:highlight w:val="none"/>
        </w:rPr>
        <w:fldChar w:fldCharType="separate"/>
      </w:r>
      <w:r>
        <w:rPr>
          <w:rFonts w:hint="eastAsia" w:ascii="宋体" w:hAnsi="宋体" w:eastAsia="宋体" w:cs="宋体"/>
          <w:color w:val="auto"/>
          <w:highlight w:val="none"/>
        </w:rPr>
        <w:t>附表一：投标资料表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_Toc20683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"_Toc9572" </w:instrText>
      </w:r>
      <w:r>
        <w:rPr>
          <w:color w:val="auto"/>
          <w:highlight w:val="none"/>
        </w:rPr>
        <w:fldChar w:fldCharType="separate"/>
      </w:r>
      <w:r>
        <w:rPr>
          <w:rFonts w:hint="eastAsia" w:ascii="宋体" w:hAnsi="宋体" w:eastAsia="宋体" w:cs="宋体"/>
          <w:color w:val="auto"/>
          <w:highlight w:val="none"/>
        </w:rPr>
        <w:t>附表二：商务技术评分及价格权重表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_Toc9572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"_Toc31854" </w:instrText>
      </w:r>
      <w:r>
        <w:rPr>
          <w:color w:val="auto"/>
          <w:highlight w:val="none"/>
        </w:rPr>
        <w:fldChar w:fldCharType="separate"/>
      </w:r>
      <w:r>
        <w:rPr>
          <w:rFonts w:hint="eastAsia" w:cs="宋体"/>
          <w:color w:val="auto"/>
          <w:sz w:val="21"/>
          <w:szCs w:val="21"/>
          <w:highlight w:val="none"/>
        </w:rPr>
        <w:t>第三部分 用户需求书</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_Toc31854 </w:instrText>
      </w:r>
      <w:r>
        <w:rPr>
          <w:rFonts w:hint="eastAsia" w:cs="宋体"/>
          <w:color w:val="auto"/>
          <w:sz w:val="21"/>
          <w:szCs w:val="21"/>
          <w:highlight w:val="none"/>
        </w:rPr>
        <w:fldChar w:fldCharType="separate"/>
      </w:r>
      <w:r>
        <w:rPr>
          <w:rFonts w:hint="eastAsia" w:cs="宋体"/>
          <w:color w:val="auto"/>
          <w:sz w:val="21"/>
          <w:szCs w:val="21"/>
          <w:highlight w:val="none"/>
        </w:rPr>
        <w:t>14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"_Toc3968" </w:instrText>
      </w:r>
      <w:r>
        <w:rPr>
          <w:color w:val="auto"/>
          <w:highlight w:val="none"/>
        </w:rPr>
        <w:fldChar w:fldCharType="separate"/>
      </w:r>
      <w:r>
        <w:rPr>
          <w:rFonts w:hint="eastAsia" w:ascii="宋体" w:hAnsi="宋体" w:eastAsia="宋体" w:cs="宋体"/>
          <w:color w:val="auto"/>
          <w:highlight w:val="none"/>
        </w:rPr>
        <w:t>用户需求明细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_Toc3968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"_Toc2479" </w:instrText>
      </w:r>
      <w:r>
        <w:rPr>
          <w:color w:val="auto"/>
          <w:highlight w:val="none"/>
        </w:rPr>
        <w:fldChar w:fldCharType="separate"/>
      </w:r>
      <w:r>
        <w:rPr>
          <w:rFonts w:hint="eastAsia" w:cs="宋体"/>
          <w:color w:val="auto"/>
          <w:sz w:val="21"/>
          <w:szCs w:val="21"/>
          <w:highlight w:val="none"/>
        </w:rPr>
        <w:t>第四部分 投标人须知</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_Toc2479 </w:instrText>
      </w:r>
      <w:r>
        <w:rPr>
          <w:rFonts w:hint="eastAsia" w:cs="宋体"/>
          <w:color w:val="auto"/>
          <w:sz w:val="21"/>
          <w:szCs w:val="21"/>
          <w:highlight w:val="none"/>
        </w:rPr>
        <w:fldChar w:fldCharType="separate"/>
      </w:r>
      <w:r>
        <w:rPr>
          <w:rFonts w:hint="eastAsia" w:cs="宋体"/>
          <w:color w:val="auto"/>
          <w:sz w:val="21"/>
          <w:szCs w:val="21"/>
          <w:highlight w:val="none"/>
        </w:rPr>
        <w:t>28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"_Toc19746" </w:instrText>
      </w:r>
      <w:r>
        <w:rPr>
          <w:color w:val="auto"/>
          <w:highlight w:val="none"/>
        </w:rPr>
        <w:fldChar w:fldCharType="separate"/>
      </w:r>
      <w:r>
        <w:rPr>
          <w:rFonts w:hint="eastAsia" w:ascii="宋体" w:hAnsi="宋体" w:eastAsia="宋体" w:cs="宋体"/>
          <w:color w:val="auto"/>
          <w:highlight w:val="none"/>
        </w:rPr>
        <w:t>一、 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_Toc19746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"_Toc18488" </w:instrText>
      </w:r>
      <w:r>
        <w:rPr>
          <w:color w:val="auto"/>
          <w:highlight w:val="none"/>
        </w:rPr>
        <w:fldChar w:fldCharType="separate"/>
      </w:r>
      <w:r>
        <w:rPr>
          <w:rFonts w:hint="eastAsia" w:ascii="宋体" w:hAnsi="宋体" w:eastAsia="宋体" w:cs="宋体"/>
          <w:color w:val="auto"/>
          <w:sz w:val="21"/>
          <w:szCs w:val="21"/>
          <w:highlight w:val="none"/>
        </w:rPr>
        <w:t>1.适用范围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_Toc18488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"_Toc13400" </w:instrText>
      </w:r>
      <w:r>
        <w:rPr>
          <w:color w:val="auto"/>
          <w:highlight w:val="none"/>
        </w:rPr>
        <w:fldChar w:fldCharType="separate"/>
      </w:r>
      <w:r>
        <w:rPr>
          <w:rFonts w:hint="eastAsia" w:ascii="宋体" w:hAnsi="宋体" w:eastAsia="宋体" w:cs="宋体"/>
          <w:color w:val="auto"/>
          <w:sz w:val="21"/>
          <w:szCs w:val="21"/>
          <w:highlight w:val="none"/>
        </w:rPr>
        <w:t>2.定义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_Toc13400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"_Toc3780" </w:instrText>
      </w:r>
      <w:r>
        <w:rPr>
          <w:color w:val="auto"/>
          <w:highlight w:val="none"/>
        </w:rPr>
        <w:fldChar w:fldCharType="separate"/>
      </w:r>
      <w:r>
        <w:rPr>
          <w:rFonts w:hint="eastAsia" w:ascii="宋体" w:hAnsi="宋体" w:eastAsia="宋体" w:cs="宋体"/>
          <w:color w:val="auto"/>
          <w:sz w:val="21"/>
          <w:szCs w:val="21"/>
          <w:highlight w:val="none"/>
        </w:rPr>
        <w:t>3.货物和服务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_Toc3780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"_Toc15945" </w:instrText>
      </w:r>
      <w:r>
        <w:rPr>
          <w:color w:val="auto"/>
          <w:highlight w:val="none"/>
        </w:rPr>
        <w:fldChar w:fldCharType="separate"/>
      </w:r>
      <w:r>
        <w:rPr>
          <w:rFonts w:hint="eastAsia" w:ascii="宋体" w:hAnsi="宋体" w:eastAsia="宋体" w:cs="宋体"/>
          <w:color w:val="auto"/>
          <w:sz w:val="21"/>
          <w:szCs w:val="21"/>
          <w:highlight w:val="none"/>
        </w:rPr>
        <w:t>4.投标费用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_Toc15945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"_Toc25040" </w:instrText>
      </w:r>
      <w:r>
        <w:rPr>
          <w:color w:val="auto"/>
          <w:highlight w:val="none"/>
        </w:rPr>
        <w:fldChar w:fldCharType="separate"/>
      </w:r>
      <w:r>
        <w:rPr>
          <w:rFonts w:hint="eastAsia" w:ascii="宋体" w:hAnsi="宋体" w:eastAsia="宋体" w:cs="宋体"/>
          <w:color w:val="auto"/>
          <w:sz w:val="21"/>
          <w:szCs w:val="21"/>
          <w:highlight w:val="none"/>
        </w:rPr>
        <w:t>5.知识产权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_Toc25040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"_Toc21930" </w:instrText>
      </w:r>
      <w:r>
        <w:rPr>
          <w:color w:val="auto"/>
          <w:highlight w:val="none"/>
        </w:rPr>
        <w:fldChar w:fldCharType="separate"/>
      </w:r>
      <w:r>
        <w:rPr>
          <w:rFonts w:hint="eastAsia" w:ascii="宋体" w:hAnsi="宋体" w:eastAsia="宋体" w:cs="宋体"/>
          <w:color w:val="auto"/>
          <w:sz w:val="21"/>
          <w:szCs w:val="21"/>
          <w:highlight w:val="none"/>
        </w:rPr>
        <w:t>6.关于联合体投标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_Toc21930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"_Toc16571" </w:instrText>
      </w:r>
      <w:r>
        <w:rPr>
          <w:color w:val="auto"/>
          <w:highlight w:val="none"/>
        </w:rPr>
        <w:fldChar w:fldCharType="separate"/>
      </w:r>
      <w:r>
        <w:rPr>
          <w:rFonts w:hint="eastAsia" w:ascii="宋体" w:hAnsi="宋体" w:eastAsia="宋体" w:cs="宋体"/>
          <w:color w:val="auto"/>
          <w:sz w:val="21"/>
          <w:szCs w:val="21"/>
          <w:highlight w:val="none"/>
        </w:rPr>
        <w:t>7.关于分支机构投标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_Toc16571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"_Toc17879" </w:instrText>
      </w:r>
      <w:r>
        <w:rPr>
          <w:color w:val="auto"/>
          <w:highlight w:val="none"/>
        </w:rPr>
        <w:fldChar w:fldCharType="separate"/>
      </w:r>
      <w:r>
        <w:rPr>
          <w:rFonts w:hint="eastAsia" w:ascii="宋体" w:hAnsi="宋体" w:eastAsia="宋体" w:cs="宋体"/>
          <w:color w:val="auto"/>
          <w:highlight w:val="none"/>
        </w:rPr>
        <w:t>二、 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_Toc17879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"_Toc21771" </w:instrText>
      </w:r>
      <w:r>
        <w:rPr>
          <w:color w:val="auto"/>
          <w:highlight w:val="none"/>
        </w:rPr>
        <w:fldChar w:fldCharType="separate"/>
      </w:r>
      <w:r>
        <w:rPr>
          <w:rFonts w:hint="eastAsia" w:ascii="宋体" w:hAnsi="宋体" w:eastAsia="宋体" w:cs="宋体"/>
          <w:color w:val="auto"/>
          <w:sz w:val="21"/>
          <w:szCs w:val="21"/>
          <w:highlight w:val="none"/>
        </w:rPr>
        <w:t>8.招标文件的组成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_Toc21771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"_Toc14217" </w:instrText>
      </w:r>
      <w:r>
        <w:rPr>
          <w:color w:val="auto"/>
          <w:highlight w:val="none"/>
        </w:rPr>
        <w:fldChar w:fldCharType="separate"/>
      </w:r>
      <w:r>
        <w:rPr>
          <w:rFonts w:hint="eastAsia" w:ascii="宋体" w:hAnsi="宋体" w:eastAsia="宋体" w:cs="宋体"/>
          <w:color w:val="auto"/>
          <w:sz w:val="21"/>
          <w:szCs w:val="21"/>
          <w:highlight w:val="none"/>
        </w:rPr>
        <w:t>9.招标文件的澄清或修改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_Toc14217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"_Toc23726" </w:instrText>
      </w:r>
      <w:r>
        <w:rPr>
          <w:color w:val="auto"/>
          <w:highlight w:val="none"/>
        </w:rPr>
        <w:fldChar w:fldCharType="separate"/>
      </w:r>
      <w:r>
        <w:rPr>
          <w:rFonts w:hint="eastAsia" w:ascii="宋体" w:hAnsi="宋体" w:eastAsia="宋体" w:cs="宋体"/>
          <w:color w:val="auto"/>
          <w:highlight w:val="none"/>
        </w:rPr>
        <w:t>三、 投标文件的编制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_Toc23726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"_Toc20623" </w:instrText>
      </w:r>
      <w:r>
        <w:rPr>
          <w:color w:val="auto"/>
          <w:highlight w:val="none"/>
        </w:rPr>
        <w:fldChar w:fldCharType="separate"/>
      </w:r>
      <w:r>
        <w:rPr>
          <w:rFonts w:hint="eastAsia" w:ascii="宋体" w:hAnsi="宋体" w:eastAsia="宋体" w:cs="宋体"/>
          <w:color w:val="auto"/>
          <w:sz w:val="21"/>
          <w:szCs w:val="21"/>
          <w:highlight w:val="none"/>
        </w:rPr>
        <w:t>10.投标文件的语言及度量衡单位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_Toc20623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"_Toc12145" </w:instrText>
      </w:r>
      <w:r>
        <w:rPr>
          <w:color w:val="auto"/>
          <w:highlight w:val="none"/>
        </w:rPr>
        <w:fldChar w:fldCharType="separate"/>
      </w:r>
      <w:r>
        <w:rPr>
          <w:rFonts w:hint="eastAsia" w:ascii="宋体" w:hAnsi="宋体" w:eastAsia="宋体" w:cs="宋体"/>
          <w:color w:val="auto"/>
          <w:sz w:val="21"/>
          <w:szCs w:val="21"/>
          <w:highlight w:val="none"/>
        </w:rPr>
        <w:t>11.投标文件的组成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_Toc12145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"_Toc30189" </w:instrText>
      </w:r>
      <w:r>
        <w:rPr>
          <w:color w:val="auto"/>
          <w:highlight w:val="none"/>
        </w:rPr>
        <w:fldChar w:fldCharType="separate"/>
      </w:r>
      <w:r>
        <w:rPr>
          <w:rFonts w:hint="eastAsia" w:ascii="宋体" w:hAnsi="宋体" w:eastAsia="宋体" w:cs="宋体"/>
          <w:color w:val="auto"/>
          <w:sz w:val="21"/>
          <w:szCs w:val="21"/>
          <w:highlight w:val="none"/>
        </w:rPr>
        <w:t>12.投标文件编制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_Toc30189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"_Toc259" </w:instrText>
      </w:r>
      <w:r>
        <w:rPr>
          <w:color w:val="auto"/>
          <w:highlight w:val="none"/>
        </w:rPr>
        <w:fldChar w:fldCharType="separate"/>
      </w:r>
      <w:r>
        <w:rPr>
          <w:rFonts w:hint="eastAsia" w:ascii="宋体" w:hAnsi="宋体" w:eastAsia="宋体" w:cs="宋体"/>
          <w:color w:val="auto"/>
          <w:sz w:val="21"/>
          <w:szCs w:val="21"/>
          <w:highlight w:val="none"/>
        </w:rPr>
        <w:t>13.投标报价说明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"_Toc27724" </w:instrText>
      </w:r>
      <w:r>
        <w:rPr>
          <w:color w:val="auto"/>
          <w:highlight w:val="none"/>
        </w:rPr>
        <w:fldChar w:fldCharType="separate"/>
      </w:r>
      <w:r>
        <w:rPr>
          <w:rFonts w:hint="eastAsia" w:ascii="宋体" w:hAnsi="宋体" w:eastAsia="宋体" w:cs="宋体"/>
          <w:color w:val="auto"/>
          <w:sz w:val="21"/>
          <w:szCs w:val="21"/>
          <w:highlight w:val="none"/>
        </w:rPr>
        <w:t>14.投标人所提供的服务或货物的证明文件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_Toc27724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"_Toc19520" </w:instrText>
      </w:r>
      <w:r>
        <w:rPr>
          <w:color w:val="auto"/>
          <w:highlight w:val="none"/>
        </w:rPr>
        <w:fldChar w:fldCharType="separate"/>
      </w:r>
      <w:r>
        <w:rPr>
          <w:rFonts w:hint="eastAsia" w:ascii="宋体" w:hAnsi="宋体" w:eastAsia="宋体" w:cs="宋体"/>
          <w:color w:val="auto"/>
          <w:sz w:val="21"/>
          <w:szCs w:val="21"/>
          <w:highlight w:val="none"/>
        </w:rPr>
        <w:t>15.投标有效期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_Toc19520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"_Toc12456" </w:instrText>
      </w:r>
      <w:r>
        <w:rPr>
          <w:color w:val="auto"/>
          <w:highlight w:val="none"/>
        </w:rPr>
        <w:fldChar w:fldCharType="separate"/>
      </w:r>
      <w:r>
        <w:rPr>
          <w:rFonts w:hint="eastAsia" w:ascii="宋体" w:hAnsi="宋体" w:eastAsia="宋体" w:cs="宋体"/>
          <w:color w:val="auto"/>
          <w:sz w:val="21"/>
          <w:szCs w:val="21"/>
          <w:highlight w:val="none"/>
        </w:rPr>
        <w:t>16.投标保证金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_Toc12456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"_Toc31124" </w:instrText>
      </w:r>
      <w:r>
        <w:rPr>
          <w:color w:val="auto"/>
          <w:highlight w:val="none"/>
        </w:rPr>
        <w:fldChar w:fldCharType="separate"/>
      </w:r>
      <w:r>
        <w:rPr>
          <w:rFonts w:hint="eastAsia" w:ascii="宋体" w:hAnsi="宋体" w:eastAsia="宋体" w:cs="宋体"/>
          <w:color w:val="auto"/>
          <w:highlight w:val="none"/>
        </w:rPr>
        <w:t>四、 投标文件的递交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_Toc31124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"_Toc29590" </w:instrText>
      </w:r>
      <w:r>
        <w:rPr>
          <w:color w:val="auto"/>
          <w:highlight w:val="none"/>
        </w:rPr>
        <w:fldChar w:fldCharType="separate"/>
      </w:r>
      <w:r>
        <w:rPr>
          <w:rFonts w:hint="eastAsia" w:ascii="宋体" w:hAnsi="宋体" w:eastAsia="宋体" w:cs="宋体"/>
          <w:color w:val="auto"/>
          <w:sz w:val="21"/>
          <w:szCs w:val="21"/>
          <w:highlight w:val="none"/>
        </w:rPr>
        <w:t>17.投标文件的装订，签署，密封和标记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_Toc29590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"_Toc8628" </w:instrText>
      </w:r>
      <w:r>
        <w:rPr>
          <w:color w:val="auto"/>
          <w:highlight w:val="none"/>
        </w:rPr>
        <w:fldChar w:fldCharType="separate"/>
      </w:r>
      <w:r>
        <w:rPr>
          <w:rFonts w:hint="eastAsia" w:ascii="宋体" w:hAnsi="宋体" w:eastAsia="宋体" w:cs="宋体"/>
          <w:color w:val="auto"/>
          <w:sz w:val="21"/>
          <w:szCs w:val="21"/>
          <w:highlight w:val="none"/>
        </w:rPr>
        <w:t>18.迟交的投标文件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_Toc8628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"_Toc13212" </w:instrText>
      </w:r>
      <w:r>
        <w:rPr>
          <w:color w:val="auto"/>
          <w:highlight w:val="none"/>
        </w:rPr>
        <w:fldChar w:fldCharType="separate"/>
      </w:r>
      <w:r>
        <w:rPr>
          <w:rFonts w:hint="eastAsia" w:ascii="宋体" w:hAnsi="宋体" w:eastAsia="宋体" w:cs="宋体"/>
          <w:color w:val="auto"/>
          <w:sz w:val="21"/>
          <w:szCs w:val="21"/>
          <w:highlight w:val="none"/>
        </w:rPr>
        <w:t>19.投标样品（如需提交）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_Toc13212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"_Toc5900" </w:instrText>
      </w:r>
      <w:r>
        <w:rPr>
          <w:color w:val="auto"/>
          <w:highlight w:val="none"/>
        </w:rPr>
        <w:fldChar w:fldCharType="separate"/>
      </w:r>
      <w:r>
        <w:rPr>
          <w:rFonts w:hint="eastAsia" w:ascii="宋体" w:hAnsi="宋体" w:eastAsia="宋体" w:cs="宋体"/>
          <w:color w:val="auto"/>
          <w:sz w:val="21"/>
          <w:szCs w:val="21"/>
          <w:highlight w:val="none"/>
        </w:rPr>
        <w:t>20.投标截止期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_Toc5900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"_Toc6003" </w:instrText>
      </w:r>
      <w:r>
        <w:rPr>
          <w:color w:val="auto"/>
          <w:highlight w:val="none"/>
        </w:rPr>
        <w:fldChar w:fldCharType="separate"/>
      </w:r>
      <w:r>
        <w:rPr>
          <w:rFonts w:hint="eastAsia" w:ascii="宋体" w:hAnsi="宋体" w:eastAsia="宋体" w:cs="宋体"/>
          <w:color w:val="auto"/>
          <w:sz w:val="21"/>
          <w:szCs w:val="21"/>
          <w:highlight w:val="none"/>
        </w:rPr>
        <w:t>21.投标文件的补充、修改与撤回</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_Toc6003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"_Toc29574" </w:instrText>
      </w:r>
      <w:r>
        <w:rPr>
          <w:color w:val="auto"/>
          <w:highlight w:val="none"/>
        </w:rPr>
        <w:fldChar w:fldCharType="separate"/>
      </w:r>
      <w:r>
        <w:rPr>
          <w:rFonts w:hint="eastAsia" w:ascii="宋体" w:hAnsi="宋体" w:eastAsia="宋体" w:cs="宋体"/>
          <w:color w:val="auto"/>
          <w:highlight w:val="none"/>
        </w:rPr>
        <w:t>五、 开标与评标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_Toc29574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"_Toc28458" </w:instrText>
      </w:r>
      <w:r>
        <w:rPr>
          <w:color w:val="auto"/>
          <w:highlight w:val="none"/>
        </w:rPr>
        <w:fldChar w:fldCharType="separate"/>
      </w:r>
      <w:r>
        <w:rPr>
          <w:rFonts w:hint="eastAsia" w:ascii="宋体" w:hAnsi="宋体" w:eastAsia="宋体" w:cs="宋体"/>
          <w:color w:val="auto"/>
          <w:sz w:val="21"/>
          <w:szCs w:val="21"/>
          <w:highlight w:val="none"/>
        </w:rPr>
        <w:t>22.开标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_Toc28458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"_Toc5524" </w:instrText>
      </w:r>
      <w:r>
        <w:rPr>
          <w:color w:val="auto"/>
          <w:highlight w:val="none"/>
        </w:rPr>
        <w:fldChar w:fldCharType="separate"/>
      </w:r>
      <w:r>
        <w:rPr>
          <w:rFonts w:hint="eastAsia" w:ascii="宋体" w:hAnsi="宋体" w:eastAsia="宋体" w:cs="宋体"/>
          <w:color w:val="auto"/>
          <w:sz w:val="21"/>
          <w:szCs w:val="21"/>
          <w:highlight w:val="none"/>
        </w:rPr>
        <w:t>23.评标委员会及评标方法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_Toc5524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"_Toc15231" </w:instrText>
      </w:r>
      <w:r>
        <w:rPr>
          <w:color w:val="auto"/>
          <w:highlight w:val="none"/>
        </w:rPr>
        <w:fldChar w:fldCharType="separate"/>
      </w:r>
      <w:r>
        <w:rPr>
          <w:rFonts w:hint="eastAsia" w:ascii="宋体" w:hAnsi="宋体" w:eastAsia="宋体" w:cs="宋体"/>
          <w:color w:val="auto"/>
          <w:sz w:val="21"/>
          <w:szCs w:val="21"/>
          <w:highlight w:val="none"/>
        </w:rPr>
        <w:t>24.评审原则及评标过程的保密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_Toc15231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"_Toc3762" </w:instrText>
      </w:r>
      <w:r>
        <w:rPr>
          <w:color w:val="auto"/>
          <w:highlight w:val="none"/>
        </w:rPr>
        <w:fldChar w:fldCharType="separate"/>
      </w:r>
      <w:r>
        <w:rPr>
          <w:rFonts w:hint="eastAsia" w:ascii="宋体" w:hAnsi="宋体" w:eastAsia="宋体" w:cs="宋体"/>
          <w:color w:val="auto"/>
          <w:sz w:val="21"/>
          <w:szCs w:val="21"/>
          <w:highlight w:val="none"/>
        </w:rPr>
        <w:t>25.投标文件的初审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_Toc3762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"_Toc21742" </w:instrText>
      </w:r>
      <w:r>
        <w:rPr>
          <w:color w:val="auto"/>
          <w:highlight w:val="none"/>
        </w:rPr>
        <w:fldChar w:fldCharType="separate"/>
      </w:r>
      <w:r>
        <w:rPr>
          <w:rFonts w:hint="eastAsia" w:ascii="宋体" w:hAnsi="宋体" w:eastAsia="宋体" w:cs="宋体"/>
          <w:color w:val="auto"/>
          <w:sz w:val="21"/>
          <w:szCs w:val="21"/>
          <w:highlight w:val="none"/>
        </w:rPr>
        <w:t>26.商务、技术、价格评审（具体评审项目详见投标资料表）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_Toc21742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"_Toc22192" </w:instrText>
      </w:r>
      <w:r>
        <w:rPr>
          <w:color w:val="auto"/>
          <w:highlight w:val="none"/>
        </w:rPr>
        <w:fldChar w:fldCharType="separate"/>
      </w:r>
      <w:r>
        <w:rPr>
          <w:rFonts w:hint="eastAsia" w:ascii="宋体" w:hAnsi="宋体" w:eastAsia="宋体" w:cs="宋体"/>
          <w:color w:val="auto"/>
          <w:sz w:val="21"/>
          <w:szCs w:val="21"/>
          <w:highlight w:val="none"/>
        </w:rPr>
        <w:t>27.优惠政策</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_Toc22192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"_Toc22591" </w:instrText>
      </w:r>
      <w:r>
        <w:rPr>
          <w:color w:val="auto"/>
          <w:highlight w:val="none"/>
        </w:rPr>
        <w:fldChar w:fldCharType="separate"/>
      </w:r>
      <w:r>
        <w:rPr>
          <w:rFonts w:hint="eastAsia" w:ascii="宋体" w:hAnsi="宋体" w:eastAsia="宋体" w:cs="宋体"/>
          <w:color w:val="auto"/>
          <w:sz w:val="21"/>
          <w:szCs w:val="21"/>
          <w:highlight w:val="none"/>
        </w:rPr>
        <w:t>28.纪律和保密事项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_Toc22591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"_Toc29310" </w:instrText>
      </w:r>
      <w:r>
        <w:rPr>
          <w:color w:val="auto"/>
          <w:highlight w:val="none"/>
        </w:rPr>
        <w:fldChar w:fldCharType="separate"/>
      </w:r>
      <w:r>
        <w:rPr>
          <w:rFonts w:hint="eastAsia" w:ascii="宋体" w:hAnsi="宋体" w:eastAsia="宋体" w:cs="宋体"/>
          <w:color w:val="auto"/>
          <w:highlight w:val="none"/>
        </w:rPr>
        <w:t>六、 授予合同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_Toc29310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"_Toc27817" </w:instrText>
      </w:r>
      <w:r>
        <w:rPr>
          <w:color w:val="auto"/>
          <w:highlight w:val="none"/>
        </w:rPr>
        <w:fldChar w:fldCharType="separate"/>
      </w:r>
      <w:r>
        <w:rPr>
          <w:rFonts w:hint="eastAsia" w:ascii="宋体" w:hAnsi="宋体" w:eastAsia="宋体" w:cs="宋体"/>
          <w:color w:val="auto"/>
          <w:sz w:val="21"/>
          <w:szCs w:val="21"/>
          <w:highlight w:val="none"/>
        </w:rPr>
        <w:t>29.合同授予标准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_Toc27817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"_Toc29283" </w:instrText>
      </w:r>
      <w:r>
        <w:rPr>
          <w:color w:val="auto"/>
          <w:highlight w:val="none"/>
        </w:rPr>
        <w:fldChar w:fldCharType="separate"/>
      </w:r>
      <w:r>
        <w:rPr>
          <w:rFonts w:hint="eastAsia" w:ascii="宋体" w:hAnsi="宋体" w:eastAsia="宋体" w:cs="宋体"/>
          <w:color w:val="auto"/>
          <w:sz w:val="21"/>
          <w:szCs w:val="21"/>
          <w:highlight w:val="none"/>
        </w:rPr>
        <w:t>30.发布采购结果</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_Toc29283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"_Toc22451" </w:instrText>
      </w:r>
      <w:r>
        <w:rPr>
          <w:color w:val="auto"/>
          <w:highlight w:val="none"/>
        </w:rPr>
        <w:fldChar w:fldCharType="separate"/>
      </w:r>
      <w:r>
        <w:rPr>
          <w:rFonts w:hint="eastAsia" w:ascii="宋体" w:hAnsi="宋体" w:eastAsia="宋体" w:cs="宋体"/>
          <w:color w:val="auto"/>
          <w:sz w:val="21"/>
          <w:szCs w:val="21"/>
          <w:highlight w:val="none"/>
        </w:rPr>
        <w:t>31.合同的签订与履行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_Toc22451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"_Toc2744" </w:instrText>
      </w:r>
      <w:r>
        <w:rPr>
          <w:color w:val="auto"/>
          <w:highlight w:val="none"/>
        </w:rPr>
        <w:fldChar w:fldCharType="separate"/>
      </w:r>
      <w:r>
        <w:rPr>
          <w:rFonts w:hint="eastAsia" w:ascii="宋体" w:hAnsi="宋体" w:eastAsia="宋体" w:cs="宋体"/>
          <w:color w:val="auto"/>
          <w:sz w:val="21"/>
          <w:szCs w:val="21"/>
          <w:highlight w:val="none"/>
        </w:rPr>
        <w:t>32.履约保证金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_Toc2744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"_Toc13694" </w:instrText>
      </w:r>
      <w:r>
        <w:rPr>
          <w:color w:val="auto"/>
          <w:highlight w:val="none"/>
        </w:rPr>
        <w:fldChar w:fldCharType="separate"/>
      </w:r>
      <w:r>
        <w:rPr>
          <w:rFonts w:hint="eastAsia" w:ascii="宋体" w:hAnsi="宋体" w:eastAsia="宋体" w:cs="宋体"/>
          <w:color w:val="auto"/>
          <w:highlight w:val="none"/>
        </w:rPr>
        <w:t>七、询问或质疑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_Toc13694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"_Toc25498" </w:instrText>
      </w:r>
      <w:r>
        <w:rPr>
          <w:color w:val="auto"/>
          <w:highlight w:val="none"/>
        </w:rPr>
        <w:fldChar w:fldCharType="separate"/>
      </w:r>
      <w:r>
        <w:rPr>
          <w:rFonts w:hint="eastAsia" w:ascii="宋体" w:hAnsi="宋体" w:eastAsia="宋体" w:cs="宋体"/>
          <w:color w:val="auto"/>
          <w:sz w:val="21"/>
          <w:szCs w:val="21"/>
          <w:highlight w:val="none"/>
        </w:rPr>
        <w:t>33.询问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_Toc25498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"_Toc8234" </w:instrText>
      </w:r>
      <w:r>
        <w:rPr>
          <w:color w:val="auto"/>
          <w:highlight w:val="none"/>
        </w:rPr>
        <w:fldChar w:fldCharType="separate"/>
      </w:r>
      <w:r>
        <w:rPr>
          <w:rFonts w:hint="eastAsia" w:ascii="宋体" w:hAnsi="宋体" w:eastAsia="宋体" w:cs="宋体"/>
          <w:color w:val="auto"/>
          <w:sz w:val="21"/>
          <w:szCs w:val="21"/>
          <w:highlight w:val="none"/>
        </w:rPr>
        <w:t>34.质疑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_Toc8234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"_Toc24383" </w:instrText>
      </w:r>
      <w:r>
        <w:rPr>
          <w:color w:val="auto"/>
          <w:highlight w:val="none"/>
        </w:rPr>
        <w:fldChar w:fldCharType="separate"/>
      </w:r>
      <w:r>
        <w:rPr>
          <w:rFonts w:hint="eastAsia" w:ascii="宋体" w:hAnsi="宋体" w:eastAsia="宋体" w:cs="宋体"/>
          <w:color w:val="auto"/>
          <w:highlight w:val="none"/>
        </w:rPr>
        <w:t>八、其他</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_Toc24383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"_Toc10082" </w:instrText>
      </w:r>
      <w:r>
        <w:rPr>
          <w:color w:val="auto"/>
          <w:highlight w:val="none"/>
        </w:rPr>
        <w:fldChar w:fldCharType="separate"/>
      </w:r>
      <w:r>
        <w:rPr>
          <w:rFonts w:hint="eastAsia" w:ascii="宋体" w:hAnsi="宋体" w:eastAsia="宋体" w:cs="宋体"/>
          <w:color w:val="auto"/>
          <w:sz w:val="21"/>
          <w:szCs w:val="21"/>
          <w:highlight w:val="none"/>
        </w:rPr>
        <w:t>35.招标文件的解释权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_Toc10082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"_Toc21448" </w:instrText>
      </w:r>
      <w:r>
        <w:rPr>
          <w:color w:val="auto"/>
          <w:highlight w:val="none"/>
        </w:rPr>
        <w:fldChar w:fldCharType="separate"/>
      </w:r>
      <w:r>
        <w:rPr>
          <w:rFonts w:hint="eastAsia" w:cs="宋体"/>
          <w:color w:val="auto"/>
          <w:sz w:val="21"/>
          <w:szCs w:val="21"/>
          <w:highlight w:val="none"/>
        </w:rPr>
        <w:t>第五部分 合同格式（仅供参考）</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_Toc21448 </w:instrText>
      </w:r>
      <w:r>
        <w:rPr>
          <w:rFonts w:hint="eastAsia" w:cs="宋体"/>
          <w:color w:val="auto"/>
          <w:sz w:val="21"/>
          <w:szCs w:val="21"/>
          <w:highlight w:val="none"/>
        </w:rPr>
        <w:fldChar w:fldCharType="separate"/>
      </w:r>
      <w:r>
        <w:rPr>
          <w:rFonts w:hint="eastAsia" w:cs="宋体"/>
          <w:color w:val="auto"/>
          <w:sz w:val="21"/>
          <w:szCs w:val="21"/>
          <w:highlight w:val="none"/>
        </w:rPr>
        <w:t>44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8"/>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"_Toc16730" </w:instrText>
      </w:r>
      <w:r>
        <w:rPr>
          <w:color w:val="auto"/>
          <w:highlight w:val="none"/>
        </w:rPr>
        <w:fldChar w:fldCharType="separate"/>
      </w:r>
      <w:r>
        <w:rPr>
          <w:rFonts w:hint="eastAsia" w:ascii="宋体" w:hAnsi="宋体" w:eastAsia="宋体" w:cs="宋体"/>
          <w:color w:val="auto"/>
          <w:highlight w:val="none"/>
        </w:rPr>
        <w:t>合同格式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_Toc16730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6"/>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"_Toc23749" </w:instrText>
      </w:r>
      <w:r>
        <w:rPr>
          <w:color w:val="auto"/>
          <w:highlight w:val="none"/>
        </w:rPr>
        <w:fldChar w:fldCharType="separate"/>
      </w:r>
      <w:r>
        <w:rPr>
          <w:rFonts w:hint="eastAsia" w:cs="宋体"/>
          <w:color w:val="auto"/>
          <w:sz w:val="21"/>
          <w:szCs w:val="21"/>
          <w:highlight w:val="none"/>
        </w:rPr>
        <w:t>第六部分  附件－投标文件格式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_Toc23749 </w:instrText>
      </w:r>
      <w:r>
        <w:rPr>
          <w:rFonts w:hint="eastAsia" w:cs="宋体"/>
          <w:color w:val="auto"/>
          <w:sz w:val="21"/>
          <w:szCs w:val="21"/>
          <w:highlight w:val="none"/>
        </w:rPr>
        <w:fldChar w:fldCharType="separate"/>
      </w:r>
      <w:r>
        <w:rPr>
          <w:rFonts w:hint="eastAsia" w:cs="宋体"/>
          <w:color w:val="auto"/>
          <w:sz w:val="21"/>
          <w:szCs w:val="21"/>
          <w:highlight w:val="none"/>
        </w:rPr>
        <w:t>47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"_Toc26830" </w:instrText>
      </w:r>
      <w:r>
        <w:rPr>
          <w:color w:val="auto"/>
          <w:highlight w:val="none"/>
        </w:rPr>
        <w:fldChar w:fldCharType="separate"/>
      </w:r>
      <w:r>
        <w:rPr>
          <w:rFonts w:hint="eastAsia" w:ascii="宋体" w:hAnsi="宋体" w:eastAsia="宋体" w:cs="宋体"/>
          <w:color w:val="auto"/>
          <w:sz w:val="21"/>
          <w:szCs w:val="21"/>
          <w:highlight w:val="none"/>
        </w:rPr>
        <w:t>附件1.投标文件目录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_Toc26830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"_Toc18893" </w:instrText>
      </w:r>
      <w:r>
        <w:rPr>
          <w:color w:val="auto"/>
          <w:highlight w:val="none"/>
        </w:rPr>
        <w:fldChar w:fldCharType="separate"/>
      </w:r>
      <w:r>
        <w:rPr>
          <w:rFonts w:hint="eastAsia" w:ascii="宋体" w:hAnsi="宋体" w:eastAsia="宋体" w:cs="宋体"/>
          <w:color w:val="auto"/>
          <w:sz w:val="21"/>
          <w:szCs w:val="21"/>
          <w:highlight w:val="none"/>
        </w:rPr>
        <w:t>附件1-1 评分标准索引表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_Toc18893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"_Toc30640" </w:instrText>
      </w:r>
      <w:r>
        <w:rPr>
          <w:color w:val="auto"/>
          <w:highlight w:val="none"/>
        </w:rPr>
        <w:fldChar w:fldCharType="separate"/>
      </w:r>
      <w:r>
        <w:rPr>
          <w:rFonts w:hint="eastAsia" w:ascii="宋体" w:hAnsi="宋体" w:eastAsia="宋体" w:cs="宋体"/>
          <w:color w:val="auto"/>
          <w:sz w:val="21"/>
          <w:szCs w:val="21"/>
          <w:highlight w:val="none"/>
        </w:rPr>
        <w:t>附件2.投标书格式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_Toc30640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"_Toc6866" </w:instrText>
      </w:r>
      <w:r>
        <w:rPr>
          <w:color w:val="auto"/>
          <w:highlight w:val="none"/>
        </w:rPr>
        <w:fldChar w:fldCharType="separate"/>
      </w:r>
      <w:r>
        <w:rPr>
          <w:rFonts w:hint="eastAsia" w:ascii="宋体" w:hAnsi="宋体" w:eastAsia="宋体" w:cs="宋体"/>
          <w:color w:val="auto"/>
          <w:sz w:val="21"/>
          <w:szCs w:val="21"/>
          <w:highlight w:val="none"/>
        </w:rPr>
        <w:t>附件3.开标一览表格式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_Toc6866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"_Toc3254" </w:instrText>
      </w:r>
      <w:r>
        <w:rPr>
          <w:color w:val="auto"/>
          <w:highlight w:val="none"/>
        </w:rPr>
        <w:fldChar w:fldCharType="separate"/>
      </w:r>
      <w:r>
        <w:rPr>
          <w:rFonts w:hint="eastAsia" w:ascii="宋体" w:hAnsi="宋体" w:eastAsia="宋体" w:cs="宋体"/>
          <w:color w:val="auto"/>
          <w:sz w:val="21"/>
          <w:szCs w:val="21"/>
          <w:highlight w:val="none"/>
        </w:rPr>
        <w:t>附件4.投标分项报价表格式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_Toc3254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"_Toc16412" </w:instrText>
      </w:r>
      <w:r>
        <w:rPr>
          <w:color w:val="auto"/>
          <w:highlight w:val="none"/>
        </w:rPr>
        <w:fldChar w:fldCharType="separate"/>
      </w:r>
      <w:r>
        <w:rPr>
          <w:rFonts w:hint="eastAsia" w:ascii="宋体" w:hAnsi="宋体" w:eastAsia="宋体" w:cs="宋体"/>
          <w:color w:val="auto"/>
          <w:sz w:val="21"/>
          <w:szCs w:val="21"/>
          <w:highlight w:val="none"/>
        </w:rPr>
        <w:t>附件5.法定代表人证明书格式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_Toc16412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"_Toc31205" </w:instrText>
      </w:r>
      <w:r>
        <w:rPr>
          <w:color w:val="auto"/>
          <w:highlight w:val="none"/>
        </w:rPr>
        <w:fldChar w:fldCharType="separate"/>
      </w:r>
      <w:r>
        <w:rPr>
          <w:rFonts w:hint="eastAsia" w:ascii="宋体" w:hAnsi="宋体" w:eastAsia="宋体" w:cs="宋体"/>
          <w:color w:val="auto"/>
          <w:sz w:val="21"/>
          <w:szCs w:val="21"/>
          <w:highlight w:val="none"/>
        </w:rPr>
        <w:t>附件6.法定代表人授权书格式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_Toc31205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"_Toc17164" </w:instrText>
      </w:r>
      <w:r>
        <w:rPr>
          <w:color w:val="auto"/>
          <w:highlight w:val="none"/>
        </w:rPr>
        <w:fldChar w:fldCharType="separate"/>
      </w:r>
      <w:r>
        <w:rPr>
          <w:rFonts w:hint="eastAsia" w:ascii="宋体" w:hAnsi="宋体" w:eastAsia="宋体" w:cs="宋体"/>
          <w:color w:val="auto"/>
          <w:sz w:val="21"/>
          <w:szCs w:val="21"/>
          <w:highlight w:val="none"/>
        </w:rPr>
        <w:t>附件7.资格申明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_Toc17164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"_Toc27839" </w:instrText>
      </w:r>
      <w:r>
        <w:rPr>
          <w:color w:val="auto"/>
          <w:highlight w:val="none"/>
        </w:rPr>
        <w:fldChar w:fldCharType="separate"/>
      </w:r>
      <w:r>
        <w:rPr>
          <w:rFonts w:hint="eastAsia" w:ascii="宋体" w:hAnsi="宋体" w:eastAsia="宋体" w:cs="宋体"/>
          <w:color w:val="auto"/>
          <w:sz w:val="21"/>
          <w:szCs w:val="21"/>
          <w:highlight w:val="none"/>
        </w:rPr>
        <w:t>附件8.营业执照</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_Toc27839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"_Toc26141" </w:instrText>
      </w:r>
      <w:r>
        <w:rPr>
          <w:color w:val="auto"/>
          <w:highlight w:val="none"/>
        </w:rPr>
        <w:fldChar w:fldCharType="separate"/>
      </w:r>
      <w:r>
        <w:rPr>
          <w:rFonts w:hint="eastAsia" w:ascii="宋体" w:hAnsi="宋体" w:eastAsia="宋体" w:cs="宋体"/>
          <w:color w:val="auto"/>
          <w:sz w:val="21"/>
          <w:szCs w:val="21"/>
          <w:highlight w:val="none"/>
        </w:rPr>
        <w:t>附件9.相关资质证明文件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_Toc26141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"_Toc17618" </w:instrText>
      </w:r>
      <w:r>
        <w:rPr>
          <w:color w:val="auto"/>
          <w:highlight w:val="none"/>
        </w:rPr>
        <w:fldChar w:fldCharType="separate"/>
      </w:r>
      <w:r>
        <w:rPr>
          <w:rFonts w:hint="eastAsia" w:ascii="宋体" w:hAnsi="宋体" w:eastAsia="宋体" w:cs="宋体"/>
          <w:color w:val="auto"/>
          <w:sz w:val="21"/>
          <w:szCs w:val="21"/>
          <w:highlight w:val="none"/>
        </w:rPr>
        <w:t>附件10.商务条款偏离表格式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_Toc17618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"_Toc32183" </w:instrText>
      </w:r>
      <w:r>
        <w:rPr>
          <w:color w:val="auto"/>
          <w:highlight w:val="none"/>
        </w:rPr>
        <w:fldChar w:fldCharType="separate"/>
      </w:r>
      <w:r>
        <w:rPr>
          <w:rFonts w:hint="eastAsia" w:ascii="宋体" w:hAnsi="宋体" w:eastAsia="宋体" w:cs="宋体"/>
          <w:color w:val="auto"/>
          <w:sz w:val="21"/>
          <w:szCs w:val="21"/>
          <w:highlight w:val="none"/>
        </w:rPr>
        <w:t>附件11.技术规格偏离表格式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_Toc32183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"_Toc29613" </w:instrText>
      </w:r>
      <w:r>
        <w:rPr>
          <w:color w:val="auto"/>
          <w:highlight w:val="none"/>
        </w:rPr>
        <w:fldChar w:fldCharType="separate"/>
      </w:r>
      <w:r>
        <w:rPr>
          <w:rFonts w:hint="eastAsia" w:ascii="宋体" w:hAnsi="宋体" w:eastAsia="宋体" w:cs="宋体"/>
          <w:color w:val="auto"/>
          <w:sz w:val="21"/>
          <w:szCs w:val="21"/>
          <w:highlight w:val="none"/>
        </w:rPr>
        <w:t>附件12.重要技术参数（▲）响应表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_Toc29613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"_Toc27674" </w:instrText>
      </w:r>
      <w:r>
        <w:rPr>
          <w:color w:val="auto"/>
          <w:highlight w:val="none"/>
        </w:rPr>
        <w:fldChar w:fldCharType="separate"/>
      </w:r>
      <w:r>
        <w:rPr>
          <w:rFonts w:hint="eastAsia" w:ascii="宋体" w:hAnsi="宋体" w:eastAsia="宋体" w:cs="宋体"/>
          <w:color w:val="auto"/>
          <w:sz w:val="21"/>
          <w:szCs w:val="21"/>
          <w:highlight w:val="none"/>
        </w:rPr>
        <w:t>附件13.业绩表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_Toc27674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"_Toc7860" </w:instrText>
      </w:r>
      <w:r>
        <w:rPr>
          <w:color w:val="auto"/>
          <w:highlight w:val="none"/>
        </w:rPr>
        <w:fldChar w:fldCharType="separate"/>
      </w:r>
      <w:r>
        <w:rPr>
          <w:rFonts w:hint="eastAsia" w:ascii="宋体" w:hAnsi="宋体" w:eastAsia="宋体" w:cs="宋体"/>
          <w:color w:val="auto"/>
          <w:sz w:val="21"/>
          <w:szCs w:val="21"/>
          <w:highlight w:val="none"/>
        </w:rPr>
        <w:t>附件14.项目实施方案格式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_Toc7860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"_Toc8596" </w:instrText>
      </w:r>
      <w:r>
        <w:rPr>
          <w:color w:val="auto"/>
          <w:highlight w:val="none"/>
        </w:rPr>
        <w:fldChar w:fldCharType="separate"/>
      </w:r>
      <w:r>
        <w:rPr>
          <w:rFonts w:hint="eastAsia" w:ascii="宋体" w:hAnsi="宋体" w:eastAsia="宋体" w:cs="宋体"/>
          <w:color w:val="auto"/>
          <w:sz w:val="21"/>
          <w:szCs w:val="21"/>
          <w:highlight w:val="none"/>
        </w:rPr>
        <w:t>附件15.实施本项目的有关人员资料表格式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_Toc8596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"_Toc21598" </w:instrText>
      </w:r>
      <w:r>
        <w:rPr>
          <w:color w:val="auto"/>
          <w:highlight w:val="none"/>
        </w:rPr>
        <w:fldChar w:fldCharType="separate"/>
      </w:r>
      <w:r>
        <w:rPr>
          <w:rFonts w:hint="eastAsia" w:ascii="宋体" w:hAnsi="宋体" w:eastAsia="宋体" w:cs="宋体"/>
          <w:color w:val="auto"/>
          <w:sz w:val="21"/>
          <w:szCs w:val="21"/>
          <w:highlight w:val="none"/>
        </w:rPr>
        <w:t>附件16.投标货物说明一览表格式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_Toc21598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"_Toc10094" </w:instrText>
      </w:r>
      <w:r>
        <w:rPr>
          <w:color w:val="auto"/>
          <w:highlight w:val="none"/>
        </w:rPr>
        <w:fldChar w:fldCharType="separate"/>
      </w:r>
      <w:r>
        <w:rPr>
          <w:rFonts w:hint="eastAsia" w:ascii="宋体" w:hAnsi="宋体" w:eastAsia="宋体" w:cs="宋体"/>
          <w:color w:val="auto"/>
          <w:sz w:val="21"/>
          <w:szCs w:val="21"/>
          <w:highlight w:val="none"/>
        </w:rPr>
        <w:t>附件17.在经营活动中没有重大违法记录的书面声明格式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_Toc10094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"_Toc21223" </w:instrText>
      </w:r>
      <w:r>
        <w:rPr>
          <w:color w:val="auto"/>
          <w:highlight w:val="none"/>
        </w:rPr>
        <w:fldChar w:fldCharType="separate"/>
      </w:r>
      <w:r>
        <w:rPr>
          <w:rFonts w:hint="eastAsia" w:ascii="宋体" w:hAnsi="宋体" w:eastAsia="宋体" w:cs="宋体"/>
          <w:color w:val="auto"/>
          <w:sz w:val="21"/>
          <w:szCs w:val="21"/>
          <w:highlight w:val="none"/>
        </w:rPr>
        <w:t>附件18.中小企业声明函（投标人为中小企业时适用）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_Toc21223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"_Toc28081" </w:instrText>
      </w:r>
      <w:r>
        <w:rPr>
          <w:color w:val="auto"/>
          <w:highlight w:val="none"/>
        </w:rPr>
        <w:fldChar w:fldCharType="separate"/>
      </w:r>
      <w:r>
        <w:rPr>
          <w:rFonts w:hint="eastAsia" w:ascii="宋体" w:hAnsi="宋体" w:eastAsia="宋体" w:cs="宋体"/>
          <w:color w:val="auto"/>
          <w:sz w:val="21"/>
          <w:szCs w:val="21"/>
          <w:highlight w:val="none"/>
        </w:rPr>
        <w:t>附件19.《残疾人福利性单位声明函》（残疾人福利性单位适用）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_Toc28081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"_Toc25634" </w:instrText>
      </w:r>
      <w:r>
        <w:rPr>
          <w:color w:val="auto"/>
          <w:highlight w:val="none"/>
        </w:rPr>
        <w:fldChar w:fldCharType="separate"/>
      </w:r>
      <w:r>
        <w:rPr>
          <w:rFonts w:hint="eastAsia" w:ascii="宋体" w:hAnsi="宋体" w:eastAsia="宋体" w:cs="宋体"/>
          <w:color w:val="auto"/>
          <w:sz w:val="21"/>
          <w:szCs w:val="21"/>
          <w:highlight w:val="none"/>
        </w:rPr>
        <w:t>附件20.投标保证金汇入情况说明格式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_Toc25634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"_Toc4363" </w:instrText>
      </w:r>
      <w:r>
        <w:rPr>
          <w:color w:val="auto"/>
          <w:highlight w:val="none"/>
        </w:rPr>
        <w:fldChar w:fldCharType="separate"/>
      </w:r>
      <w:r>
        <w:rPr>
          <w:rFonts w:hint="eastAsia" w:ascii="宋体" w:hAnsi="宋体" w:eastAsia="宋体" w:cs="宋体"/>
          <w:color w:val="auto"/>
          <w:sz w:val="21"/>
          <w:szCs w:val="21"/>
          <w:highlight w:val="none"/>
        </w:rPr>
        <w:t>附件21.政府采购投标担保函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_Toc4363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"_Toc27534" </w:instrText>
      </w:r>
      <w:r>
        <w:rPr>
          <w:color w:val="auto"/>
          <w:highlight w:val="none"/>
        </w:rPr>
        <w:fldChar w:fldCharType="separate"/>
      </w:r>
      <w:r>
        <w:rPr>
          <w:rFonts w:hint="eastAsia" w:ascii="宋体" w:hAnsi="宋体" w:eastAsia="宋体" w:cs="宋体"/>
          <w:color w:val="auto"/>
          <w:sz w:val="21"/>
          <w:szCs w:val="21"/>
          <w:highlight w:val="none"/>
        </w:rPr>
        <w:t>附件22.政府采购履约担保函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_Toc27534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"_Toc17023" </w:instrText>
      </w:r>
      <w:r>
        <w:rPr>
          <w:color w:val="auto"/>
          <w:highlight w:val="none"/>
        </w:rPr>
        <w:fldChar w:fldCharType="separate"/>
      </w:r>
      <w:r>
        <w:rPr>
          <w:rFonts w:hint="eastAsia" w:ascii="宋体" w:hAnsi="宋体" w:eastAsia="宋体" w:cs="宋体"/>
          <w:color w:val="auto"/>
          <w:sz w:val="21"/>
          <w:szCs w:val="21"/>
          <w:highlight w:val="none"/>
        </w:rPr>
        <w:t>附件23.获取招标文件登记表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_Toc17023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"_Toc11182" </w:instrText>
      </w:r>
      <w:r>
        <w:rPr>
          <w:color w:val="auto"/>
          <w:highlight w:val="none"/>
        </w:rPr>
        <w:fldChar w:fldCharType="separate"/>
      </w:r>
      <w:r>
        <w:rPr>
          <w:rFonts w:hint="eastAsia" w:ascii="宋体" w:hAnsi="宋体" w:eastAsia="宋体" w:cs="宋体"/>
          <w:color w:val="auto"/>
          <w:sz w:val="21"/>
          <w:szCs w:val="21"/>
          <w:highlight w:val="none"/>
        </w:rPr>
        <w:t>附件24.质疑函范本</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_Toc11182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jc w:val="both"/>
        <w:rPr>
          <w:rFonts w:cs="宋体"/>
          <w:color w:val="auto"/>
          <w:szCs w:val="21"/>
          <w:highlight w:val="none"/>
        </w:rPr>
      </w:pPr>
      <w:r>
        <w:rPr>
          <w:rFonts w:hint="eastAsia" w:ascii="宋体" w:hAnsi="宋体" w:eastAsia="宋体" w:cs="宋体"/>
          <w:color w:val="auto"/>
          <w:sz w:val="21"/>
          <w:szCs w:val="21"/>
          <w:highlight w:val="none"/>
        </w:rPr>
        <w:fldChar w:fldCharType="end"/>
      </w:r>
    </w:p>
    <w:p>
      <w:pPr>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4"/>
        <w:spacing w:before="0" w:after="0" w:line="240" w:lineRule="auto"/>
        <w:rPr>
          <w:color w:val="auto"/>
          <w:sz w:val="28"/>
          <w:szCs w:val="28"/>
          <w:highlight w:val="none"/>
        </w:rPr>
      </w:pPr>
      <w:r>
        <w:rPr>
          <w:rFonts w:hint="eastAsia"/>
          <w:color w:val="auto"/>
          <w:sz w:val="28"/>
          <w:szCs w:val="28"/>
          <w:highlight w:val="none"/>
        </w:rPr>
        <w:t>第一部分 投标邀请</w:t>
      </w:r>
    </w:p>
    <w:p>
      <w:pPr>
        <w:pStyle w:val="5"/>
        <w:spacing w:before="0" w:after="0" w:line="360" w:lineRule="auto"/>
        <w:jc w:val="center"/>
        <w:rPr>
          <w:rFonts w:ascii="宋体" w:hAnsi="宋体" w:eastAsia="宋体" w:cs="宋体"/>
          <w:color w:val="auto"/>
          <w:highlight w:val="none"/>
        </w:rPr>
      </w:pPr>
      <w:bookmarkStart w:id="0" w:name="_Toc1420"/>
      <w:r>
        <w:rPr>
          <w:rFonts w:hint="eastAsia" w:ascii="宋体" w:hAnsi="宋体" w:eastAsia="宋体" w:cs="宋体"/>
          <w:color w:val="auto"/>
          <w:highlight w:val="none"/>
        </w:rPr>
        <w:t>投标邀请书</w:t>
      </w:r>
      <w:bookmarkEnd w:id="0"/>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广东政通招标有限公司</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）受</w:t>
      </w:r>
      <w:r>
        <w:rPr>
          <w:rFonts w:hint="eastAsia" w:ascii="宋体" w:hAnsi="宋体" w:eastAsia="宋体"/>
          <w:color w:val="auto"/>
          <w:sz w:val="21"/>
          <w:szCs w:val="21"/>
          <w:highlight w:val="none"/>
        </w:rPr>
        <w:t>东莞滨海湾新区管理委员会</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）委托，</w:t>
      </w:r>
      <w:r>
        <w:rPr>
          <w:rFonts w:hint="eastAsia" w:ascii="宋体" w:hAnsi="宋体" w:eastAsia="宋体"/>
          <w:color w:val="auto"/>
          <w:sz w:val="21"/>
          <w:szCs w:val="21"/>
          <w:highlight w:val="none"/>
        </w:rPr>
        <w:t>现</w:t>
      </w:r>
      <w:r>
        <w:rPr>
          <w:rFonts w:ascii="宋体" w:hAnsi="宋体" w:eastAsia="宋体"/>
          <w:color w:val="auto"/>
          <w:sz w:val="21"/>
          <w:szCs w:val="21"/>
          <w:highlight w:val="none"/>
        </w:rPr>
        <w:t>就</w:t>
      </w:r>
      <w:r>
        <w:rPr>
          <w:rFonts w:hint="eastAsia" w:ascii="宋体" w:hAnsi="宋体" w:eastAsia="宋体"/>
          <w:b/>
          <w:bCs/>
          <w:color w:val="auto"/>
          <w:sz w:val="21"/>
          <w:szCs w:val="21"/>
          <w:highlight w:val="none"/>
          <w:u w:val="single"/>
        </w:rPr>
        <w:t>东莞滨海湾新区交椅湾智慧道路(二期）后台设备采购项目</w:t>
      </w:r>
      <w:r>
        <w:rPr>
          <w:rFonts w:hint="eastAsia" w:ascii="宋体" w:hAnsi="宋体" w:eastAsia="宋体"/>
          <w:color w:val="auto"/>
          <w:sz w:val="21"/>
          <w:szCs w:val="21"/>
          <w:highlight w:val="none"/>
        </w:rPr>
        <w:t>（采购项目编号：</w:t>
      </w:r>
      <w:r>
        <w:rPr>
          <w:rFonts w:hint="eastAsia" w:ascii="宋体" w:hAnsi="宋体" w:eastAsia="宋体"/>
          <w:b/>
          <w:bCs/>
          <w:color w:val="auto"/>
          <w:sz w:val="21"/>
          <w:szCs w:val="21"/>
          <w:highlight w:val="none"/>
          <w:u w:val="single"/>
        </w:rPr>
        <w:t>441900011-2021-00039</w:t>
      </w:r>
      <w:r>
        <w:rPr>
          <w:rFonts w:hint="eastAsia" w:ascii="宋体" w:hAnsi="宋体" w:eastAsia="宋体"/>
          <w:color w:val="auto"/>
          <w:sz w:val="21"/>
          <w:szCs w:val="21"/>
          <w:highlight w:val="none"/>
        </w:rPr>
        <w:t>）</w:t>
      </w:r>
      <w:r>
        <w:rPr>
          <w:rFonts w:hint="eastAsia" w:ascii="宋体" w:hAnsi="宋体" w:eastAsia="宋体" w:cs="Times New Roman"/>
          <w:color w:val="auto"/>
          <w:sz w:val="21"/>
          <w:szCs w:val="21"/>
          <w:highlight w:val="none"/>
        </w:rPr>
        <w:t>进行国内公开招标采购</w:t>
      </w:r>
      <w:r>
        <w:rPr>
          <w:rFonts w:hint="eastAsia" w:ascii="宋体" w:hAnsi="宋体" w:eastAsia="宋体"/>
          <w:color w:val="auto"/>
          <w:sz w:val="21"/>
          <w:szCs w:val="21"/>
          <w:highlight w:val="none"/>
        </w:rPr>
        <w:t>，欢迎符合招标文件要求的国内投标人参加投标</w:t>
      </w:r>
      <w:r>
        <w:rPr>
          <w:rFonts w:ascii="宋体" w:hAnsi="宋体" w:eastAsia="宋体"/>
          <w:color w:val="auto"/>
          <w:sz w:val="21"/>
          <w:szCs w:val="21"/>
          <w:highlight w:val="none"/>
        </w:rPr>
        <w:t>。有关事项如下：</w:t>
      </w:r>
    </w:p>
    <w:p>
      <w:pPr>
        <w:spacing w:after="0" w:line="360" w:lineRule="auto"/>
        <w:ind w:firstLine="413" w:firstLineChars="196"/>
        <w:rPr>
          <w:rFonts w:ascii="宋体" w:hAnsi="宋体" w:eastAsia="宋体"/>
          <w:b/>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一、招标项目的名称、用途、简要技术要求或者招标项目的性质</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1、项目内容：</w:t>
      </w:r>
      <w:r>
        <w:rPr>
          <w:rFonts w:hint="eastAsia" w:ascii="宋体" w:hAnsi="宋体" w:eastAsia="宋体"/>
          <w:b/>
          <w:bCs/>
          <w:color w:val="auto"/>
          <w:sz w:val="21"/>
          <w:szCs w:val="21"/>
          <w:highlight w:val="none"/>
          <w:u w:val="single"/>
        </w:rPr>
        <w:t>东莞滨海湾新区交椅湾智慧道路(二期）后台设备采购</w:t>
      </w:r>
      <w:r>
        <w:rPr>
          <w:rFonts w:hint="eastAsia" w:ascii="宋体" w:hAnsi="宋体" w:eastAsia="宋体"/>
          <w:color w:val="auto"/>
          <w:sz w:val="21"/>
          <w:szCs w:val="21"/>
          <w:highlight w:val="none"/>
        </w:rPr>
        <w:t>一项，预算：</w:t>
      </w:r>
      <w:r>
        <w:rPr>
          <w:rFonts w:hint="eastAsia" w:ascii="宋体" w:hAnsi="宋体" w:eastAsia="宋体"/>
          <w:b/>
          <w:color w:val="auto"/>
          <w:sz w:val="21"/>
          <w:szCs w:val="21"/>
          <w:highlight w:val="none"/>
          <w:u w:val="single"/>
        </w:rPr>
        <w:t>14,495,255.32</w:t>
      </w:r>
      <w:r>
        <w:rPr>
          <w:rFonts w:hint="eastAsia" w:ascii="宋体" w:hAnsi="宋体" w:eastAsia="宋体"/>
          <w:color w:val="auto"/>
          <w:sz w:val="21"/>
          <w:szCs w:val="21"/>
          <w:highlight w:val="none"/>
        </w:rPr>
        <w:t>元。</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2、简要技术要求或招标项目的性质：详细内容请参阅招标文件第三部分《用户需求书》。</w:t>
      </w:r>
    </w:p>
    <w:p>
      <w:pPr>
        <w:spacing w:after="0" w:line="360" w:lineRule="auto"/>
        <w:ind w:firstLine="413" w:firstLineChars="196"/>
        <w:rPr>
          <w:rFonts w:ascii="宋体" w:hAnsi="宋体" w:eastAsia="宋体"/>
          <w:b/>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二、投标人资格要求</w:t>
      </w:r>
    </w:p>
    <w:p>
      <w:pPr>
        <w:spacing w:after="0" w:line="360" w:lineRule="auto"/>
        <w:ind w:firstLine="411" w:firstLineChars="196"/>
        <w:rPr>
          <w:rFonts w:ascii="宋体" w:hAnsi="宋体" w:eastAsia="宋体"/>
          <w:color w:val="auto"/>
          <w:sz w:val="21"/>
          <w:szCs w:val="21"/>
          <w:highlight w:val="none"/>
        </w:rPr>
      </w:pPr>
      <w:r>
        <w:rPr>
          <w:rFonts w:hint="eastAsia" w:ascii="宋体" w:hAnsi="宋体" w:eastAsia="宋体"/>
          <w:color w:val="auto"/>
          <w:sz w:val="21"/>
          <w:szCs w:val="21"/>
          <w:highlight w:val="none"/>
        </w:rPr>
        <w:t>1、一般要求：</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（1）须符合《中华人民共和国政府采购法》第二十二条规定（需提供书面承诺）；</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（2）参加采购活动前三年内，在经营活动中没有重大违法记录（须提供书面声明）；</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3）本项目不接受联合体投标；投标人的单位负责人为同一人或者存在直接控股、管理关系的不同投标人，不得参加同一合同项下的政府采购活动。为本项目提供整体设计、规范编制或者项目管理、监理、检测等服务的投标人，不得参加本采购项目的采购活动；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代理机构于投标截止日当天在“信用中国”网站及中国政府采购网查询结果为准，如相关失信记录已失效，投标人需提供相关证明资料。</w:t>
      </w:r>
    </w:p>
    <w:p>
      <w:pPr>
        <w:spacing w:after="0" w:line="360" w:lineRule="auto"/>
        <w:ind w:firstLine="413" w:firstLineChars="196"/>
        <w:rPr>
          <w:rFonts w:ascii="宋体" w:hAnsi="宋体" w:eastAsia="宋体"/>
          <w:b/>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三、项目公示时间、招标文件领购时间、地点、方式</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1、项目公示时间：2021年</w:t>
      </w:r>
      <w:r>
        <w:rPr>
          <w:rFonts w:hint="eastAsia" w:ascii="宋体" w:hAnsi="宋体" w:eastAsia="宋体"/>
          <w:color w:val="auto"/>
          <w:sz w:val="21"/>
          <w:szCs w:val="21"/>
          <w:highlight w:val="none"/>
          <w:lang w:val="en-US" w:eastAsia="zh-CN"/>
        </w:rPr>
        <w:t>04</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09</w:t>
      </w:r>
      <w:r>
        <w:rPr>
          <w:rFonts w:hint="eastAsia" w:ascii="宋体" w:hAnsi="宋体" w:eastAsia="宋体"/>
          <w:color w:val="auto"/>
          <w:sz w:val="21"/>
          <w:szCs w:val="21"/>
          <w:highlight w:val="none"/>
        </w:rPr>
        <w:t>日起至2021年</w:t>
      </w:r>
      <w:r>
        <w:rPr>
          <w:rFonts w:hint="eastAsia" w:ascii="宋体" w:hAnsi="宋体" w:eastAsia="宋体"/>
          <w:color w:val="auto"/>
          <w:sz w:val="21"/>
          <w:szCs w:val="21"/>
          <w:highlight w:val="none"/>
          <w:lang w:val="en-US" w:eastAsia="zh-CN"/>
        </w:rPr>
        <w:t>04</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16</w:t>
      </w:r>
      <w:r>
        <w:rPr>
          <w:rFonts w:hint="eastAsia" w:ascii="宋体" w:hAnsi="宋体" w:eastAsia="宋体"/>
          <w:color w:val="auto"/>
          <w:sz w:val="21"/>
          <w:szCs w:val="21"/>
          <w:highlight w:val="none"/>
        </w:rPr>
        <w:t>日。</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2、招标文件领购</w:t>
      </w:r>
      <w:r>
        <w:rPr>
          <w:rFonts w:ascii="宋体" w:hAnsi="宋体" w:eastAsia="宋体"/>
          <w:color w:val="auto"/>
          <w:sz w:val="21"/>
          <w:szCs w:val="21"/>
          <w:highlight w:val="none"/>
        </w:rPr>
        <w:t>时间：</w:t>
      </w:r>
      <w:r>
        <w:rPr>
          <w:rFonts w:hint="eastAsia" w:ascii="宋体" w:hAnsi="宋体" w:eastAsia="宋体"/>
          <w:color w:val="auto"/>
          <w:sz w:val="21"/>
          <w:szCs w:val="21"/>
          <w:highlight w:val="none"/>
        </w:rPr>
        <w:t>2021年</w:t>
      </w:r>
      <w:r>
        <w:rPr>
          <w:rFonts w:hint="eastAsia" w:ascii="宋体" w:hAnsi="宋体" w:eastAsia="宋体"/>
          <w:color w:val="auto"/>
          <w:sz w:val="21"/>
          <w:szCs w:val="21"/>
          <w:highlight w:val="none"/>
          <w:lang w:val="en-US" w:eastAsia="zh-CN"/>
        </w:rPr>
        <w:t>04</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09</w:t>
      </w:r>
      <w:r>
        <w:rPr>
          <w:rFonts w:hint="eastAsia" w:ascii="宋体" w:hAnsi="宋体" w:eastAsia="宋体"/>
          <w:color w:val="auto"/>
          <w:sz w:val="21"/>
          <w:szCs w:val="21"/>
          <w:highlight w:val="none"/>
        </w:rPr>
        <w:t>日起至2021年</w:t>
      </w:r>
      <w:r>
        <w:rPr>
          <w:rFonts w:hint="eastAsia" w:ascii="宋体" w:hAnsi="宋体" w:eastAsia="宋体"/>
          <w:color w:val="auto"/>
          <w:sz w:val="21"/>
          <w:szCs w:val="21"/>
          <w:highlight w:val="none"/>
          <w:lang w:val="en-US" w:eastAsia="zh-CN"/>
        </w:rPr>
        <w:t>04</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16</w:t>
      </w:r>
      <w:r>
        <w:rPr>
          <w:rFonts w:hint="eastAsia" w:ascii="宋体" w:hAnsi="宋体" w:eastAsia="宋体"/>
          <w:color w:val="auto"/>
          <w:sz w:val="21"/>
          <w:szCs w:val="21"/>
          <w:highlight w:val="none"/>
        </w:rPr>
        <w:t xml:space="preserve">日（节假日除外），上午9：00～12：00，下午14：30～17：30（北京时间）。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注：（1）投标人可自行打印招标文件中的“附件23 获取招标文件登记表”进行填写并带到现场进行领购，并现场领取发票。（招标文件领购价：人民币150元整）</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（2）现场支持现金支付、微信支付、支付宝支付等支付方式，请将相应表格交予我司简小姐。</w:t>
      </w:r>
    </w:p>
    <w:p>
      <w:pPr>
        <w:spacing w:after="0" w:line="360" w:lineRule="auto"/>
        <w:ind w:firstLine="420" w:firstLineChars="200"/>
        <w:rPr>
          <w:color w:val="auto"/>
          <w:highlight w:val="none"/>
        </w:rPr>
      </w:pPr>
      <w:r>
        <w:rPr>
          <w:rFonts w:hint="eastAsia" w:ascii="宋体" w:hAnsi="宋体" w:eastAsia="宋体"/>
          <w:color w:val="auto"/>
          <w:sz w:val="21"/>
          <w:szCs w:val="21"/>
          <w:highlight w:val="none"/>
        </w:rPr>
        <w:t>（3）招标文件电子版可在广东省政府采购网（https://gdgpo.czt.gd.gov.cn/）相关招标信息公告下自行下载。</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3、招标文件领购地点：东莞市南城街道鸿福西路81号国际商会大厦13A01室。</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联系人：简海欣</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联系电话：0769-22881803</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4、招标文件领购方式：现场领购。</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投标人在领购招标文件时须提供如下证明材料：《营业执照》复印件（加盖公章）或《事业单位法人证书》复印件（加盖公章）或其他主体证书复印件（加盖公章），自然人参加投标须提供自然人的身份证明材料；</w:t>
      </w:r>
    </w:p>
    <w:p>
      <w:pPr>
        <w:spacing w:after="0" w:line="360" w:lineRule="auto"/>
        <w:ind w:firstLine="411" w:firstLineChars="196"/>
        <w:rPr>
          <w:rFonts w:ascii="宋体" w:hAnsi="宋体" w:eastAsia="宋体"/>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四、其他事宜</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凡参与本项目政府采购活动的供应商需访问并登录广东省政府采购网的广东政府采购智慧云平台（https://gdgpo.czt.gd.gov.cn/）进行注册建档入库，投标供应商在使用过程中遇到涉及系统使用的任何问题，可致电云平台技术支持热线400-183-2999进行咨询。</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2、需要落实的政府采购政策：《政府采购促进中小企业发展管理办法》（财库〔2020〕46 号）、《关于政府采购支持监狱企业发展有关问题的通知》(财库〔2014〕68 号)、《关于促进残疾人就业政府采购政策的通知》（财库〔2017〕141 号)、《关于环境标志产品政府采购实施的意见》（财库〔2006〕90 号、《节能产品政府采购实施意见》的通知（财库〔2004〕185 号）、《关于调整优化节能产品、环境标志产品政府采购执行机制的通知》（粤财采购[2019]9 号）、《关于运用政府采购政策支持脱贫攻坚的通知》（财库[2019]27 号）、《关于印发&lt;商品包装政府采购需求标准（试行）&gt;、 &lt;快递包装政府采购需求标准（试行）&gt;的通知》（财办库〔2020〕123 号）等。</w:t>
      </w:r>
    </w:p>
    <w:p>
      <w:pPr>
        <w:spacing w:after="0" w:line="360" w:lineRule="auto"/>
        <w:ind w:firstLine="411" w:firstLineChars="196"/>
        <w:rPr>
          <w:rFonts w:ascii="宋体" w:hAnsi="宋体" w:eastAsia="宋体"/>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五、投标截止时间、开标时间及地点</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1、递交投标文件时间：</w:t>
      </w:r>
      <w:r>
        <w:rPr>
          <w:rFonts w:hint="eastAsia" w:ascii="宋体" w:hAnsi="宋体" w:eastAsia="宋体"/>
          <w:bCs/>
          <w:color w:val="auto"/>
          <w:sz w:val="21"/>
          <w:szCs w:val="21"/>
          <w:highlight w:val="none"/>
        </w:rPr>
        <w:t>2021年</w:t>
      </w:r>
      <w:r>
        <w:rPr>
          <w:rFonts w:hint="eastAsia" w:ascii="宋体" w:hAnsi="宋体" w:eastAsia="宋体"/>
          <w:bCs/>
          <w:color w:val="auto"/>
          <w:sz w:val="21"/>
          <w:szCs w:val="21"/>
          <w:highlight w:val="none"/>
          <w:lang w:val="en-US" w:eastAsia="zh-CN"/>
        </w:rPr>
        <w:t>04</w:t>
      </w:r>
      <w:r>
        <w:rPr>
          <w:rFonts w:hint="eastAsia" w:ascii="宋体" w:hAnsi="宋体" w:eastAsia="宋体"/>
          <w:bCs/>
          <w:color w:val="auto"/>
          <w:sz w:val="21"/>
          <w:szCs w:val="21"/>
          <w:highlight w:val="none"/>
        </w:rPr>
        <w:t>月</w:t>
      </w:r>
      <w:r>
        <w:rPr>
          <w:rFonts w:hint="eastAsia" w:ascii="宋体" w:hAnsi="宋体" w:eastAsia="宋体"/>
          <w:bCs/>
          <w:color w:val="auto"/>
          <w:sz w:val="21"/>
          <w:szCs w:val="21"/>
          <w:highlight w:val="none"/>
          <w:lang w:val="en-US" w:eastAsia="zh-CN"/>
        </w:rPr>
        <w:t>30</w:t>
      </w:r>
      <w:r>
        <w:rPr>
          <w:rFonts w:hint="eastAsia" w:ascii="宋体" w:hAnsi="宋体" w:eastAsia="宋体"/>
          <w:bCs/>
          <w:color w:val="auto"/>
          <w:sz w:val="21"/>
          <w:szCs w:val="21"/>
          <w:highlight w:val="none"/>
        </w:rPr>
        <w:t>日</w:t>
      </w:r>
      <w:r>
        <w:rPr>
          <w:rFonts w:hint="eastAsia" w:ascii="宋体" w:hAnsi="宋体" w:eastAsia="宋体"/>
          <w:bCs/>
          <w:color w:val="auto"/>
          <w:sz w:val="21"/>
          <w:szCs w:val="21"/>
          <w:highlight w:val="none"/>
        </w:rPr>
        <w:t>上午</w:t>
      </w:r>
      <w:r>
        <w:rPr>
          <w:rFonts w:hint="eastAsia" w:ascii="宋体" w:hAnsi="宋体" w:eastAsia="宋体"/>
          <w:bCs/>
          <w:color w:val="auto"/>
          <w:sz w:val="21"/>
          <w:szCs w:val="21"/>
          <w:highlight w:val="none"/>
          <w:lang w:val="en-US" w:eastAsia="zh-CN"/>
        </w:rPr>
        <w:t>10</w:t>
      </w:r>
      <w:r>
        <w:rPr>
          <w:rFonts w:hint="eastAsia" w:ascii="宋体" w:hAnsi="宋体" w:eastAsia="宋体"/>
          <w:bCs/>
          <w:color w:val="auto"/>
          <w:sz w:val="21"/>
          <w:szCs w:val="21"/>
          <w:highlight w:val="none"/>
        </w:rPr>
        <w:t>：00～</w:t>
      </w:r>
      <w:r>
        <w:rPr>
          <w:rFonts w:hint="eastAsia" w:ascii="宋体" w:hAnsi="宋体" w:eastAsia="宋体"/>
          <w:bCs/>
          <w:color w:val="auto"/>
          <w:sz w:val="21"/>
          <w:szCs w:val="21"/>
          <w:highlight w:val="none"/>
          <w:lang w:val="en-US" w:eastAsia="zh-CN"/>
        </w:rPr>
        <w:t>10</w:t>
      </w:r>
      <w:r>
        <w:rPr>
          <w:rFonts w:hint="eastAsia" w:ascii="宋体" w:hAnsi="宋体" w:eastAsia="宋体"/>
          <w:bCs/>
          <w:color w:val="auto"/>
          <w:sz w:val="21"/>
          <w:szCs w:val="21"/>
          <w:highlight w:val="none"/>
        </w:rPr>
        <w:t>：30。</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2、</w:t>
      </w:r>
      <w:r>
        <w:rPr>
          <w:rFonts w:ascii="宋体" w:hAnsi="宋体" w:eastAsia="宋体"/>
          <w:bCs/>
          <w:color w:val="auto"/>
          <w:sz w:val="21"/>
          <w:szCs w:val="21"/>
          <w:highlight w:val="none"/>
        </w:rPr>
        <w:t>投标截止</w:t>
      </w:r>
      <w:r>
        <w:rPr>
          <w:rFonts w:hint="eastAsia" w:ascii="宋体" w:hAnsi="宋体" w:eastAsia="宋体"/>
          <w:bCs/>
          <w:color w:val="auto"/>
          <w:sz w:val="21"/>
          <w:szCs w:val="21"/>
          <w:highlight w:val="none"/>
        </w:rPr>
        <w:t>及开标时间：</w:t>
      </w:r>
      <w:r>
        <w:rPr>
          <w:rFonts w:hint="eastAsia" w:ascii="宋体" w:hAnsi="宋体" w:eastAsia="宋体"/>
          <w:bCs/>
          <w:color w:val="auto"/>
          <w:sz w:val="21"/>
          <w:szCs w:val="21"/>
          <w:highlight w:val="none"/>
        </w:rPr>
        <w:t>2021年</w:t>
      </w:r>
      <w:r>
        <w:rPr>
          <w:rFonts w:hint="eastAsia" w:ascii="宋体" w:hAnsi="宋体" w:eastAsia="宋体"/>
          <w:bCs/>
          <w:color w:val="auto"/>
          <w:sz w:val="21"/>
          <w:szCs w:val="21"/>
          <w:highlight w:val="none"/>
          <w:lang w:val="en-US" w:eastAsia="zh-CN"/>
        </w:rPr>
        <w:t>04</w:t>
      </w:r>
      <w:r>
        <w:rPr>
          <w:rFonts w:hint="eastAsia" w:ascii="宋体" w:hAnsi="宋体" w:eastAsia="宋体"/>
          <w:bCs/>
          <w:color w:val="auto"/>
          <w:sz w:val="21"/>
          <w:szCs w:val="21"/>
          <w:highlight w:val="none"/>
        </w:rPr>
        <w:t>月</w:t>
      </w:r>
      <w:r>
        <w:rPr>
          <w:rFonts w:hint="eastAsia" w:ascii="宋体" w:hAnsi="宋体" w:eastAsia="宋体"/>
          <w:bCs/>
          <w:color w:val="auto"/>
          <w:sz w:val="21"/>
          <w:szCs w:val="21"/>
          <w:highlight w:val="none"/>
          <w:lang w:val="en-US" w:eastAsia="zh-CN"/>
        </w:rPr>
        <w:t>30</w:t>
      </w:r>
      <w:r>
        <w:rPr>
          <w:rFonts w:hint="eastAsia" w:ascii="宋体" w:hAnsi="宋体" w:eastAsia="宋体"/>
          <w:bCs/>
          <w:color w:val="auto"/>
          <w:sz w:val="21"/>
          <w:szCs w:val="21"/>
          <w:highlight w:val="none"/>
        </w:rPr>
        <w:t>日</w:t>
      </w:r>
      <w:r>
        <w:rPr>
          <w:rFonts w:hint="eastAsia" w:ascii="宋体" w:hAnsi="宋体" w:eastAsia="宋体"/>
          <w:bCs/>
          <w:color w:val="auto"/>
          <w:sz w:val="21"/>
          <w:szCs w:val="21"/>
          <w:highlight w:val="none"/>
        </w:rPr>
        <w:t>上午</w:t>
      </w:r>
      <w:r>
        <w:rPr>
          <w:rFonts w:hint="eastAsia" w:ascii="宋体" w:hAnsi="宋体" w:eastAsia="宋体"/>
          <w:bCs/>
          <w:color w:val="auto"/>
          <w:sz w:val="21"/>
          <w:szCs w:val="21"/>
          <w:highlight w:val="none"/>
          <w:lang w:val="en-US" w:eastAsia="zh-CN"/>
        </w:rPr>
        <w:t>10</w:t>
      </w:r>
      <w:r>
        <w:rPr>
          <w:rFonts w:hint="eastAsia" w:ascii="宋体" w:hAnsi="宋体" w:eastAsia="宋体"/>
          <w:bCs/>
          <w:color w:val="auto"/>
          <w:sz w:val="21"/>
          <w:szCs w:val="21"/>
          <w:highlight w:val="none"/>
        </w:rPr>
        <w:t>时30分。</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3、</w:t>
      </w:r>
      <w:r>
        <w:rPr>
          <w:rFonts w:ascii="宋体" w:hAnsi="宋体" w:eastAsia="宋体"/>
          <w:bCs/>
          <w:color w:val="auto"/>
          <w:sz w:val="21"/>
          <w:szCs w:val="21"/>
          <w:highlight w:val="none"/>
        </w:rPr>
        <w:t>开标地点：</w:t>
      </w:r>
      <w:r>
        <w:rPr>
          <w:rFonts w:hint="eastAsia" w:ascii="宋体" w:hAnsi="宋体" w:eastAsia="宋体"/>
          <w:color w:val="auto"/>
          <w:sz w:val="21"/>
          <w:szCs w:val="21"/>
          <w:highlight w:val="none"/>
        </w:rPr>
        <w:t>东莞市南城街道鸿福西路81号国际商会大厦13A01室</w:t>
      </w:r>
      <w:r>
        <w:rPr>
          <w:rFonts w:hint="eastAsia" w:ascii="宋体" w:hAnsi="宋体" w:eastAsia="宋体"/>
          <w:bCs/>
          <w:color w:val="auto"/>
          <w:sz w:val="21"/>
          <w:szCs w:val="21"/>
          <w:highlight w:val="none"/>
        </w:rPr>
        <w:t>。</w:t>
      </w:r>
    </w:p>
    <w:p>
      <w:pPr>
        <w:pStyle w:val="2"/>
        <w:rPr>
          <w:color w:val="auto"/>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六、采购人及采购代理机构的名称、地址和联系方法：</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采购人联系人：陈小姐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地址：东莞市长安镇滨海湾新区湾区一号 </w:t>
      </w:r>
      <w:bookmarkStart w:id="222" w:name="_GoBack"/>
      <w:bookmarkEnd w:id="222"/>
    </w:p>
    <w:p>
      <w:pPr>
        <w:spacing w:after="0"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联系电话：0769-26889679</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采购代理机构名称：广东政通招标有限公司</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地址：东莞市南城街道鸿福西路81号国际商会大厦13A01室。</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采购代理机构联系人：杨俊平</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联系电话：0769-22881803</w:t>
      </w:r>
    </w:p>
    <w:p>
      <w:pPr>
        <w:spacing w:after="0" w:line="360" w:lineRule="auto"/>
        <w:ind w:firstLine="420" w:firstLineChars="200"/>
        <w:rPr>
          <w:rFonts w:eastAsia="宋体"/>
          <w:color w:val="auto"/>
          <w:highlight w:val="none"/>
        </w:rPr>
      </w:pPr>
      <w:r>
        <w:rPr>
          <w:rFonts w:hint="eastAsia" w:ascii="宋体" w:hAnsi="宋体" w:eastAsia="宋体"/>
          <w:color w:val="auto"/>
          <w:sz w:val="21"/>
          <w:szCs w:val="21"/>
          <w:highlight w:val="none"/>
        </w:rPr>
        <w:t>E－ mail：769552785@qq.com</w:t>
      </w:r>
    </w:p>
    <w:p>
      <w:pPr>
        <w:rPr>
          <w:color w:val="auto"/>
          <w:highlight w:val="none"/>
        </w:rPr>
      </w:pPr>
    </w:p>
    <w:p>
      <w:pPr>
        <w:ind w:right="788" w:rightChars="358"/>
        <w:jc w:val="both"/>
        <w:rPr>
          <w:color w:val="auto"/>
          <w:highlight w:val="none"/>
        </w:rPr>
      </w:pPr>
    </w:p>
    <w:p>
      <w:pPr>
        <w:ind w:right="788" w:rightChars="358"/>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广东政通招标有限公司</w:t>
      </w:r>
    </w:p>
    <w:p>
      <w:pPr>
        <w:ind w:left="6481" w:leftChars="2755" w:hanging="420" w:hanging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2021年</w:t>
      </w:r>
      <w:r>
        <w:rPr>
          <w:rFonts w:hint="eastAsia" w:ascii="宋体" w:hAnsi="宋体" w:eastAsia="宋体" w:cs="宋体"/>
          <w:color w:val="auto"/>
          <w:sz w:val="21"/>
          <w:szCs w:val="21"/>
          <w:highlight w:val="none"/>
          <w:lang w:val="en-US" w:eastAsia="zh-CN"/>
        </w:rPr>
        <w:t>04</w:t>
      </w:r>
      <w:r>
        <w:rPr>
          <w:rFonts w:hint="eastAsia" w:ascii="宋体" w:hAnsi="宋体" w:eastAsia="宋体" w:cs="宋体"/>
          <w:color w:val="auto"/>
          <w:sz w:val="21"/>
          <w:szCs w:val="21"/>
          <w:highlight w:val="none"/>
        </w:rPr>
        <w:t>月</w:t>
      </w:r>
    </w:p>
    <w:p>
      <w:pPr>
        <w:ind w:left="6481" w:leftChars="2755" w:hanging="420" w:hangingChars="200"/>
        <w:rPr>
          <w:rFonts w:ascii="黑体" w:hAnsi="宋体" w:eastAsia="黑体"/>
          <w:color w:val="auto"/>
          <w:highlight w:val="none"/>
        </w:rPr>
      </w:pPr>
      <w:r>
        <w:rPr>
          <w:rFonts w:hint="eastAsia" w:ascii="宋体" w:hAnsi="宋体" w:eastAsia="宋体" w:cs="宋体"/>
          <w:color w:val="auto"/>
          <w:sz w:val="21"/>
          <w:szCs w:val="21"/>
          <w:highlight w:val="none"/>
        </w:rPr>
        <w:br w:type="page"/>
      </w:r>
    </w:p>
    <w:p>
      <w:pPr>
        <w:pStyle w:val="4"/>
        <w:spacing w:before="0" w:after="0" w:line="240" w:lineRule="auto"/>
        <w:rPr>
          <w:color w:val="auto"/>
          <w:sz w:val="28"/>
          <w:szCs w:val="28"/>
          <w:highlight w:val="none"/>
        </w:rPr>
      </w:pPr>
      <w:bookmarkStart w:id="1" w:name="_Toc14146"/>
      <w:r>
        <w:rPr>
          <w:rFonts w:hint="eastAsia"/>
          <w:color w:val="auto"/>
          <w:sz w:val="28"/>
          <w:szCs w:val="28"/>
          <w:highlight w:val="none"/>
        </w:rPr>
        <w:t>第二部分 相关资料表格</w:t>
      </w:r>
      <w:bookmarkEnd w:id="1"/>
    </w:p>
    <w:p>
      <w:pPr>
        <w:pStyle w:val="5"/>
        <w:spacing w:before="0" w:after="0" w:line="240" w:lineRule="auto"/>
        <w:jc w:val="center"/>
        <w:rPr>
          <w:rFonts w:ascii="宋体" w:hAnsi="宋体" w:eastAsia="宋体" w:cs="宋体"/>
          <w:color w:val="auto"/>
          <w:sz w:val="24"/>
          <w:szCs w:val="24"/>
          <w:highlight w:val="none"/>
        </w:rPr>
      </w:pPr>
      <w:bookmarkStart w:id="2" w:name="_Toc20683"/>
      <w:r>
        <w:rPr>
          <w:rFonts w:hint="eastAsia" w:ascii="宋体" w:hAnsi="宋体" w:eastAsia="宋体" w:cs="宋体"/>
          <w:color w:val="auto"/>
          <w:sz w:val="24"/>
          <w:szCs w:val="24"/>
          <w:highlight w:val="none"/>
        </w:rPr>
        <w:t>附表一：投标资料表</w:t>
      </w:r>
      <w:bookmarkEnd w:id="2"/>
    </w:p>
    <w:tbl>
      <w:tblPr>
        <w:tblStyle w:val="19"/>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1158"/>
        <w:gridCol w:w="75"/>
        <w:gridCol w:w="3691"/>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内容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一、说明</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项目最高限价（单位：元）</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Cs/>
                <w:color w:val="auto"/>
                <w:sz w:val="21"/>
                <w:szCs w:val="21"/>
                <w:highlight w:val="none"/>
              </w:rPr>
              <w:t>与项目预算一致。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资金来源</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color w:val="auto"/>
                <w:sz w:val="21"/>
                <w:szCs w:val="21"/>
                <w:highlight w:val="none"/>
              </w:rPr>
              <w:t>财政性资金。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是否为专门面向中小企业采购的采购项目</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Cs/>
                <w:color w:val="auto"/>
                <w:sz w:val="21"/>
                <w:szCs w:val="21"/>
                <w:highlight w:val="none"/>
              </w:rPr>
              <w:t>是</w:t>
            </w:r>
            <w:r>
              <w:rPr>
                <w:rFonts w:hint="eastAsia" w:ascii="宋体" w:hAnsi="宋体" w:eastAsia="宋体"/>
                <w:bCs/>
                <w:color w:val="auto"/>
                <w:sz w:val="21"/>
                <w:szCs w:val="21"/>
                <w:highlight w:val="none"/>
              </w:rPr>
              <w:sym w:font="Wingdings" w:char="00A8"/>
            </w:r>
            <w:r>
              <w:rPr>
                <w:rFonts w:hint="eastAsia" w:ascii="宋体" w:hAnsi="宋体" w:eastAsia="宋体"/>
                <w:bCs/>
                <w:color w:val="auto"/>
                <w:sz w:val="21"/>
                <w:szCs w:val="21"/>
                <w:highlight w:val="none"/>
              </w:rPr>
              <w:t xml:space="preserve">    否</w:t>
            </w:r>
            <w:r>
              <w:rPr>
                <w:rFonts w:hint="eastAsia" w:ascii="宋体" w:hAnsi="宋体" w:eastAsia="宋体"/>
                <w:bCs/>
                <w:color w:val="auto"/>
                <w:sz w:val="21"/>
                <w:szCs w:val="21"/>
                <w:highlight w:val="none"/>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4</w:t>
            </w: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Cs/>
                <w:color w:val="auto"/>
                <w:sz w:val="21"/>
                <w:szCs w:val="21"/>
                <w:highlight w:val="none"/>
              </w:rPr>
              <w:t>本项目不组织踏勘现场。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5</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招标信息发布网站</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841"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广东省政府采购网</w:t>
            </w:r>
          </w:p>
        </w:tc>
        <w:tc>
          <w:tcPr>
            <w:tcW w:w="3691"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841"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color w:val="auto"/>
                <w:sz w:val="21"/>
                <w:szCs w:val="21"/>
                <w:highlight w:val="none"/>
              </w:rPr>
              <w:t>https://gdgpo.czt.gd.gov.cn/</w:t>
            </w:r>
          </w:p>
        </w:tc>
        <w:tc>
          <w:tcPr>
            <w:tcW w:w="3691" w:type="dxa"/>
            <w:vAlign w:val="center"/>
          </w:tcPr>
          <w:p>
            <w:pPr>
              <w:spacing w:after="0"/>
              <w:jc w:val="center"/>
              <w:rPr>
                <w:rFonts w:ascii="宋体" w:hAnsi="宋体" w:eastAsia="宋体"/>
                <w:b/>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45"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二、投标文件的编制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6</w:t>
            </w: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投标语言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color w:val="auto"/>
                <w:sz w:val="21"/>
                <w:szCs w:val="21"/>
                <w:highlight w:val="none"/>
              </w:rPr>
              <w:t>中文。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7</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投标报价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详见投标人须知。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8</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投标样品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详见用户需求。</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9</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both"/>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10</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投标保证金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（1）投标保证金金额：人民币</w:t>
            </w:r>
            <w:r>
              <w:rPr>
                <w:rFonts w:hint="eastAsia" w:ascii="宋体" w:hAnsi="宋体" w:eastAsia="宋体"/>
                <w:b/>
                <w:color w:val="auto"/>
                <w:sz w:val="21"/>
                <w:szCs w:val="21"/>
                <w:highlight w:val="none"/>
              </w:rPr>
              <w:t>壹拾伍万</w:t>
            </w:r>
            <w:r>
              <w:rPr>
                <w:rFonts w:hint="eastAsia" w:ascii="宋体" w:hAnsi="宋体" w:eastAsia="宋体"/>
                <w:color w:val="auto"/>
                <w:sz w:val="21"/>
                <w:szCs w:val="21"/>
                <w:highlight w:val="none"/>
              </w:rPr>
              <w:t>元整（￥</w:t>
            </w:r>
            <w:r>
              <w:rPr>
                <w:rFonts w:hint="eastAsia" w:ascii="宋体" w:hAnsi="宋体" w:eastAsia="宋体"/>
                <w:b/>
                <w:color w:val="auto"/>
                <w:sz w:val="21"/>
                <w:szCs w:val="21"/>
                <w:highlight w:val="none"/>
              </w:rPr>
              <w:t>150,000.00</w:t>
            </w:r>
            <w:r>
              <w:rPr>
                <w:rFonts w:hint="eastAsia" w:ascii="宋体" w:hAnsi="宋体" w:eastAsia="宋体"/>
                <w:color w:val="auto"/>
                <w:sz w:val="21"/>
                <w:szCs w:val="21"/>
                <w:highlight w:val="none"/>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zh-CN"/>
              </w:rPr>
              <w:t>投标保证金须严格按“招标文件第</w:t>
            </w:r>
            <w:r>
              <w:rPr>
                <w:rFonts w:hint="eastAsia" w:ascii="宋体" w:hAnsi="宋体" w:eastAsia="宋体"/>
                <w:color w:val="auto"/>
                <w:sz w:val="21"/>
                <w:szCs w:val="21"/>
                <w:highlight w:val="none"/>
              </w:rPr>
              <w:t>四部分</w:t>
            </w:r>
            <w:r>
              <w:rPr>
                <w:rFonts w:hint="eastAsia" w:ascii="宋体" w:hAnsi="宋体" w:eastAsia="宋体"/>
                <w:color w:val="auto"/>
                <w:sz w:val="21"/>
                <w:szCs w:val="21"/>
                <w:highlight w:val="none"/>
                <w:lang w:val="zh-CN"/>
              </w:rPr>
              <w:t>标人须知”要求提交。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60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（3）保证金递交账户：</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收款人：广东政通招标有限公司</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开户行：广发银行股份有限公司东莞新城支行</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帐  号：6232590699050026036</w:t>
            </w:r>
          </w:p>
          <w:p>
            <w:pPr>
              <w:spacing w:after="0"/>
              <w:jc w:val="both"/>
              <w:rPr>
                <w:color w:val="auto"/>
                <w:highlight w:val="none"/>
              </w:rPr>
            </w:pPr>
            <w:r>
              <w:rPr>
                <w:rFonts w:hint="eastAsia" w:ascii="宋体" w:hAnsi="宋体" w:eastAsia="宋体"/>
                <w:color w:val="auto"/>
                <w:sz w:val="21"/>
                <w:szCs w:val="21"/>
                <w:highlight w:val="none"/>
                <w:lang w:val="zh-CN"/>
              </w:rPr>
              <w:t>（各投标人在转帐或电汇时须在用途栏上写明采购项目编号）。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11</w:t>
            </w:r>
          </w:p>
        </w:tc>
        <w:tc>
          <w:tcPr>
            <w:tcW w:w="7532" w:type="dxa"/>
            <w:gridSpan w:val="4"/>
            <w:vAlign w:val="center"/>
          </w:tcPr>
          <w:p>
            <w:pPr>
              <w:spacing w:after="0"/>
              <w:jc w:val="both"/>
              <w:rPr>
                <w:rFonts w:ascii="宋体" w:hAnsi="宋体" w:eastAsia="宋体"/>
                <w:b/>
                <w:bCs/>
                <w:color w:val="auto"/>
                <w:sz w:val="21"/>
                <w:szCs w:val="21"/>
                <w:highlight w:val="none"/>
                <w:lang w:val="zh-CN"/>
              </w:rPr>
            </w:pPr>
            <w:r>
              <w:rPr>
                <w:rFonts w:hint="eastAsia" w:ascii="宋体" w:hAnsi="宋体" w:eastAsia="宋体"/>
                <w:b/>
                <w:bCs/>
                <w:color w:val="auto"/>
                <w:sz w:val="21"/>
                <w:szCs w:val="21"/>
                <w:highlight w:val="none"/>
                <w:lang w:val="zh-CN"/>
              </w:rPr>
              <w:t>投标保证金退还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zh-CN"/>
              </w:rPr>
              <w:t>）未中标的投标人的保证金在采购结果公示发出后5个工作日内退还，中标投标人的保证金在采购合同签订后5个工作日内退还。</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zh-CN"/>
              </w:rPr>
              <w:t>）为方便退还未中标的投保人的保证金，投标人应制作《投标保证金汇入情况说明》随开标文件一并递交。</w:t>
            </w:r>
          </w:p>
          <w:p>
            <w:pPr>
              <w:spacing w:after="0"/>
              <w:jc w:val="both"/>
              <w:rPr>
                <w:rFonts w:eastAsia="宋体"/>
                <w:color w:val="auto"/>
                <w:highlight w:val="none"/>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3</w:t>
            </w:r>
            <w:r>
              <w:rPr>
                <w:rFonts w:hint="eastAsia" w:ascii="宋体" w:hAnsi="宋体" w:eastAsia="宋体"/>
                <w:color w:val="auto"/>
                <w:sz w:val="21"/>
                <w:szCs w:val="21"/>
                <w:highlight w:val="none"/>
                <w:lang w:val="zh-CN"/>
              </w:rPr>
              <w:t>）投标保证金退还联系电话：</w:t>
            </w:r>
            <w:r>
              <w:rPr>
                <w:rFonts w:hint="eastAsia" w:ascii="宋体" w:hAnsi="宋体" w:eastAsia="宋体"/>
                <w:color w:val="auto"/>
                <w:sz w:val="21"/>
                <w:szCs w:val="21"/>
                <w:highlight w:val="none"/>
              </w:rPr>
              <w:t>0769-22881803。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12</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投标有效期</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九十天。</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13</w:t>
            </w:r>
          </w:p>
        </w:tc>
        <w:tc>
          <w:tcPr>
            <w:tcW w:w="7532" w:type="dxa"/>
            <w:gridSpan w:val="4"/>
            <w:vAlign w:val="center"/>
          </w:tcPr>
          <w:p>
            <w:pPr>
              <w:spacing w:after="0"/>
              <w:jc w:val="center"/>
              <w:rPr>
                <w:rFonts w:ascii="宋体" w:hAnsi="宋体" w:eastAsia="宋体"/>
                <w:color w:val="auto"/>
                <w:sz w:val="21"/>
                <w:szCs w:val="21"/>
                <w:highlight w:val="none"/>
              </w:rPr>
            </w:pPr>
            <w:r>
              <w:rPr>
                <w:rFonts w:hint="eastAsia" w:ascii="宋体" w:hAnsi="宋体" w:eastAsia="宋体"/>
                <w:b/>
                <w:color w:val="auto"/>
                <w:sz w:val="21"/>
                <w:szCs w:val="21"/>
                <w:highlight w:val="none"/>
              </w:rPr>
              <w:t>信用信息查询渠道</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766"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信用中国</w:t>
            </w:r>
          </w:p>
        </w:tc>
        <w:tc>
          <w:tcPr>
            <w:tcW w:w="3766"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766" w:type="dxa"/>
            <w:gridSpan w:val="2"/>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https://www.creditchina.gov.cn/</w:t>
            </w:r>
          </w:p>
        </w:tc>
        <w:tc>
          <w:tcPr>
            <w:tcW w:w="3766" w:type="dxa"/>
            <w:gridSpan w:val="2"/>
            <w:vAlign w:val="center"/>
          </w:tcPr>
          <w:p>
            <w:pPr>
              <w:spacing w:after="0"/>
              <w:jc w:val="center"/>
              <w:rPr>
                <w:rFonts w:ascii="宋体" w:hAnsi="宋体" w:eastAsia="宋体"/>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14</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投标人应提交以下投标文件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投标文件类型</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份数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开标文件</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投标文件正本</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投标文件副本</w:t>
            </w:r>
          </w:p>
        </w:tc>
        <w:tc>
          <w:tcPr>
            <w:tcW w:w="4924" w:type="dxa"/>
            <w:gridSpan w:val="3"/>
            <w:vAlign w:val="center"/>
          </w:tcPr>
          <w:p>
            <w:pPr>
              <w:spacing w:after="0"/>
              <w:jc w:val="center"/>
              <w:rPr>
                <w:rFonts w:hint="eastAsia" w:ascii="宋体" w:hAnsi="宋体" w:eastAsia="宋体"/>
                <w:b/>
                <w:color w:val="auto"/>
                <w:sz w:val="21"/>
                <w:szCs w:val="21"/>
                <w:highlight w:val="none"/>
                <w:lang w:eastAsia="zh-CN"/>
              </w:rPr>
            </w:pPr>
            <w:r>
              <w:rPr>
                <w:rFonts w:hint="eastAsia" w:ascii="宋体" w:hAnsi="宋体" w:eastAsia="宋体"/>
                <w:b/>
                <w:color w:val="auto"/>
                <w:sz w:val="21"/>
                <w:szCs w:val="21"/>
                <w:highlight w:val="none"/>
                <w:lang w:val="en-US" w:eastAsia="zh-CN"/>
              </w:rPr>
              <w:t>7</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电子文档</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三、开标与评标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15</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本项目评标方法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综合评分法。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16</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综合评分法评分因素和权重分值</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见附表二。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17</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小型或微型企业、监狱企业、残疾人福利性单位投标价格折扣标准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6%。</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投标人符合须知“优惠政策”中联合体规定的投标价格折扣标准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对于联合协议或者分包意向协议约定小微企业的合同份额占到合同总金额30%以上的，报价给予</w:t>
            </w:r>
            <w:r>
              <w:rPr>
                <w:rFonts w:ascii="宋体" w:hAnsi="宋体" w:eastAsia="宋体"/>
                <w:b/>
                <w:bCs/>
                <w:color w:val="auto"/>
                <w:sz w:val="21"/>
                <w:szCs w:val="21"/>
                <w:highlight w:val="none"/>
                <w:u w:val="single"/>
              </w:rPr>
              <w:t>2%</w:t>
            </w:r>
            <w:r>
              <w:rPr>
                <w:rFonts w:hint="eastAsia" w:ascii="宋体" w:hAnsi="宋体" w:eastAsia="宋体"/>
                <w:color w:val="auto"/>
                <w:sz w:val="21"/>
                <w:szCs w:val="21"/>
                <w:highlight w:val="none"/>
              </w:rPr>
              <w:t>的扣除。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bCs/>
                <w:color w:val="auto"/>
                <w:sz w:val="21"/>
                <w:szCs w:val="21"/>
                <w:highlight w:val="none"/>
              </w:rPr>
              <w:t>投标人所投产品为获得节能产品认证或环境标志产品认证证书的价格折扣标准（相关规定详见投标人须知“优惠政策”）</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该项节能或环境标志产品折扣3%。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17"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四、授予合同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18</w:t>
            </w:r>
          </w:p>
        </w:tc>
        <w:tc>
          <w:tcPr>
            <w:tcW w:w="7532" w:type="dxa"/>
            <w:gridSpan w:val="4"/>
            <w:shd w:val="clear" w:color="auto" w:fill="auto"/>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履约保证金（以履约保函的形式提交）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shd w:val="clear" w:color="auto" w:fill="auto"/>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履约保证金的数额为政府采购合同金额的5%。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65"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19</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中标服务费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中标服务费根据国家计委[计价格[2002]1980号]文和国家发改委[发改价格[2011]534号]文及相关规定向中标单位收取，按差额定率累进法计算，以中标通知书中确定的中标总金额作为收费的计算依据；中标服务费最低收费标准为伍仟元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（2）中标服务费以转账或现金的形式支付。采购代理机构服务费汇入账号：</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收 款 人：广东政通招标有限公司</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开户银行：广发银行股份有限公司东莞南城支行</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账　　号：9550880331235700173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5"/>
            <w:vAlign w:val="center"/>
          </w:tcPr>
          <w:p>
            <w:pPr>
              <w:widowControl w:val="0"/>
              <w:tabs>
                <w:tab w:val="left" w:pos="907"/>
              </w:tabs>
              <w:adjustRightInd/>
              <w:snapToGrid/>
              <w:spacing w:after="0"/>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注：本表关于要采购项目的具体资料，是对投标人须知的具体补充和修改，如有矛盾，应以本资料表为准。</w:t>
            </w:r>
          </w:p>
        </w:tc>
      </w:tr>
    </w:tbl>
    <w:p>
      <w:pPr>
        <w:jc w:val="center"/>
        <w:rPr>
          <w:color w:val="auto"/>
          <w:highlight w:val="none"/>
        </w:rPr>
      </w:pPr>
      <w:r>
        <w:rPr>
          <w:rFonts w:hint="eastAsia"/>
          <w:color w:val="auto"/>
          <w:highlight w:val="none"/>
        </w:rPr>
        <w:br w:type="page"/>
      </w:r>
    </w:p>
    <w:p>
      <w:pPr>
        <w:pStyle w:val="5"/>
        <w:spacing w:before="0" w:after="0" w:line="240" w:lineRule="auto"/>
        <w:jc w:val="center"/>
        <w:rPr>
          <w:rFonts w:ascii="宋体" w:hAnsi="宋体" w:eastAsia="宋体" w:cs="宋体"/>
          <w:color w:val="auto"/>
          <w:sz w:val="24"/>
          <w:szCs w:val="24"/>
          <w:highlight w:val="none"/>
        </w:rPr>
      </w:pPr>
      <w:bookmarkStart w:id="3" w:name="_Toc9572"/>
      <w:r>
        <w:rPr>
          <w:rFonts w:hint="eastAsia" w:ascii="宋体" w:hAnsi="宋体" w:eastAsia="宋体" w:cs="宋体"/>
          <w:color w:val="auto"/>
          <w:sz w:val="24"/>
          <w:szCs w:val="24"/>
          <w:highlight w:val="none"/>
        </w:rPr>
        <w:t>附表二：商务技术评分及价格权重表</w:t>
      </w:r>
      <w:bookmarkEnd w:id="3"/>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52"/>
        <w:gridCol w:w="355"/>
        <w:gridCol w:w="395"/>
        <w:gridCol w:w="367"/>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序号</w:t>
            </w:r>
          </w:p>
        </w:tc>
        <w:tc>
          <w:tcPr>
            <w:tcW w:w="1252"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评审项目</w:t>
            </w:r>
          </w:p>
        </w:tc>
        <w:tc>
          <w:tcPr>
            <w:tcW w:w="750" w:type="dxa"/>
            <w:gridSpan w:val="2"/>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分值</w:t>
            </w:r>
          </w:p>
        </w:tc>
        <w:tc>
          <w:tcPr>
            <w:tcW w:w="5830" w:type="dxa"/>
            <w:gridSpan w:val="2"/>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6"/>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商务评审（30）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690" w:type="dxa"/>
            <w:vMerge w:val="restart"/>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252" w:type="dxa"/>
            <w:vMerge w:val="restart"/>
            <w:tcBorders>
              <w:top w:val="single" w:color="auto" w:sz="4" w:space="0"/>
              <w:left w:val="single" w:color="auto" w:sz="4" w:space="0"/>
              <w:bottom w:val="single" w:color="auto" w:sz="4" w:space="0"/>
              <w:right w:val="single" w:color="auto" w:sz="4" w:space="0"/>
            </w:tcBorders>
            <w:vAlign w:val="center"/>
          </w:tcPr>
          <w:p>
            <w:pPr>
              <w:pStyle w:val="31"/>
              <w:spacing w:line="240" w:lineRule="auto"/>
              <w:ind w:firstLine="0" w:firstLineChars="0"/>
              <w:jc w:val="center"/>
              <w:rPr>
                <w:rFonts w:ascii="宋体" w:eastAsia="宋体" w:cs="宋体"/>
                <w:color w:val="auto"/>
                <w:sz w:val="21"/>
                <w:szCs w:val="21"/>
                <w:highlight w:val="none"/>
              </w:rPr>
            </w:pPr>
            <w:r>
              <w:rPr>
                <w:rFonts w:hint="eastAsia" w:ascii="宋体" w:eastAsia="宋体" w:cs="宋体"/>
                <w:bCs/>
                <w:color w:val="auto"/>
                <w:sz w:val="21"/>
                <w:szCs w:val="21"/>
                <w:highlight w:val="none"/>
                <w:lang w:val="zh-CN"/>
              </w:rPr>
              <w:t>企业认证</w:t>
            </w:r>
          </w:p>
        </w:tc>
        <w:tc>
          <w:tcPr>
            <w:tcW w:w="750" w:type="dxa"/>
            <w:gridSpan w:val="2"/>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5830" w:type="dxa"/>
            <w:gridSpan w:val="2"/>
            <w:tcBorders>
              <w:top w:val="single" w:color="auto" w:sz="4" w:space="0"/>
              <w:left w:val="single" w:color="auto" w:sz="4" w:space="0"/>
              <w:bottom w:val="single" w:color="auto" w:sz="4" w:space="0"/>
              <w:right w:val="single" w:color="auto" w:sz="4" w:space="0"/>
            </w:tcBorders>
          </w:tcPr>
          <w:p>
            <w:pPr>
              <w:pStyle w:val="31"/>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投标人具有由国家认证认可监督管理部门批准设立的认证机构颁发并在有效期内的质量管理体系认证证书的，得1分；没有提供不得分。</w:t>
            </w:r>
          </w:p>
          <w:p>
            <w:pPr>
              <w:pStyle w:val="31"/>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rPr>
              <w:t>注：</w:t>
            </w:r>
            <w:r>
              <w:rPr>
                <w:rFonts w:hint="eastAsia" w:ascii="宋体" w:eastAsia="宋体" w:cs="宋体"/>
                <w:bCs/>
                <w:color w:val="auto"/>
                <w:sz w:val="21"/>
                <w:szCs w:val="21"/>
                <w:highlight w:val="none"/>
                <w:lang w:val="zh-CN"/>
              </w:rPr>
              <w:t>须提供有效证书复印件并加盖投标人公章。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69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color w:val="auto"/>
                <w:kern w:val="2"/>
                <w:sz w:val="21"/>
                <w:szCs w:val="21"/>
                <w:highlight w:val="none"/>
              </w:rPr>
            </w:pPr>
          </w:p>
        </w:tc>
        <w:tc>
          <w:tcPr>
            <w:tcW w:w="1252"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color w:val="auto"/>
                <w:kern w:val="2"/>
                <w:sz w:val="21"/>
                <w:szCs w:val="21"/>
                <w:highlight w:val="none"/>
              </w:rPr>
            </w:pPr>
          </w:p>
        </w:tc>
        <w:tc>
          <w:tcPr>
            <w:tcW w:w="750" w:type="dxa"/>
            <w:gridSpan w:val="2"/>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5830" w:type="dxa"/>
            <w:gridSpan w:val="2"/>
            <w:tcBorders>
              <w:top w:val="single" w:color="auto" w:sz="4" w:space="0"/>
              <w:left w:val="single" w:color="auto" w:sz="4" w:space="0"/>
              <w:bottom w:val="single" w:color="auto" w:sz="4" w:space="0"/>
              <w:right w:val="single" w:color="auto" w:sz="4" w:space="0"/>
            </w:tcBorders>
          </w:tcPr>
          <w:p>
            <w:pPr>
              <w:pStyle w:val="31"/>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投标人具有由国家认证认可监督管理部门批准设立的认证机构颁发并在有效期内的职业健康安全管理体系认证证书的，得1分；没有提供不得分。</w:t>
            </w:r>
          </w:p>
          <w:p>
            <w:pPr>
              <w:pStyle w:val="31"/>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rPr>
              <w:t>注：</w:t>
            </w:r>
            <w:r>
              <w:rPr>
                <w:rFonts w:hint="eastAsia" w:ascii="宋体" w:eastAsia="宋体" w:cs="宋体"/>
                <w:bCs/>
                <w:color w:val="auto"/>
                <w:sz w:val="21"/>
                <w:szCs w:val="21"/>
                <w:highlight w:val="none"/>
                <w:lang w:val="zh-CN"/>
              </w:rPr>
              <w:t>须提供有效证书复印件并加盖投标人公章。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69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color w:val="auto"/>
                <w:kern w:val="2"/>
                <w:sz w:val="21"/>
                <w:szCs w:val="21"/>
                <w:highlight w:val="none"/>
              </w:rPr>
            </w:pPr>
          </w:p>
        </w:tc>
        <w:tc>
          <w:tcPr>
            <w:tcW w:w="1252"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color w:val="auto"/>
                <w:kern w:val="2"/>
                <w:sz w:val="21"/>
                <w:szCs w:val="21"/>
                <w:highlight w:val="none"/>
              </w:rPr>
            </w:pPr>
          </w:p>
        </w:tc>
        <w:tc>
          <w:tcPr>
            <w:tcW w:w="750" w:type="dxa"/>
            <w:gridSpan w:val="2"/>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5830" w:type="dxa"/>
            <w:gridSpan w:val="2"/>
            <w:tcBorders>
              <w:top w:val="single" w:color="auto" w:sz="4" w:space="0"/>
              <w:left w:val="single" w:color="auto" w:sz="4" w:space="0"/>
              <w:bottom w:val="single" w:color="auto" w:sz="4" w:space="0"/>
              <w:right w:val="single" w:color="auto" w:sz="4" w:space="0"/>
            </w:tcBorders>
          </w:tcPr>
          <w:p>
            <w:pPr>
              <w:pStyle w:val="31"/>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投标人具有由国家认证认可监督管理部门批准设立的认证机构颁发并在有效期内的环境管理体系认证证书的，得1分；没有提供不得分。</w:t>
            </w:r>
          </w:p>
          <w:p>
            <w:pPr>
              <w:pStyle w:val="31"/>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rPr>
              <w:t>注：</w:t>
            </w:r>
            <w:r>
              <w:rPr>
                <w:rFonts w:hint="eastAsia" w:ascii="宋体" w:eastAsia="宋体" w:cs="宋体"/>
                <w:bCs/>
                <w:color w:val="auto"/>
                <w:sz w:val="21"/>
                <w:szCs w:val="21"/>
                <w:highlight w:val="none"/>
                <w:lang w:val="zh-CN"/>
              </w:rPr>
              <w:t>须提供有效证书复印件并加盖投标人公章。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69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color w:val="auto"/>
                <w:kern w:val="2"/>
                <w:sz w:val="21"/>
                <w:szCs w:val="21"/>
                <w:highlight w:val="none"/>
              </w:rPr>
            </w:pPr>
          </w:p>
        </w:tc>
        <w:tc>
          <w:tcPr>
            <w:tcW w:w="1252"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color w:val="auto"/>
                <w:kern w:val="2"/>
                <w:sz w:val="21"/>
                <w:szCs w:val="21"/>
                <w:highlight w:val="none"/>
              </w:rPr>
            </w:pPr>
          </w:p>
        </w:tc>
        <w:tc>
          <w:tcPr>
            <w:tcW w:w="750" w:type="dxa"/>
            <w:gridSpan w:val="2"/>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5830" w:type="dxa"/>
            <w:gridSpan w:val="2"/>
            <w:tcBorders>
              <w:top w:val="single" w:color="auto" w:sz="4" w:space="0"/>
              <w:left w:val="single" w:color="auto" w:sz="4" w:space="0"/>
              <w:bottom w:val="single" w:color="auto" w:sz="4" w:space="0"/>
              <w:right w:val="single" w:color="auto" w:sz="4" w:space="0"/>
            </w:tcBorders>
          </w:tcPr>
          <w:p>
            <w:pPr>
              <w:pStyle w:val="31"/>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投标人具有由国家认证认可监督管理部门批准设立的认证机构颁发并在有效期内的信息安全管理体系认证证书的，得1分；没有提供不得分。</w:t>
            </w:r>
          </w:p>
          <w:p>
            <w:pPr>
              <w:pStyle w:val="31"/>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rPr>
              <w:t>注：</w:t>
            </w:r>
            <w:r>
              <w:rPr>
                <w:rFonts w:hint="eastAsia" w:ascii="宋体" w:eastAsia="宋体" w:cs="宋体"/>
                <w:bCs/>
                <w:color w:val="auto"/>
                <w:sz w:val="21"/>
                <w:szCs w:val="21"/>
                <w:highlight w:val="none"/>
                <w:lang w:val="zh-CN"/>
              </w:rPr>
              <w:t>须提供有效证书复印件并加盖投标人公章。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69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color w:val="auto"/>
                <w:kern w:val="2"/>
                <w:sz w:val="21"/>
                <w:szCs w:val="21"/>
                <w:highlight w:val="none"/>
              </w:rPr>
            </w:pPr>
          </w:p>
        </w:tc>
        <w:tc>
          <w:tcPr>
            <w:tcW w:w="1252"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color w:val="auto"/>
                <w:kern w:val="2"/>
                <w:sz w:val="21"/>
                <w:szCs w:val="21"/>
                <w:highlight w:val="none"/>
              </w:rPr>
            </w:pPr>
          </w:p>
        </w:tc>
        <w:tc>
          <w:tcPr>
            <w:tcW w:w="750" w:type="dxa"/>
            <w:gridSpan w:val="2"/>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5830" w:type="dxa"/>
            <w:gridSpan w:val="2"/>
            <w:tcBorders>
              <w:top w:val="single" w:color="auto" w:sz="4" w:space="0"/>
              <w:left w:val="single" w:color="auto" w:sz="4" w:space="0"/>
              <w:bottom w:val="single" w:color="auto" w:sz="4" w:space="0"/>
              <w:right w:val="single" w:color="auto" w:sz="4" w:space="0"/>
            </w:tcBorders>
          </w:tcPr>
          <w:p>
            <w:pPr>
              <w:pStyle w:val="31"/>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投标人具有由国家认证认可监督管理部门批准设立的认证机构颁发并在有效期内的知识产权管理体系认证证书的，得1分；没有提供不得分。</w:t>
            </w:r>
          </w:p>
          <w:p>
            <w:pPr>
              <w:pStyle w:val="31"/>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rPr>
              <w:t>注：</w:t>
            </w:r>
            <w:r>
              <w:rPr>
                <w:rFonts w:hint="eastAsia" w:ascii="宋体" w:eastAsia="宋体" w:cs="宋体"/>
                <w:bCs/>
                <w:color w:val="auto"/>
                <w:sz w:val="21"/>
                <w:szCs w:val="21"/>
                <w:highlight w:val="none"/>
                <w:lang w:val="zh-CN"/>
              </w:rPr>
              <w:t>须提供有效证书复印件并加盖投标人公章。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690"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color w:val="auto"/>
                <w:kern w:val="2"/>
                <w:sz w:val="21"/>
                <w:szCs w:val="21"/>
                <w:highlight w:val="none"/>
              </w:rPr>
            </w:pPr>
          </w:p>
        </w:tc>
        <w:tc>
          <w:tcPr>
            <w:tcW w:w="1252" w:type="dxa"/>
            <w:vMerge w:val="continue"/>
            <w:tcBorders>
              <w:top w:val="single" w:color="auto" w:sz="4" w:space="0"/>
              <w:left w:val="single" w:color="auto" w:sz="4" w:space="0"/>
              <w:bottom w:val="single" w:color="auto" w:sz="4" w:space="0"/>
              <w:right w:val="single" w:color="auto" w:sz="4" w:space="0"/>
            </w:tcBorders>
            <w:vAlign w:val="center"/>
          </w:tcPr>
          <w:p>
            <w:pPr>
              <w:adjustRightInd/>
              <w:snapToGrid/>
              <w:spacing w:after="0"/>
              <w:rPr>
                <w:rFonts w:ascii="宋体" w:hAnsi="宋体" w:eastAsia="宋体" w:cs="宋体"/>
                <w:color w:val="auto"/>
                <w:kern w:val="2"/>
                <w:sz w:val="21"/>
                <w:szCs w:val="21"/>
                <w:highlight w:val="none"/>
              </w:rPr>
            </w:pPr>
          </w:p>
        </w:tc>
        <w:tc>
          <w:tcPr>
            <w:tcW w:w="750" w:type="dxa"/>
            <w:gridSpan w:val="2"/>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2</w:t>
            </w:r>
          </w:p>
        </w:tc>
        <w:tc>
          <w:tcPr>
            <w:tcW w:w="5830" w:type="dxa"/>
            <w:gridSpan w:val="2"/>
            <w:tcBorders>
              <w:top w:val="single" w:color="auto" w:sz="4" w:space="0"/>
              <w:left w:val="single" w:color="auto" w:sz="4" w:space="0"/>
              <w:bottom w:val="single" w:color="auto" w:sz="4" w:space="0"/>
              <w:right w:val="single" w:color="auto" w:sz="4" w:space="0"/>
            </w:tcBorders>
          </w:tcPr>
          <w:p>
            <w:pPr>
              <w:pStyle w:val="31"/>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投标人具有由国家认证认可监督管理部门批准设立的认证机构颁发并在有效期内的信息技术服务管理体系认证证书的，得</w:t>
            </w:r>
            <w:r>
              <w:rPr>
                <w:rFonts w:hint="eastAsia" w:ascii="宋体" w:eastAsia="宋体" w:cs="宋体"/>
                <w:bCs/>
                <w:color w:val="auto"/>
                <w:sz w:val="21"/>
                <w:szCs w:val="21"/>
                <w:highlight w:val="none"/>
              </w:rPr>
              <w:t>2</w:t>
            </w:r>
            <w:r>
              <w:rPr>
                <w:rFonts w:hint="eastAsia" w:ascii="宋体" w:eastAsia="宋体" w:cs="宋体"/>
                <w:bCs/>
                <w:color w:val="auto"/>
                <w:sz w:val="21"/>
                <w:szCs w:val="21"/>
                <w:highlight w:val="none"/>
                <w:lang w:val="zh-CN"/>
              </w:rPr>
              <w:t>分；没有提供不得分。</w:t>
            </w:r>
          </w:p>
          <w:p>
            <w:pPr>
              <w:pStyle w:val="31"/>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rPr>
              <w:t>注：</w:t>
            </w:r>
            <w:r>
              <w:rPr>
                <w:rFonts w:hint="eastAsia" w:ascii="宋体" w:eastAsia="宋体" w:cs="宋体"/>
                <w:bCs/>
                <w:color w:val="auto"/>
                <w:sz w:val="21"/>
                <w:szCs w:val="21"/>
                <w:highlight w:val="none"/>
                <w:lang w:val="zh-CN"/>
              </w:rPr>
              <w:t>须提供有效证书复印件并加盖投标人公章。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2</w:t>
            </w:r>
          </w:p>
        </w:tc>
        <w:tc>
          <w:tcPr>
            <w:tcW w:w="1252" w:type="dxa"/>
            <w:tcBorders>
              <w:top w:val="single" w:color="auto" w:sz="4" w:space="0"/>
              <w:left w:val="single" w:color="auto" w:sz="4" w:space="0"/>
              <w:bottom w:val="single" w:color="auto" w:sz="4" w:space="0"/>
              <w:right w:val="single" w:color="auto" w:sz="4" w:space="0"/>
            </w:tcBorders>
            <w:vAlign w:val="center"/>
          </w:tcPr>
          <w:p>
            <w:pPr>
              <w:pStyle w:val="31"/>
              <w:spacing w:line="240" w:lineRule="auto"/>
              <w:ind w:firstLine="0" w:firstLineChars="0"/>
              <w:jc w:val="center"/>
              <w:rPr>
                <w:rFonts w:ascii="宋体" w:eastAsia="宋体" w:cs="宋体"/>
                <w:color w:val="auto"/>
                <w:sz w:val="21"/>
                <w:szCs w:val="21"/>
                <w:highlight w:val="none"/>
              </w:rPr>
            </w:pPr>
            <w:r>
              <w:rPr>
                <w:rFonts w:hint="eastAsia" w:ascii="宋体" w:eastAsia="宋体" w:cs="宋体"/>
                <w:bCs/>
                <w:color w:val="auto"/>
                <w:sz w:val="21"/>
                <w:szCs w:val="21"/>
                <w:highlight w:val="none"/>
                <w:lang w:val="zh-CN"/>
              </w:rPr>
              <w:t>企业资质</w:t>
            </w:r>
          </w:p>
        </w:tc>
        <w:tc>
          <w:tcPr>
            <w:tcW w:w="750" w:type="dxa"/>
            <w:gridSpan w:val="2"/>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5</w:t>
            </w:r>
          </w:p>
        </w:tc>
        <w:tc>
          <w:tcPr>
            <w:tcW w:w="5830" w:type="dxa"/>
            <w:gridSpan w:val="2"/>
            <w:tcBorders>
              <w:top w:val="single" w:color="auto" w:sz="4" w:space="0"/>
              <w:left w:val="single" w:color="auto" w:sz="4" w:space="0"/>
              <w:bottom w:val="single" w:color="auto" w:sz="4" w:space="0"/>
              <w:right w:val="single" w:color="auto" w:sz="4" w:space="0"/>
            </w:tcBorders>
            <w:vAlign w:val="center"/>
          </w:tcPr>
          <w:p>
            <w:pPr>
              <w:pStyle w:val="31"/>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具有中国网络安全审查技术与认证中心颁发的CCRC信息系统安全集成服务资质证书，一级得</w:t>
            </w:r>
            <w:r>
              <w:rPr>
                <w:rFonts w:ascii="宋体" w:eastAsia="宋体" w:cs="宋体"/>
                <w:bCs/>
                <w:color w:val="auto"/>
                <w:sz w:val="21"/>
                <w:szCs w:val="21"/>
                <w:highlight w:val="none"/>
                <w:lang w:val="zh-CN"/>
              </w:rPr>
              <w:t>5</w:t>
            </w:r>
            <w:r>
              <w:rPr>
                <w:rFonts w:hint="eastAsia" w:ascii="宋体" w:eastAsia="宋体" w:cs="宋体"/>
                <w:bCs/>
                <w:color w:val="auto"/>
                <w:sz w:val="21"/>
                <w:szCs w:val="21"/>
                <w:highlight w:val="none"/>
                <w:lang w:val="zh-CN"/>
              </w:rPr>
              <w:t>分，二级得2分，三级得1分，</w:t>
            </w:r>
            <w:r>
              <w:rPr>
                <w:rFonts w:hint="eastAsia" w:ascii="宋体" w:eastAsia="宋体" w:cs="宋体"/>
                <w:bCs/>
                <w:color w:val="auto"/>
                <w:sz w:val="21"/>
                <w:szCs w:val="21"/>
                <w:highlight w:val="none"/>
              </w:rPr>
              <w:t>没有提供不得分</w:t>
            </w:r>
            <w:r>
              <w:rPr>
                <w:rFonts w:hint="eastAsia" w:ascii="宋体" w:eastAsia="宋体" w:cs="宋体"/>
                <w:bCs/>
                <w:color w:val="auto"/>
                <w:sz w:val="21"/>
                <w:szCs w:val="21"/>
                <w:highlight w:val="none"/>
                <w:lang w:val="zh-CN"/>
              </w:rPr>
              <w:t>。</w:t>
            </w:r>
          </w:p>
          <w:p>
            <w:pPr>
              <w:pStyle w:val="31"/>
              <w:spacing w:line="360" w:lineRule="auto"/>
              <w:ind w:firstLine="420" w:firstLineChars="200"/>
              <w:rPr>
                <w:rFonts w:ascii="宋体" w:eastAsia="宋体" w:cs="宋体"/>
                <w:bCs/>
                <w:color w:val="auto"/>
                <w:sz w:val="21"/>
                <w:szCs w:val="21"/>
                <w:highlight w:val="none"/>
              </w:rPr>
            </w:pPr>
            <w:r>
              <w:rPr>
                <w:rFonts w:hint="eastAsia" w:ascii="宋体" w:eastAsia="宋体" w:cs="宋体"/>
                <w:bCs/>
                <w:color w:val="auto"/>
                <w:sz w:val="21"/>
                <w:szCs w:val="21"/>
                <w:highlight w:val="none"/>
              </w:rPr>
              <w:t>注：</w:t>
            </w:r>
            <w:r>
              <w:rPr>
                <w:rFonts w:hint="eastAsia" w:ascii="宋体" w:eastAsia="宋体" w:cs="宋体"/>
                <w:bCs/>
                <w:color w:val="auto"/>
                <w:sz w:val="21"/>
                <w:szCs w:val="21"/>
                <w:highlight w:val="none"/>
                <w:lang w:val="zh-CN"/>
              </w:rPr>
              <w:t>须提供有效证书复印件并加盖投标人公章。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3</w:t>
            </w:r>
          </w:p>
        </w:tc>
        <w:tc>
          <w:tcPr>
            <w:tcW w:w="1252"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项目业绩</w:t>
            </w:r>
          </w:p>
        </w:tc>
        <w:tc>
          <w:tcPr>
            <w:tcW w:w="750" w:type="dxa"/>
            <w:gridSpan w:val="2"/>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8</w:t>
            </w:r>
          </w:p>
        </w:tc>
        <w:tc>
          <w:tcPr>
            <w:tcW w:w="5830" w:type="dxa"/>
            <w:gridSpan w:val="2"/>
            <w:tcBorders>
              <w:top w:val="single" w:color="auto" w:sz="4" w:space="0"/>
              <w:left w:val="single" w:color="auto" w:sz="4" w:space="0"/>
              <w:bottom w:val="single" w:color="auto" w:sz="4" w:space="0"/>
              <w:right w:val="single" w:color="auto" w:sz="4" w:space="0"/>
            </w:tcBorders>
            <w:vAlign w:val="center"/>
          </w:tcPr>
          <w:p>
            <w:pPr>
              <w:pStyle w:val="31"/>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自2017年1月1日以来承接的系统集成</w:t>
            </w:r>
            <w:r>
              <w:rPr>
                <w:rFonts w:hint="eastAsia" w:ascii="宋体" w:eastAsia="宋体" w:cs="宋体"/>
                <w:bCs/>
                <w:color w:val="auto"/>
                <w:sz w:val="21"/>
                <w:szCs w:val="21"/>
                <w:highlight w:val="none"/>
              </w:rPr>
              <w:t>类</w:t>
            </w:r>
            <w:r>
              <w:rPr>
                <w:rFonts w:hint="eastAsia" w:ascii="宋体" w:eastAsia="宋体" w:cs="宋体"/>
                <w:bCs/>
                <w:color w:val="auto"/>
                <w:sz w:val="21"/>
                <w:szCs w:val="21"/>
                <w:highlight w:val="none"/>
                <w:lang w:val="zh-CN"/>
              </w:rPr>
              <w:t>项目业绩进行评审，每提供一项得1分，最高得</w:t>
            </w:r>
            <w:r>
              <w:rPr>
                <w:rFonts w:hint="eastAsia" w:ascii="宋体" w:eastAsia="宋体" w:cs="宋体"/>
                <w:bCs/>
                <w:color w:val="auto"/>
                <w:sz w:val="21"/>
                <w:szCs w:val="21"/>
                <w:highlight w:val="none"/>
              </w:rPr>
              <w:t>8</w:t>
            </w:r>
            <w:r>
              <w:rPr>
                <w:rFonts w:hint="eastAsia" w:ascii="宋体" w:eastAsia="宋体" w:cs="宋体"/>
                <w:bCs/>
                <w:color w:val="auto"/>
                <w:sz w:val="21"/>
                <w:szCs w:val="21"/>
                <w:highlight w:val="none"/>
                <w:lang w:val="zh-CN"/>
              </w:rPr>
              <w:t>分。</w:t>
            </w:r>
          </w:p>
          <w:p>
            <w:pPr>
              <w:pStyle w:val="31"/>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color w:val="auto"/>
                <w:sz w:val="21"/>
                <w:szCs w:val="21"/>
                <w:highlight w:val="none"/>
              </w:rPr>
              <w:t>注：须提供中标通知书、合同关键页复印件以及验收报告加盖投标人公章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4</w:t>
            </w:r>
          </w:p>
        </w:tc>
        <w:tc>
          <w:tcPr>
            <w:tcW w:w="1252"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拟投入本项目人员情况</w:t>
            </w:r>
          </w:p>
        </w:tc>
        <w:tc>
          <w:tcPr>
            <w:tcW w:w="750" w:type="dxa"/>
            <w:gridSpan w:val="2"/>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10</w:t>
            </w:r>
          </w:p>
        </w:tc>
        <w:tc>
          <w:tcPr>
            <w:tcW w:w="5830" w:type="dxa"/>
            <w:gridSpan w:val="2"/>
            <w:tcBorders>
              <w:top w:val="single" w:color="auto" w:sz="4" w:space="0"/>
              <w:left w:val="single" w:color="auto" w:sz="4" w:space="0"/>
              <w:bottom w:val="single" w:color="auto" w:sz="4" w:space="0"/>
              <w:right w:val="single" w:color="auto" w:sz="4" w:space="0"/>
            </w:tcBorders>
            <w:vAlign w:val="center"/>
          </w:tcPr>
          <w:p>
            <w:pPr>
              <w:pStyle w:val="31"/>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1、拟投入的本项目项目经理进行评审：</w:t>
            </w:r>
          </w:p>
          <w:p>
            <w:pPr>
              <w:pStyle w:val="31"/>
              <w:spacing w:line="360" w:lineRule="auto"/>
              <w:ind w:firstLine="420" w:firstLineChars="200"/>
              <w:rPr>
                <w:rFonts w:ascii="宋体" w:eastAsia="宋体" w:cs="宋体"/>
                <w:bCs/>
                <w:color w:val="auto"/>
                <w:sz w:val="21"/>
                <w:szCs w:val="21"/>
                <w:highlight w:val="none"/>
              </w:rPr>
            </w:pPr>
            <w:r>
              <w:rPr>
                <w:rFonts w:hint="eastAsia" w:ascii="宋体" w:eastAsia="宋体" w:cs="宋体"/>
                <w:bCs/>
                <w:color w:val="auto"/>
                <w:sz w:val="21"/>
                <w:szCs w:val="21"/>
                <w:highlight w:val="none"/>
                <w:lang w:val="zh-CN"/>
              </w:rPr>
              <w:t>①具有人力资源和社会保障厅颁发的高级信息系统项目管理师证书</w:t>
            </w:r>
            <w:r>
              <w:rPr>
                <w:rFonts w:hint="eastAsia" w:ascii="宋体" w:eastAsia="宋体" w:cs="宋体"/>
                <w:bCs/>
                <w:color w:val="auto"/>
                <w:sz w:val="21"/>
                <w:szCs w:val="21"/>
                <w:highlight w:val="none"/>
              </w:rPr>
              <w:t>的，得1分，满分1分；</w:t>
            </w:r>
          </w:p>
          <w:p>
            <w:pPr>
              <w:pStyle w:val="31"/>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②具有人力资源和社会保障或工业和信息化部门颁发的高级工程师职称</w:t>
            </w:r>
            <w:r>
              <w:rPr>
                <w:rFonts w:hint="eastAsia" w:ascii="宋体" w:eastAsia="宋体" w:cs="宋体"/>
                <w:bCs/>
                <w:color w:val="auto"/>
                <w:sz w:val="21"/>
                <w:szCs w:val="21"/>
                <w:highlight w:val="none"/>
              </w:rPr>
              <w:t>的，得</w:t>
            </w:r>
            <w:r>
              <w:rPr>
                <w:rFonts w:ascii="宋体" w:eastAsia="宋体" w:cs="宋体"/>
                <w:bCs/>
                <w:color w:val="auto"/>
                <w:sz w:val="21"/>
                <w:szCs w:val="21"/>
                <w:highlight w:val="none"/>
              </w:rPr>
              <w:t>1</w:t>
            </w:r>
            <w:r>
              <w:rPr>
                <w:rFonts w:hint="eastAsia" w:ascii="宋体" w:eastAsia="宋体" w:cs="宋体"/>
                <w:bCs/>
                <w:color w:val="auto"/>
                <w:sz w:val="21"/>
                <w:szCs w:val="21"/>
                <w:highlight w:val="none"/>
              </w:rPr>
              <w:t>分，满分</w:t>
            </w:r>
            <w:r>
              <w:rPr>
                <w:rFonts w:ascii="宋体" w:eastAsia="宋体" w:cs="宋体"/>
                <w:bCs/>
                <w:color w:val="auto"/>
                <w:sz w:val="21"/>
                <w:szCs w:val="21"/>
                <w:highlight w:val="none"/>
              </w:rPr>
              <w:t>1</w:t>
            </w:r>
            <w:r>
              <w:rPr>
                <w:rFonts w:hint="eastAsia" w:ascii="宋体" w:eastAsia="宋体" w:cs="宋体"/>
                <w:bCs/>
                <w:color w:val="auto"/>
                <w:sz w:val="21"/>
                <w:szCs w:val="21"/>
                <w:highlight w:val="none"/>
              </w:rPr>
              <w:t>分；</w:t>
            </w:r>
          </w:p>
          <w:p>
            <w:pPr>
              <w:pStyle w:val="31"/>
              <w:spacing w:line="360" w:lineRule="auto"/>
              <w:ind w:firstLine="420" w:firstLineChars="200"/>
              <w:rPr>
                <w:rFonts w:ascii="宋体" w:eastAsia="宋体" w:cs="宋体"/>
                <w:bCs/>
                <w:color w:val="auto"/>
                <w:sz w:val="21"/>
                <w:szCs w:val="21"/>
                <w:highlight w:val="none"/>
              </w:rPr>
            </w:pPr>
            <w:r>
              <w:rPr>
                <w:rFonts w:hint="eastAsia" w:ascii="宋体" w:eastAsia="宋体" w:cs="宋体"/>
                <w:bCs/>
                <w:color w:val="auto"/>
                <w:sz w:val="21"/>
                <w:szCs w:val="21"/>
                <w:highlight w:val="none"/>
                <w:lang w:val="zh-CN"/>
              </w:rPr>
              <w:t>③</w:t>
            </w:r>
            <w:r>
              <w:rPr>
                <w:rFonts w:hint="eastAsia" w:ascii="宋体" w:eastAsia="宋体" w:cs="宋体"/>
                <w:bCs/>
                <w:color w:val="auto"/>
                <w:sz w:val="21"/>
                <w:szCs w:val="21"/>
                <w:highlight w:val="none"/>
              </w:rPr>
              <w:t>具有</w:t>
            </w:r>
            <w:r>
              <w:rPr>
                <w:rFonts w:hint="eastAsia" w:ascii="宋体" w:eastAsia="宋体" w:cs="宋体"/>
                <w:bCs/>
                <w:color w:val="auto"/>
                <w:sz w:val="21"/>
                <w:szCs w:val="21"/>
                <w:highlight w:val="none"/>
                <w:lang w:val="zh-CN"/>
              </w:rPr>
              <w:t>中国电子信息行业联合会颁发的信息系统集成及服务项目管理人员高级项目经理证书</w:t>
            </w:r>
            <w:r>
              <w:rPr>
                <w:rFonts w:hint="eastAsia" w:ascii="宋体" w:eastAsia="宋体" w:cs="宋体"/>
                <w:bCs/>
                <w:color w:val="auto"/>
                <w:sz w:val="21"/>
                <w:szCs w:val="21"/>
                <w:highlight w:val="none"/>
              </w:rPr>
              <w:t>的，得1分，满分1分；</w:t>
            </w:r>
          </w:p>
          <w:p>
            <w:pPr>
              <w:pStyle w:val="31"/>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rPr>
              <w:t>④</w:t>
            </w:r>
            <w:r>
              <w:rPr>
                <w:rFonts w:hint="eastAsia" w:ascii="宋体" w:eastAsia="宋体" w:cs="宋体"/>
                <w:bCs/>
                <w:color w:val="auto"/>
                <w:sz w:val="21"/>
                <w:szCs w:val="21"/>
                <w:highlight w:val="none"/>
                <w:lang w:val="zh-CN"/>
              </w:rPr>
              <w:t>具有中华人民</w:t>
            </w:r>
            <w:r>
              <w:rPr>
                <w:rFonts w:hint="eastAsia" w:ascii="宋体" w:eastAsia="宋体" w:cs="宋体"/>
                <w:bCs/>
                <w:color w:val="auto"/>
                <w:sz w:val="21"/>
                <w:szCs w:val="21"/>
                <w:highlight w:val="none"/>
              </w:rPr>
              <w:t>共和国一级建造师（机电工程）注册证书的，得1分，满分1分；</w:t>
            </w:r>
          </w:p>
          <w:p>
            <w:pPr>
              <w:pStyle w:val="31"/>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2、拟投入的技术人员（项目经理除外）</w:t>
            </w:r>
          </w:p>
          <w:p>
            <w:pPr>
              <w:pStyle w:val="31"/>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具有高级工程师、IT服务工程师、系统集成项目管理工程师、信息系统项目管理师、信息安全保障人员认证安全集成专业级、信息安全保障人员认证安全集成基础级证书，每类得1分，最高得</w:t>
            </w:r>
            <w:r>
              <w:rPr>
                <w:rFonts w:hint="eastAsia" w:ascii="宋体" w:eastAsia="宋体" w:cs="宋体"/>
                <w:bCs/>
                <w:color w:val="auto"/>
                <w:sz w:val="21"/>
                <w:szCs w:val="21"/>
                <w:highlight w:val="none"/>
              </w:rPr>
              <w:t>6</w:t>
            </w:r>
            <w:r>
              <w:rPr>
                <w:rFonts w:hint="eastAsia" w:ascii="宋体" w:eastAsia="宋体" w:cs="宋体"/>
                <w:bCs/>
                <w:color w:val="auto"/>
                <w:sz w:val="21"/>
                <w:szCs w:val="21"/>
                <w:highlight w:val="none"/>
                <w:lang w:val="zh-CN"/>
              </w:rPr>
              <w:t>分。</w:t>
            </w:r>
          </w:p>
          <w:p>
            <w:pPr>
              <w:pStyle w:val="31"/>
              <w:spacing w:line="360" w:lineRule="auto"/>
              <w:ind w:firstLine="420" w:firstLineChars="200"/>
              <w:rPr>
                <w:rFonts w:ascii="宋体" w:eastAsia="宋体" w:cs="宋体"/>
                <w:bCs/>
                <w:color w:val="auto"/>
                <w:sz w:val="21"/>
                <w:szCs w:val="21"/>
                <w:highlight w:val="none"/>
              </w:rPr>
            </w:pPr>
            <w:r>
              <w:rPr>
                <w:rFonts w:hint="eastAsia" w:ascii="宋体" w:eastAsia="宋体" w:cs="宋体"/>
                <w:bCs/>
                <w:color w:val="auto"/>
                <w:sz w:val="21"/>
                <w:szCs w:val="21"/>
                <w:highlight w:val="none"/>
              </w:rPr>
              <w:t>注：</w:t>
            </w:r>
            <w:r>
              <w:rPr>
                <w:rFonts w:hint="eastAsia" w:ascii="宋体" w:eastAsia="宋体" w:cs="宋体"/>
                <w:bCs/>
                <w:color w:val="auto"/>
                <w:sz w:val="21"/>
                <w:szCs w:val="21"/>
                <w:highlight w:val="none"/>
                <w:lang w:val="zh-CN"/>
              </w:rPr>
              <w:t>（1）以上项目经理、技术人员的名单不得重复。（2）须提供以上人员有效证书及</w:t>
            </w:r>
            <w:r>
              <w:rPr>
                <w:rFonts w:hint="eastAsia" w:ascii="宋体" w:eastAsia="宋体" w:cs="宋体"/>
                <w:bCs/>
                <w:color w:val="auto"/>
                <w:sz w:val="21"/>
                <w:szCs w:val="21"/>
                <w:highlight w:val="none"/>
              </w:rPr>
              <w:t>投标人</w:t>
            </w:r>
            <w:r>
              <w:rPr>
                <w:rFonts w:hint="eastAsia" w:ascii="宋体" w:eastAsia="宋体" w:cs="宋体"/>
                <w:bCs/>
                <w:color w:val="auto"/>
                <w:sz w:val="21"/>
                <w:szCs w:val="21"/>
                <w:highlight w:val="none"/>
                <w:lang w:val="zh-CN"/>
              </w:rPr>
              <w:t>为其缴纳的距开标时间（不含当月）近3个月</w:t>
            </w:r>
            <w:r>
              <w:rPr>
                <w:rFonts w:hint="eastAsia" w:ascii="宋体" w:eastAsia="宋体" w:cs="宋体"/>
                <w:bCs/>
                <w:color w:val="auto"/>
                <w:sz w:val="21"/>
                <w:szCs w:val="21"/>
                <w:highlight w:val="none"/>
              </w:rPr>
              <w:t>投标人</w:t>
            </w:r>
            <w:r>
              <w:rPr>
                <w:rFonts w:hint="eastAsia" w:ascii="宋体" w:eastAsia="宋体" w:cs="宋体"/>
                <w:bCs/>
                <w:color w:val="auto"/>
                <w:sz w:val="21"/>
                <w:szCs w:val="21"/>
                <w:highlight w:val="none"/>
                <w:lang w:val="zh-CN"/>
              </w:rPr>
              <w:t>为其购买的社保证明复印件加盖</w:t>
            </w:r>
            <w:r>
              <w:rPr>
                <w:rFonts w:hint="eastAsia" w:ascii="宋体" w:eastAsia="宋体" w:cs="宋体"/>
                <w:bCs/>
                <w:color w:val="auto"/>
                <w:sz w:val="21"/>
                <w:szCs w:val="21"/>
                <w:highlight w:val="none"/>
              </w:rPr>
              <w:t>投标人</w:t>
            </w:r>
            <w:r>
              <w:rPr>
                <w:rFonts w:hint="eastAsia" w:ascii="宋体" w:eastAsia="宋体" w:cs="宋体"/>
                <w:bCs/>
                <w:color w:val="auto"/>
                <w:sz w:val="21"/>
                <w:szCs w:val="21"/>
                <w:highlight w:val="none"/>
                <w:lang w:val="zh-CN"/>
              </w:rPr>
              <w:t>公章，若因疫情原因暂缓统一托收或阶段性减免社会保险费而导致无法打印社保缴费证明的需提供书面说明并加盖</w:t>
            </w:r>
            <w:r>
              <w:rPr>
                <w:rFonts w:hint="eastAsia" w:ascii="宋体" w:eastAsia="宋体" w:cs="宋体"/>
                <w:bCs/>
                <w:color w:val="auto"/>
                <w:sz w:val="21"/>
                <w:szCs w:val="21"/>
                <w:highlight w:val="none"/>
              </w:rPr>
              <w:t>投标人</w:t>
            </w:r>
            <w:r>
              <w:rPr>
                <w:rFonts w:hint="eastAsia" w:ascii="宋体" w:eastAsia="宋体" w:cs="宋体"/>
                <w:bCs/>
                <w:color w:val="auto"/>
                <w:sz w:val="21"/>
                <w:szCs w:val="21"/>
                <w:highlight w:val="none"/>
                <w:lang w:val="zh-CN"/>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6"/>
            <w:tcBorders>
              <w:top w:val="single" w:color="auto" w:sz="4" w:space="0"/>
              <w:left w:val="single" w:color="auto" w:sz="4" w:space="0"/>
              <w:bottom w:val="single" w:color="auto" w:sz="4" w:space="0"/>
              <w:right w:val="single" w:color="auto" w:sz="4" w:space="0"/>
            </w:tcBorders>
            <w:vAlign w:val="center"/>
          </w:tcPr>
          <w:p>
            <w:pPr>
              <w:pStyle w:val="31"/>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技术评审（</w:t>
            </w:r>
            <w:r>
              <w:rPr>
                <w:rFonts w:ascii="宋体" w:eastAsia="宋体" w:cs="宋体"/>
                <w:color w:val="auto"/>
                <w:sz w:val="21"/>
                <w:szCs w:val="21"/>
                <w:highlight w:val="none"/>
              </w:rPr>
              <w:t>40</w:t>
            </w:r>
            <w:r>
              <w:rPr>
                <w:rFonts w:hint="eastAsia" w:asci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5</w:t>
            </w:r>
          </w:p>
        </w:tc>
        <w:tc>
          <w:tcPr>
            <w:tcW w:w="1607" w:type="dxa"/>
            <w:gridSpan w:val="2"/>
            <w:tcBorders>
              <w:top w:val="single" w:color="auto" w:sz="4" w:space="0"/>
              <w:left w:val="single" w:color="auto" w:sz="4" w:space="0"/>
              <w:bottom w:val="single" w:color="auto" w:sz="4" w:space="0"/>
              <w:right w:val="single" w:color="auto" w:sz="4" w:space="0"/>
            </w:tcBorders>
            <w:vAlign w:val="center"/>
          </w:tcPr>
          <w:p>
            <w:pPr>
              <w:pStyle w:val="31"/>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技术响应情况</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31"/>
              <w:spacing w:line="340" w:lineRule="atLeas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25</w:t>
            </w:r>
          </w:p>
        </w:tc>
        <w:tc>
          <w:tcPr>
            <w:tcW w:w="546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根据</w:t>
            </w:r>
            <w:r>
              <w:rPr>
                <w:rFonts w:hint="eastAsia" w:ascii="宋体" w:eastAsia="宋体" w:cs="宋体"/>
                <w:bCs/>
                <w:color w:val="auto"/>
                <w:sz w:val="21"/>
                <w:szCs w:val="21"/>
                <w:highlight w:val="none"/>
              </w:rPr>
              <w:t>投标人</w:t>
            </w:r>
            <w:r>
              <w:rPr>
                <w:rFonts w:hint="eastAsia" w:ascii="宋体" w:eastAsia="宋体" w:cs="宋体"/>
                <w:color w:val="auto"/>
                <w:sz w:val="21"/>
                <w:szCs w:val="21"/>
                <w:highlight w:val="none"/>
              </w:rPr>
              <w:t>对招标文件用户需求书中带“▲”技术要求条款的技术指标进行响应，若全部响应为满足或优于的得25分，不满足或者不响应的每一个扣</w:t>
            </w:r>
            <w:r>
              <w:rPr>
                <w:rFonts w:ascii="宋体" w:eastAsia="宋体" w:cs="宋体"/>
                <w:color w:val="auto"/>
                <w:sz w:val="21"/>
                <w:szCs w:val="21"/>
                <w:highlight w:val="none"/>
              </w:rPr>
              <w:t>0</w:t>
            </w:r>
            <w:r>
              <w:rPr>
                <w:rFonts w:hint="eastAsia" w:ascii="宋体" w:eastAsia="宋体" w:cs="宋体"/>
                <w:color w:val="auto"/>
                <w:sz w:val="21"/>
                <w:szCs w:val="21"/>
                <w:highlight w:val="none"/>
              </w:rPr>
              <w:t>.</w:t>
            </w:r>
            <w:r>
              <w:rPr>
                <w:rFonts w:ascii="宋体" w:eastAsia="宋体" w:cs="宋体"/>
                <w:color w:val="auto"/>
                <w:sz w:val="21"/>
                <w:szCs w:val="21"/>
                <w:highlight w:val="none"/>
              </w:rPr>
              <w:t>5</w:t>
            </w:r>
            <w:r>
              <w:rPr>
                <w:rFonts w:hint="eastAsia" w:ascii="宋体" w:eastAsia="宋体" w:cs="宋体"/>
                <w:color w:val="auto"/>
                <w:sz w:val="21"/>
                <w:szCs w:val="21"/>
                <w:highlight w:val="none"/>
              </w:rPr>
              <w:t xml:space="preserve">分，扣完为止，本项最低得0分。 </w:t>
            </w:r>
          </w:p>
          <w:p>
            <w:pPr>
              <w:pStyle w:val="31"/>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注：用户需求书中要求提供证明文件的，必须提供证明文件，否则视为不响应。用户需求书中未要求证明文件的须提供所投产品的彩页或制造商的技术白皮书或制造商的公开网址链接及参数截图或制造商针对本项目所作的技术参数说明或第三方检测机构出具的检测报告复印件加盖投标人公章。（投标人必须按货物实际参数进行响应，否则视为提供虚假材料谋取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6</w:t>
            </w:r>
          </w:p>
        </w:tc>
        <w:tc>
          <w:tcPr>
            <w:tcW w:w="1607" w:type="dxa"/>
            <w:gridSpan w:val="2"/>
            <w:tcBorders>
              <w:top w:val="single" w:color="auto" w:sz="4" w:space="0"/>
              <w:left w:val="single" w:color="auto" w:sz="4" w:space="0"/>
              <w:bottom w:val="single" w:color="auto" w:sz="4" w:space="0"/>
              <w:right w:val="single" w:color="auto" w:sz="4" w:space="0"/>
            </w:tcBorders>
            <w:vAlign w:val="center"/>
          </w:tcPr>
          <w:p>
            <w:pPr>
              <w:pStyle w:val="31"/>
              <w:spacing w:line="40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项目实施方案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eastAsia="宋体" w:cs="宋体"/>
                <w:color w:val="auto"/>
                <w:sz w:val="21"/>
                <w:szCs w:val="21"/>
                <w:highlight w:val="none"/>
              </w:rPr>
            </w:pPr>
            <w:r>
              <w:rPr>
                <w:rFonts w:ascii="宋体" w:eastAsia="宋体" w:cs="宋体"/>
                <w:color w:val="auto"/>
                <w:sz w:val="21"/>
                <w:szCs w:val="21"/>
                <w:highlight w:val="none"/>
              </w:rPr>
              <w:t>5</w:t>
            </w:r>
          </w:p>
        </w:tc>
        <w:tc>
          <w:tcPr>
            <w:tcW w:w="546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根据投标人提供的项目实施方案（针对用户方现有的机房环境及设备情况，进行设备上架、调试、布线组网等实施方案） 进行综合评审：</w:t>
            </w:r>
          </w:p>
          <w:p>
            <w:pPr>
              <w:pStyle w:val="31"/>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方案内容全面，思路清晰架构清晰，架构完整，图表准确，文档设计美观大方的，得</w:t>
            </w:r>
            <w:r>
              <w:rPr>
                <w:rFonts w:ascii="宋体" w:eastAsia="宋体" w:cs="宋体"/>
                <w:color w:val="auto"/>
                <w:sz w:val="21"/>
                <w:szCs w:val="21"/>
                <w:highlight w:val="none"/>
              </w:rPr>
              <w:t>5</w:t>
            </w:r>
            <w:r>
              <w:rPr>
                <w:rFonts w:hint="eastAsia" w:ascii="宋体" w:eastAsia="宋体" w:cs="宋体"/>
                <w:color w:val="auto"/>
                <w:sz w:val="21"/>
                <w:szCs w:val="21"/>
                <w:highlight w:val="none"/>
              </w:rPr>
              <w:t>分；</w:t>
            </w:r>
          </w:p>
          <w:p>
            <w:pPr>
              <w:pStyle w:val="31"/>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方案内容比较全面，思路比较清晰，架构比较完整，图表比较准确，文档设计比较美观，得</w:t>
            </w:r>
            <w:r>
              <w:rPr>
                <w:rFonts w:ascii="宋体" w:eastAsia="宋体" w:cs="宋体"/>
                <w:color w:val="auto"/>
                <w:sz w:val="21"/>
                <w:szCs w:val="21"/>
                <w:highlight w:val="none"/>
              </w:rPr>
              <w:t>3</w:t>
            </w:r>
            <w:r>
              <w:rPr>
                <w:rFonts w:hint="eastAsia" w:ascii="宋体" w:eastAsia="宋体" w:cs="宋体"/>
                <w:color w:val="auto"/>
                <w:sz w:val="21"/>
                <w:szCs w:val="21"/>
                <w:highlight w:val="none"/>
              </w:rPr>
              <w:t>分；</w:t>
            </w:r>
          </w:p>
          <w:p>
            <w:pPr>
              <w:pStyle w:val="31"/>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方案内容基本全面，思路基本清晰，架构基本完整，图表基本准确，文档设计尚可，得1分；</w:t>
            </w:r>
          </w:p>
          <w:p>
            <w:pPr>
              <w:pStyle w:val="31"/>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方案内容一般，思路一般，架构不太完整，图表不太准确，文档设计一般，得</w:t>
            </w:r>
            <w:r>
              <w:rPr>
                <w:rFonts w:ascii="宋体" w:eastAsia="宋体" w:cs="宋体"/>
                <w:color w:val="auto"/>
                <w:sz w:val="21"/>
                <w:szCs w:val="21"/>
                <w:highlight w:val="none"/>
              </w:rPr>
              <w:t>0.5</w:t>
            </w:r>
            <w:r>
              <w:rPr>
                <w:rFonts w:hint="eastAsia" w:ascii="宋体" w:eastAsia="宋体" w:cs="宋体"/>
                <w:color w:val="auto"/>
                <w:sz w:val="21"/>
                <w:szCs w:val="21"/>
                <w:highlight w:val="none"/>
              </w:rPr>
              <w:t>分；</w:t>
            </w:r>
          </w:p>
          <w:p>
            <w:pPr>
              <w:pStyle w:val="31"/>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7</w:t>
            </w:r>
          </w:p>
        </w:tc>
        <w:tc>
          <w:tcPr>
            <w:tcW w:w="1607" w:type="dxa"/>
            <w:gridSpan w:val="2"/>
            <w:tcBorders>
              <w:top w:val="single" w:color="auto" w:sz="4" w:space="0"/>
              <w:left w:val="single" w:color="auto" w:sz="4" w:space="0"/>
              <w:bottom w:val="single" w:color="auto" w:sz="4" w:space="0"/>
              <w:right w:val="single" w:color="auto" w:sz="4" w:space="0"/>
            </w:tcBorders>
            <w:vAlign w:val="center"/>
          </w:tcPr>
          <w:p>
            <w:pPr>
              <w:pStyle w:val="31"/>
              <w:spacing w:line="400" w:lineRule="exact"/>
              <w:ind w:firstLine="0" w:firstLineChars="0"/>
              <w:jc w:val="center"/>
              <w:rPr>
                <w:rFonts w:ascii="宋体" w:eastAsia="宋体" w:cs="宋体"/>
                <w:color w:val="auto"/>
                <w:kern w:val="0"/>
                <w:sz w:val="21"/>
                <w:szCs w:val="21"/>
                <w:highlight w:val="none"/>
              </w:rPr>
            </w:pPr>
            <w:r>
              <w:rPr>
                <w:rFonts w:hint="eastAsia" w:ascii="宋体" w:eastAsia="宋体" w:cs="宋体"/>
                <w:color w:val="auto"/>
                <w:sz w:val="21"/>
                <w:szCs w:val="21"/>
                <w:highlight w:val="none"/>
              </w:rPr>
              <w:t>对项目的理解</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31"/>
              <w:spacing w:line="36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4</w:t>
            </w:r>
          </w:p>
        </w:tc>
        <w:tc>
          <w:tcPr>
            <w:tcW w:w="5463" w:type="dxa"/>
            <w:tcBorders>
              <w:top w:val="single" w:color="auto" w:sz="4" w:space="0"/>
              <w:left w:val="single" w:color="auto" w:sz="4" w:space="0"/>
              <w:bottom w:val="single" w:color="auto" w:sz="4" w:space="0"/>
              <w:right w:val="single" w:color="auto" w:sz="4" w:space="0"/>
            </w:tcBorders>
          </w:tcPr>
          <w:p>
            <w:pPr>
              <w:pStyle w:val="31"/>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根据投标人对项目内容及项目环境的理解分析进行综合评审：</w:t>
            </w:r>
          </w:p>
          <w:p>
            <w:pPr>
              <w:pStyle w:val="31"/>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对项目内容理解透彻、对项目环境非常熟悉、对重点难点的把握与分析精确到位的得4分；</w:t>
            </w:r>
          </w:p>
          <w:p>
            <w:pPr>
              <w:pStyle w:val="31"/>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对项目内容、项目环境有基本的了解、对项目重点难点的把握与分析较一般的得2分；</w:t>
            </w:r>
          </w:p>
          <w:p>
            <w:pPr>
              <w:pStyle w:val="31"/>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对项目内容、项目环境的了解模糊、对项目重点难点的把握与分析欠缺的得1分；</w:t>
            </w:r>
          </w:p>
          <w:p>
            <w:pPr>
              <w:pStyle w:val="31"/>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对项目内容、项目环境缺乏认知的得0.5分；</w:t>
            </w:r>
          </w:p>
          <w:p>
            <w:pPr>
              <w:pStyle w:val="31"/>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8</w:t>
            </w:r>
          </w:p>
        </w:tc>
        <w:tc>
          <w:tcPr>
            <w:tcW w:w="1607" w:type="dxa"/>
            <w:gridSpan w:val="2"/>
            <w:tcBorders>
              <w:top w:val="single" w:color="auto" w:sz="4" w:space="0"/>
              <w:left w:val="single" w:color="auto" w:sz="4" w:space="0"/>
              <w:bottom w:val="single" w:color="auto" w:sz="4" w:space="0"/>
              <w:right w:val="single" w:color="auto" w:sz="4" w:space="0"/>
            </w:tcBorders>
            <w:vAlign w:val="center"/>
          </w:tcPr>
          <w:p>
            <w:pPr>
              <w:pStyle w:val="31"/>
              <w:spacing w:line="40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售后服务保障</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3</w:t>
            </w:r>
          </w:p>
        </w:tc>
        <w:tc>
          <w:tcPr>
            <w:tcW w:w="546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 xml:space="preserve">根据投标人所提供的售后服务方案（包括但不限于售后服务响应、应急维修安排）进行综合评审： </w:t>
            </w:r>
          </w:p>
          <w:p>
            <w:pPr>
              <w:pStyle w:val="31"/>
              <w:spacing w:line="360" w:lineRule="auto"/>
              <w:ind w:firstLine="420" w:firstLineChars="200"/>
              <w:rPr>
                <w:rFonts w:ascii="宋体" w:eastAsia="宋体" w:cs="宋体"/>
                <w:color w:val="auto"/>
                <w:sz w:val="21"/>
                <w:szCs w:val="21"/>
                <w:highlight w:val="none"/>
              </w:rPr>
            </w:pPr>
            <w:r>
              <w:rPr>
                <w:rFonts w:hint="eastAsia" w:ascii="宋体" w:eastAsia="宋体" w:cs="宋体"/>
                <w:bCs/>
                <w:color w:val="auto"/>
                <w:sz w:val="21"/>
                <w:szCs w:val="21"/>
                <w:highlight w:val="none"/>
              </w:rPr>
              <w:t>投标人</w:t>
            </w:r>
            <w:r>
              <w:rPr>
                <w:rFonts w:hint="eastAsia" w:ascii="宋体" w:eastAsia="宋体" w:cs="宋体"/>
                <w:color w:val="auto"/>
                <w:sz w:val="21"/>
                <w:szCs w:val="21"/>
                <w:highlight w:val="none"/>
              </w:rPr>
              <w:t xml:space="preserve">所提供的售后服务方案非常全面完善，内容非常具体、详细，可行性非常强，内容详尽完整，可行性强，得3分； </w:t>
            </w:r>
          </w:p>
          <w:p>
            <w:pPr>
              <w:pStyle w:val="31"/>
              <w:spacing w:line="360" w:lineRule="auto"/>
              <w:ind w:firstLine="420" w:firstLineChars="200"/>
              <w:rPr>
                <w:rFonts w:ascii="宋体" w:eastAsia="宋体" w:cs="宋体"/>
                <w:color w:val="auto"/>
                <w:sz w:val="21"/>
                <w:szCs w:val="21"/>
                <w:highlight w:val="none"/>
              </w:rPr>
            </w:pPr>
            <w:r>
              <w:rPr>
                <w:rFonts w:hint="eastAsia" w:ascii="宋体" w:eastAsia="宋体" w:cs="宋体"/>
                <w:bCs/>
                <w:color w:val="auto"/>
                <w:sz w:val="21"/>
                <w:szCs w:val="21"/>
                <w:highlight w:val="none"/>
              </w:rPr>
              <w:t>投标人</w:t>
            </w:r>
            <w:r>
              <w:rPr>
                <w:rFonts w:hint="eastAsia" w:ascii="宋体" w:eastAsia="宋体" w:cs="宋体"/>
                <w:color w:val="auto"/>
                <w:sz w:val="21"/>
                <w:szCs w:val="21"/>
                <w:highlight w:val="none"/>
              </w:rPr>
              <w:t xml:space="preserve">所提供的售后服务方案比较完善、详细，内容比较具体、详细，具有可行性的，得2分； </w:t>
            </w:r>
          </w:p>
          <w:p>
            <w:pPr>
              <w:pStyle w:val="31"/>
              <w:spacing w:line="360" w:lineRule="auto"/>
              <w:ind w:firstLine="420" w:firstLineChars="200"/>
              <w:rPr>
                <w:rFonts w:ascii="宋体" w:eastAsia="宋体" w:cs="宋体"/>
                <w:color w:val="auto"/>
                <w:sz w:val="21"/>
                <w:szCs w:val="21"/>
                <w:highlight w:val="none"/>
              </w:rPr>
            </w:pPr>
            <w:r>
              <w:rPr>
                <w:rFonts w:hint="eastAsia" w:ascii="宋体" w:eastAsia="宋体" w:cs="宋体"/>
                <w:bCs/>
                <w:color w:val="auto"/>
                <w:sz w:val="21"/>
                <w:szCs w:val="21"/>
                <w:highlight w:val="none"/>
              </w:rPr>
              <w:t>投标人</w:t>
            </w:r>
            <w:r>
              <w:rPr>
                <w:rFonts w:hint="eastAsia" w:ascii="宋体" w:eastAsia="宋体" w:cs="宋体"/>
                <w:color w:val="auto"/>
                <w:sz w:val="21"/>
                <w:szCs w:val="21"/>
                <w:highlight w:val="none"/>
              </w:rPr>
              <w:t xml:space="preserve">所提供的售后服务方案基本完善，可行性一般的，得1分； </w:t>
            </w:r>
          </w:p>
          <w:p>
            <w:pPr>
              <w:pStyle w:val="31"/>
              <w:spacing w:line="360" w:lineRule="auto"/>
              <w:ind w:firstLine="420" w:firstLineChars="200"/>
              <w:rPr>
                <w:rFonts w:ascii="宋体" w:eastAsia="宋体" w:cs="宋体"/>
                <w:color w:val="auto"/>
                <w:sz w:val="21"/>
                <w:szCs w:val="21"/>
                <w:highlight w:val="none"/>
              </w:rPr>
            </w:pPr>
            <w:r>
              <w:rPr>
                <w:rFonts w:hint="eastAsia" w:ascii="宋体" w:eastAsia="宋体" w:cs="宋体"/>
                <w:bCs/>
                <w:color w:val="auto"/>
                <w:sz w:val="21"/>
                <w:szCs w:val="21"/>
                <w:highlight w:val="none"/>
              </w:rPr>
              <w:t>投标人</w:t>
            </w:r>
            <w:r>
              <w:rPr>
                <w:rFonts w:hint="eastAsia" w:ascii="宋体" w:eastAsia="宋体" w:cs="宋体"/>
                <w:color w:val="auto"/>
                <w:sz w:val="21"/>
                <w:szCs w:val="21"/>
                <w:highlight w:val="none"/>
              </w:rPr>
              <w:t xml:space="preserve">所提供的售后服务方案不全面，可行性较差的，得0.5分； </w:t>
            </w:r>
          </w:p>
          <w:p>
            <w:pPr>
              <w:pStyle w:val="31"/>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rPr>
              <w:t xml:space="preserve">未提供相应方案的不得分。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9</w:t>
            </w:r>
          </w:p>
        </w:tc>
        <w:tc>
          <w:tcPr>
            <w:tcW w:w="1607" w:type="dxa"/>
            <w:gridSpan w:val="2"/>
            <w:tcBorders>
              <w:top w:val="single" w:color="auto" w:sz="4" w:space="0"/>
              <w:left w:val="single" w:color="auto" w:sz="4" w:space="0"/>
              <w:bottom w:val="single" w:color="auto" w:sz="4" w:space="0"/>
              <w:right w:val="single" w:color="auto" w:sz="4" w:space="0"/>
            </w:tcBorders>
            <w:vAlign w:val="center"/>
          </w:tcPr>
          <w:p>
            <w:pPr>
              <w:tabs>
                <w:tab w:val="left" w:pos="8610"/>
              </w:tabs>
              <w:spacing w:line="34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质量保障措施及应急方案</w:t>
            </w:r>
          </w:p>
        </w:tc>
        <w:tc>
          <w:tcPr>
            <w:tcW w:w="762" w:type="dxa"/>
            <w:gridSpan w:val="2"/>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3</w:t>
            </w:r>
          </w:p>
        </w:tc>
        <w:tc>
          <w:tcPr>
            <w:tcW w:w="5463" w:type="dxa"/>
            <w:tcBorders>
              <w:top w:val="single" w:color="auto" w:sz="4" w:space="0"/>
              <w:left w:val="single" w:color="auto" w:sz="4" w:space="0"/>
              <w:bottom w:val="single" w:color="auto" w:sz="4" w:space="0"/>
              <w:right w:val="single" w:color="auto" w:sz="4" w:space="0"/>
            </w:tcBorders>
            <w:vAlign w:val="center"/>
          </w:tcPr>
          <w:p>
            <w:pPr>
              <w:pStyle w:val="31"/>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 xml:space="preserve">根据投标人提供质量保障措施方案及应急方案（包括但不限于质量目标、项目质量的控制和应急方案措施）进行综合评审： </w:t>
            </w:r>
          </w:p>
          <w:p>
            <w:pPr>
              <w:pStyle w:val="31"/>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 xml:space="preserve">质量目标非常明确、项目质量的控制非常详细、检验手段非常科学，应急方案非常具体可行，得3分； </w:t>
            </w:r>
          </w:p>
          <w:p>
            <w:pPr>
              <w:pStyle w:val="31"/>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 xml:space="preserve">质量目标比较明确、项目质量的控制较为详细、检验手段比较科学，应急方案比较具体可行，得2分； </w:t>
            </w:r>
          </w:p>
          <w:p>
            <w:pPr>
              <w:pStyle w:val="31"/>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 xml:space="preserve">质量目标基本明确、项目质量的控制一般、检验手段一般，安全、应急方案一般，得1分； </w:t>
            </w:r>
          </w:p>
          <w:p>
            <w:pPr>
              <w:pStyle w:val="31"/>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 xml:space="preserve">质量目标不明确、项目质量的控制不够可行、检验手段一般，应急方案不够具体、可行，得0.5分； </w:t>
            </w:r>
          </w:p>
          <w:p>
            <w:pPr>
              <w:pStyle w:val="31"/>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rPr>
              <w:t xml:space="preserve">未提供对应方案不得分。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6"/>
            <w:tcBorders>
              <w:top w:val="single" w:color="auto" w:sz="4" w:space="0"/>
              <w:left w:val="single" w:color="auto" w:sz="4" w:space="0"/>
              <w:bottom w:val="single" w:color="auto" w:sz="4" w:space="0"/>
              <w:right w:val="single" w:color="auto" w:sz="4" w:space="0"/>
            </w:tcBorders>
            <w:vAlign w:val="center"/>
          </w:tcPr>
          <w:p>
            <w:pPr>
              <w:widowControl w:val="0"/>
              <w:tabs>
                <w:tab w:val="left" w:pos="907"/>
              </w:tabs>
              <w:adjustRightInd/>
              <w:snapToGrid/>
              <w:spacing w:after="0" w:line="360" w:lineRule="exact"/>
              <w:ind w:firstLine="422" w:firstLineChars="20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注：</w:t>
            </w:r>
          </w:p>
          <w:p>
            <w:pPr>
              <w:widowControl w:val="0"/>
              <w:tabs>
                <w:tab w:val="left" w:pos="907"/>
              </w:tabs>
              <w:adjustRightInd/>
              <w:snapToGrid/>
              <w:spacing w:after="0" w:line="360" w:lineRule="exact"/>
              <w:ind w:firstLine="422" w:firstLineChars="20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（1）无特殊说明外，以上评审项，同一证明文件不重复计分。</w:t>
            </w:r>
          </w:p>
          <w:p>
            <w:pPr>
              <w:widowControl w:val="0"/>
              <w:tabs>
                <w:tab w:val="left" w:pos="907"/>
              </w:tabs>
              <w:adjustRightInd/>
              <w:snapToGrid/>
              <w:spacing w:after="0" w:line="360" w:lineRule="exact"/>
              <w:ind w:firstLine="422" w:firstLineChars="20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（2）投标人根据以上评分要求提供的投标材料因模糊不清导致评标委员会无法清晰辨认进行评审的，视为无效材料。</w:t>
            </w:r>
          </w:p>
          <w:p>
            <w:pPr>
              <w:widowControl w:val="0"/>
              <w:tabs>
                <w:tab w:val="left" w:pos="907"/>
              </w:tabs>
              <w:adjustRightInd/>
              <w:snapToGrid/>
              <w:spacing w:after="0" w:line="360" w:lineRule="exact"/>
              <w:ind w:firstLine="422" w:firstLineChars="200"/>
              <w:jc w:val="both"/>
              <w:rPr>
                <w:rFonts w:ascii="宋体" w:eastAsia="宋体" w:cs="宋体"/>
                <w:color w:val="auto"/>
                <w:sz w:val="21"/>
                <w:szCs w:val="21"/>
                <w:highlight w:val="none"/>
              </w:rPr>
            </w:pPr>
            <w:r>
              <w:rPr>
                <w:rFonts w:hint="eastAsia" w:ascii="宋体" w:hAnsi="宋体" w:eastAsia="宋体"/>
                <w:b/>
                <w:color w:val="auto"/>
                <w:sz w:val="21"/>
                <w:szCs w:val="21"/>
                <w:highlight w:val="none"/>
              </w:rPr>
              <w:t>（3）若因疫情原因暂缓统一托收或阶段性减免社会保险费而导致无法打印社保缴费证明的需提供书面说明并加盖投标人公章。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6"/>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lang w:val="zh-CN"/>
              </w:rPr>
            </w:pPr>
            <w:r>
              <w:rPr>
                <w:rFonts w:hint="eastAsia" w:ascii="宋体" w:eastAsia="宋体" w:cs="宋体"/>
                <w:color w:val="auto"/>
                <w:sz w:val="21"/>
                <w:szCs w:val="21"/>
                <w:highlight w:val="none"/>
              </w:rPr>
              <w:t>价格评审（30）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31"/>
              <w:spacing w:line="340" w:lineRule="exact"/>
              <w:ind w:firstLine="0" w:firstLineChars="0"/>
              <w:jc w:val="center"/>
              <w:rPr>
                <w:rFonts w:ascii="宋体" w:eastAsia="宋体" w:cs="宋体"/>
                <w:color w:val="auto"/>
                <w:sz w:val="21"/>
                <w:szCs w:val="21"/>
                <w:highlight w:val="none"/>
              </w:rPr>
            </w:pPr>
            <w:r>
              <w:rPr>
                <w:rFonts w:ascii="宋体" w:eastAsia="宋体" w:cs="宋体"/>
                <w:color w:val="auto"/>
                <w:sz w:val="21"/>
                <w:szCs w:val="21"/>
                <w:highlight w:val="none"/>
              </w:rPr>
              <w:t>1</w:t>
            </w:r>
            <w:r>
              <w:rPr>
                <w:rFonts w:hint="eastAsia" w:ascii="宋体" w:eastAsia="宋体" w:cs="宋体"/>
                <w:color w:val="auto"/>
                <w:sz w:val="21"/>
                <w:szCs w:val="21"/>
                <w:highlight w:val="none"/>
              </w:rPr>
              <w:t>0</w:t>
            </w:r>
          </w:p>
        </w:tc>
        <w:tc>
          <w:tcPr>
            <w:tcW w:w="7832" w:type="dxa"/>
            <w:gridSpan w:val="5"/>
            <w:tcBorders>
              <w:top w:val="single" w:color="auto" w:sz="4" w:space="0"/>
              <w:left w:val="single" w:color="auto" w:sz="4" w:space="0"/>
              <w:bottom w:val="single" w:color="auto" w:sz="4" w:space="0"/>
              <w:right w:val="single" w:color="auto" w:sz="4" w:space="0"/>
            </w:tcBorders>
            <w:vAlign w:val="center"/>
          </w:tcPr>
          <w:p>
            <w:pPr>
              <w:widowControl w:val="0"/>
              <w:tabs>
                <w:tab w:val="left" w:pos="907"/>
              </w:tabs>
              <w:adjustRightInd/>
              <w:snapToGrid/>
              <w:spacing w:after="0" w:line="360" w:lineRule="auto"/>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价格分计算方法：满足招标文件要求且投标价格最低的投标报价为评标基准价，其价格分为满分。其他投标人的价格分统一按照下列公式计算：</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投标报价得分</w:t>
            </w:r>
            <w:r>
              <w:rPr>
                <w:rFonts w:ascii="宋体" w:hAnsi="宋体" w:eastAsia="宋体"/>
                <w:color w:val="auto"/>
                <w:sz w:val="21"/>
                <w:szCs w:val="21"/>
                <w:highlight w:val="none"/>
              </w:rPr>
              <w:t>=(评标基准价／投标报价)×</w:t>
            </w:r>
            <w:r>
              <w:rPr>
                <w:rFonts w:hint="eastAsia" w:ascii="宋体" w:hAnsi="宋体" w:eastAsia="宋体"/>
                <w:color w:val="auto"/>
                <w:sz w:val="21"/>
                <w:szCs w:val="21"/>
                <w:highlight w:val="none"/>
              </w:rPr>
              <w:t>价格权值</w:t>
            </w:r>
          </w:p>
        </w:tc>
      </w:tr>
    </w:tbl>
    <w:p>
      <w:pPr>
        <w:rPr>
          <w:color w:val="auto"/>
          <w:highlight w:val="none"/>
        </w:rPr>
      </w:pPr>
    </w:p>
    <w:p>
      <w:pPr>
        <w:pStyle w:val="4"/>
        <w:spacing w:before="0" w:after="0" w:line="240" w:lineRule="auto"/>
        <w:rPr>
          <w:color w:val="auto"/>
          <w:sz w:val="36"/>
          <w:szCs w:val="36"/>
          <w:highlight w:val="none"/>
        </w:rPr>
      </w:pPr>
      <w:r>
        <w:rPr>
          <w:rFonts w:hint="eastAsia"/>
          <w:color w:val="auto"/>
          <w:sz w:val="28"/>
          <w:szCs w:val="28"/>
          <w:highlight w:val="none"/>
        </w:rPr>
        <w:br w:type="page"/>
      </w:r>
      <w:bookmarkStart w:id="4" w:name="_Toc31854"/>
      <w:r>
        <w:rPr>
          <w:rFonts w:hint="eastAsia"/>
          <w:color w:val="auto"/>
          <w:sz w:val="28"/>
          <w:szCs w:val="28"/>
          <w:highlight w:val="none"/>
        </w:rPr>
        <w:t>第三部分 用户需求书</w:t>
      </w:r>
      <w:bookmarkEnd w:id="4"/>
    </w:p>
    <w:p>
      <w:pPr>
        <w:pStyle w:val="5"/>
        <w:spacing w:before="0" w:after="0" w:line="240" w:lineRule="auto"/>
        <w:jc w:val="center"/>
        <w:rPr>
          <w:rFonts w:ascii="宋体" w:hAnsi="宋体" w:eastAsia="宋体" w:cs="宋体"/>
          <w:color w:val="auto"/>
          <w:sz w:val="24"/>
          <w:szCs w:val="24"/>
          <w:highlight w:val="none"/>
        </w:rPr>
      </w:pPr>
      <w:bookmarkStart w:id="5" w:name="_Toc3968"/>
      <w:r>
        <w:rPr>
          <w:rFonts w:hint="eastAsia" w:ascii="宋体" w:hAnsi="宋体" w:eastAsia="宋体" w:cs="宋体"/>
          <w:color w:val="auto"/>
          <w:sz w:val="24"/>
          <w:szCs w:val="24"/>
          <w:highlight w:val="none"/>
        </w:rPr>
        <w:t>用户需求明细</w:t>
      </w:r>
      <w:bookmarkEnd w:id="5"/>
      <w:bookmarkStart w:id="6" w:name="_Toc24679"/>
      <w:bookmarkStart w:id="7" w:name="_Toc31278"/>
      <w:bookmarkStart w:id="8" w:name="_Toc14462"/>
      <w:bookmarkStart w:id="9" w:name="_Toc13112"/>
    </w:p>
    <w:p>
      <w:pPr>
        <w:spacing w:after="0" w:line="360" w:lineRule="auto"/>
        <w:rPr>
          <w:rFonts w:ascii="宋体" w:hAnsi="宋体" w:eastAsia="宋体" w:cs="宋体"/>
          <w:color w:val="auto"/>
          <w:sz w:val="24"/>
          <w:szCs w:val="24"/>
          <w:highlight w:val="none"/>
        </w:rPr>
      </w:pPr>
    </w:p>
    <w:p>
      <w:pPr>
        <w:pStyle w:val="6"/>
        <w:spacing w:before="0" w:after="0" w:line="360" w:lineRule="auto"/>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一、项目建设内容</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主要服务于智慧道路信息化平台升级扩容项目，为该项目提供稳定的后台配套资源环境。按建设规模配套增加计算、存储、网络资源，主要包括服务器（含虚拟化软件）、视频存储服务节点（含视频图片管理软件）、IPSAN、交换机等，其中高性能服务器（14核CPU）29台，视频存储服务节点10台，IPSAN存储1套，网络交换机8台，虚拟化平台系统软件1套，视频及图片管理软件1套。</w:t>
      </w:r>
    </w:p>
    <w:p>
      <w:pPr>
        <w:pStyle w:val="2"/>
        <w:spacing w:before="0" w:after="0" w:line="360" w:lineRule="auto"/>
        <w:ind w:left="119"/>
        <w:rPr>
          <w:color w:val="auto"/>
          <w:highlight w:val="none"/>
        </w:rPr>
      </w:pPr>
    </w:p>
    <w:p>
      <w:pPr>
        <w:pStyle w:val="6"/>
        <w:spacing w:before="0" w:after="0" w:line="360" w:lineRule="auto"/>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二、采购清单</w:t>
      </w:r>
    </w:p>
    <w:tbl>
      <w:tblPr>
        <w:tblStyle w:val="19"/>
        <w:tblW w:w="0" w:type="auto"/>
        <w:tblInd w:w="96" w:type="dxa"/>
        <w:tblLayout w:type="autofit"/>
        <w:tblCellMar>
          <w:top w:w="0" w:type="dxa"/>
          <w:left w:w="108" w:type="dxa"/>
          <w:bottom w:w="0" w:type="dxa"/>
          <w:right w:w="108" w:type="dxa"/>
        </w:tblCellMar>
      </w:tblPr>
      <w:tblGrid>
        <w:gridCol w:w="427"/>
        <w:gridCol w:w="1092"/>
        <w:gridCol w:w="5823"/>
        <w:gridCol w:w="636"/>
        <w:gridCol w:w="448"/>
      </w:tblGrid>
      <w:tr>
        <w:tblPrEx>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序号</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设备需求</w:t>
            </w:r>
          </w:p>
        </w:tc>
        <w:tc>
          <w:tcPr>
            <w:tcW w:w="58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设备配置</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数量</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单位</w:t>
            </w:r>
          </w:p>
        </w:tc>
      </w:tr>
      <w:tr>
        <w:tblPrEx>
          <w:tblCellMar>
            <w:top w:w="0" w:type="dxa"/>
            <w:left w:w="108" w:type="dxa"/>
            <w:bottom w:w="0" w:type="dxa"/>
            <w:right w:w="108" w:type="dxa"/>
          </w:tblCellMar>
        </w:tblPrEx>
        <w:trPr>
          <w:trHeight w:val="23"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bidi="ar"/>
              </w:rPr>
              <w:t>（一）计算资源</w:t>
            </w:r>
          </w:p>
        </w:tc>
      </w:tr>
      <w:tr>
        <w:tblPrEx>
          <w:tblCellMar>
            <w:top w:w="0" w:type="dxa"/>
            <w:left w:w="108" w:type="dxa"/>
            <w:bottom w:w="0" w:type="dxa"/>
            <w:right w:w="108" w:type="dxa"/>
          </w:tblCellMar>
        </w:tblPrEx>
        <w:trPr>
          <w:trHeight w:val="37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视频人工智能解析引擎服务器（视频专网）</w:t>
            </w:r>
          </w:p>
        </w:tc>
        <w:tc>
          <w:tcPr>
            <w:tcW w:w="58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kern w:val="2"/>
                <w:sz w:val="21"/>
                <w:szCs w:val="21"/>
                <w:highlight w:val="none"/>
              </w:rPr>
            </w:pPr>
            <w:r>
              <w:rPr>
                <w:rStyle w:val="48"/>
                <w:rFonts w:hint="default" w:ascii="宋体" w:hAnsi="宋体" w:eastAsia="宋体" w:cs="宋体"/>
                <w:color w:val="auto"/>
                <w:kern w:val="2"/>
                <w:sz w:val="21"/>
                <w:szCs w:val="21"/>
                <w:highlight w:val="none"/>
                <w:lang w:bidi="ar"/>
              </w:rPr>
              <w:t>1、配置至少两颗64位14核处理器，主频应不低于2.2GHz，单服务器内存配置不低于192GB；</w:t>
            </w:r>
            <w:r>
              <w:rPr>
                <w:rStyle w:val="48"/>
                <w:rFonts w:hint="default" w:ascii="宋体" w:hAnsi="宋体" w:eastAsia="宋体" w:cs="宋体"/>
                <w:color w:val="auto"/>
                <w:kern w:val="2"/>
                <w:sz w:val="21"/>
                <w:szCs w:val="21"/>
                <w:highlight w:val="none"/>
                <w:lang w:bidi="ar"/>
              </w:rPr>
              <w:br w:type="textWrapping"/>
            </w:r>
            <w:r>
              <w:rPr>
                <w:rStyle w:val="48"/>
                <w:rFonts w:hint="default" w:ascii="宋体" w:hAnsi="宋体" w:eastAsia="宋体" w:cs="宋体"/>
                <w:color w:val="auto"/>
                <w:kern w:val="2"/>
                <w:sz w:val="21"/>
                <w:szCs w:val="21"/>
                <w:highlight w:val="none"/>
                <w:lang w:bidi="ar"/>
              </w:rPr>
              <w:t>2、▲内存采用DDR4、2666MHZ 或以上规格，支持内存扩展；单服务器可提供内存插槽≥24 个（单卡槽内存支持64GB），可组成≥12 个DDR4 高速通道</w:t>
            </w:r>
            <w:r>
              <w:rPr>
                <w:rStyle w:val="49"/>
                <w:rFonts w:hint="default" w:ascii="宋体" w:hAnsi="宋体" w:eastAsia="宋体" w:cs="宋体"/>
                <w:color w:val="auto"/>
                <w:kern w:val="2"/>
                <w:sz w:val="21"/>
                <w:szCs w:val="21"/>
                <w:highlight w:val="none"/>
                <w:lang w:bidi="ar"/>
              </w:rPr>
              <w:t>（提供第三方检测机构出具的检验报告复印件证明并加盖投标人公章）</w:t>
            </w:r>
            <w:r>
              <w:rPr>
                <w:rStyle w:val="48"/>
                <w:rFonts w:hint="default" w:ascii="宋体" w:hAnsi="宋体" w:eastAsia="宋体" w:cs="宋体"/>
                <w:color w:val="auto"/>
                <w:kern w:val="2"/>
                <w:sz w:val="21"/>
                <w:szCs w:val="21"/>
                <w:highlight w:val="none"/>
                <w:lang w:bidi="ar"/>
              </w:rPr>
              <w:br w:type="textWrapping"/>
            </w:r>
            <w:r>
              <w:rPr>
                <w:rStyle w:val="48"/>
                <w:rFonts w:hint="default" w:ascii="宋体" w:hAnsi="宋体" w:eastAsia="宋体" w:cs="宋体"/>
                <w:color w:val="auto"/>
                <w:kern w:val="2"/>
                <w:sz w:val="21"/>
                <w:szCs w:val="21"/>
                <w:highlight w:val="none"/>
                <w:lang w:bidi="ar"/>
              </w:rPr>
              <w:t xml:space="preserve">3、设备应能安装在19″标准机架中，采用全模块化无线缆设计，独立主控模块、热插拔磁盘、独立电源模块； </w:t>
            </w:r>
            <w:r>
              <w:rPr>
                <w:rStyle w:val="48"/>
                <w:rFonts w:hint="default" w:ascii="宋体" w:hAnsi="宋体" w:eastAsia="宋体" w:cs="宋体"/>
                <w:color w:val="auto"/>
                <w:kern w:val="2"/>
                <w:sz w:val="21"/>
                <w:szCs w:val="21"/>
                <w:highlight w:val="none"/>
                <w:lang w:bidi="ar"/>
              </w:rPr>
              <w:br w:type="textWrapping"/>
            </w:r>
            <w:r>
              <w:rPr>
                <w:rStyle w:val="48"/>
                <w:rFonts w:hint="default" w:ascii="宋体" w:hAnsi="宋体" w:eastAsia="宋体" w:cs="宋体"/>
                <w:color w:val="auto"/>
                <w:kern w:val="2"/>
                <w:sz w:val="21"/>
                <w:szCs w:val="21"/>
                <w:highlight w:val="none"/>
                <w:lang w:bidi="ar"/>
              </w:rPr>
              <w:t>4、▲单服务器支持系统磁盘数量≥2，配置2 块1200GB SAS SDD，组成RAID1</w:t>
            </w:r>
            <w:r>
              <w:rPr>
                <w:rStyle w:val="49"/>
                <w:rFonts w:hint="default" w:ascii="宋体" w:hAnsi="宋体" w:eastAsia="宋体" w:cs="宋体"/>
                <w:color w:val="auto"/>
                <w:kern w:val="2"/>
                <w:sz w:val="21"/>
                <w:szCs w:val="21"/>
                <w:highlight w:val="none"/>
                <w:lang w:bidi="ar"/>
              </w:rPr>
              <w:t>（提供第三方检测机构出具的检验报告复印件证明并加盖投标人公章）；</w:t>
            </w:r>
            <w:r>
              <w:rPr>
                <w:rStyle w:val="48"/>
                <w:rFonts w:hint="default" w:ascii="宋体" w:hAnsi="宋体" w:eastAsia="宋体" w:cs="宋体"/>
                <w:color w:val="auto"/>
                <w:kern w:val="2"/>
                <w:sz w:val="21"/>
                <w:szCs w:val="21"/>
                <w:highlight w:val="none"/>
                <w:lang w:bidi="ar"/>
              </w:rPr>
              <w:br w:type="textWrapping"/>
            </w:r>
            <w:r>
              <w:rPr>
                <w:rStyle w:val="48"/>
                <w:rFonts w:hint="default" w:ascii="宋体" w:hAnsi="宋体" w:eastAsia="宋体" w:cs="宋体"/>
                <w:color w:val="auto"/>
                <w:kern w:val="2"/>
                <w:sz w:val="21"/>
                <w:szCs w:val="21"/>
                <w:highlight w:val="none"/>
                <w:lang w:bidi="ar"/>
              </w:rPr>
              <w:t>5、支持最大业务磁盘数量≥10 块4TB 的SATA 盘，配置2块4TB的SATA盘；</w:t>
            </w:r>
            <w:r>
              <w:rPr>
                <w:rStyle w:val="48"/>
                <w:rFonts w:hint="default" w:ascii="宋体" w:hAnsi="宋体" w:eastAsia="宋体" w:cs="宋体"/>
                <w:color w:val="auto"/>
                <w:kern w:val="2"/>
                <w:sz w:val="21"/>
                <w:szCs w:val="21"/>
                <w:highlight w:val="none"/>
                <w:lang w:bidi="ar"/>
              </w:rPr>
              <w:br w:type="textWrapping"/>
            </w:r>
            <w:r>
              <w:rPr>
                <w:rStyle w:val="48"/>
                <w:rFonts w:hint="default" w:ascii="宋体" w:hAnsi="宋体" w:eastAsia="宋体" w:cs="宋体"/>
                <w:color w:val="auto"/>
                <w:kern w:val="2"/>
                <w:sz w:val="21"/>
                <w:szCs w:val="21"/>
                <w:highlight w:val="none"/>
                <w:lang w:bidi="ar"/>
              </w:rPr>
              <w:t>6、支持最大6张GPU卡插槽；</w:t>
            </w:r>
            <w:r>
              <w:rPr>
                <w:rStyle w:val="48"/>
                <w:rFonts w:hint="default" w:ascii="宋体" w:hAnsi="宋体" w:eastAsia="宋体" w:cs="宋体"/>
                <w:color w:val="auto"/>
                <w:kern w:val="2"/>
                <w:sz w:val="21"/>
                <w:szCs w:val="21"/>
                <w:highlight w:val="none"/>
                <w:lang w:bidi="ar"/>
              </w:rPr>
              <w:br w:type="textWrapping"/>
            </w:r>
            <w:r>
              <w:rPr>
                <w:rStyle w:val="48"/>
                <w:rFonts w:hint="default" w:ascii="宋体" w:hAnsi="宋体" w:eastAsia="宋体" w:cs="宋体"/>
                <w:color w:val="auto"/>
                <w:kern w:val="2"/>
                <w:sz w:val="21"/>
                <w:szCs w:val="21"/>
                <w:highlight w:val="none"/>
                <w:lang w:bidi="ar"/>
              </w:rPr>
              <w:t>7、支持硬盘缓启动功能；</w:t>
            </w:r>
            <w:r>
              <w:rPr>
                <w:rStyle w:val="48"/>
                <w:rFonts w:hint="default" w:ascii="宋体" w:hAnsi="宋体" w:eastAsia="宋体" w:cs="宋体"/>
                <w:color w:val="auto"/>
                <w:kern w:val="2"/>
                <w:sz w:val="21"/>
                <w:szCs w:val="21"/>
                <w:highlight w:val="none"/>
                <w:lang w:bidi="ar"/>
              </w:rPr>
              <w:br w:type="textWrapping"/>
            </w:r>
            <w:r>
              <w:rPr>
                <w:rStyle w:val="48"/>
                <w:rFonts w:hint="default" w:ascii="宋体" w:hAnsi="宋体" w:eastAsia="宋体" w:cs="宋体"/>
                <w:color w:val="auto"/>
                <w:kern w:val="2"/>
                <w:sz w:val="21"/>
                <w:szCs w:val="21"/>
                <w:highlight w:val="none"/>
                <w:lang w:bidi="ar"/>
              </w:rPr>
              <w:t xml:space="preserve">8、单服务器配置2 个GE 网口和2 个10GE 网口； </w:t>
            </w:r>
            <w:r>
              <w:rPr>
                <w:rStyle w:val="48"/>
                <w:rFonts w:hint="default" w:ascii="宋体" w:hAnsi="宋体" w:eastAsia="宋体" w:cs="宋体"/>
                <w:color w:val="auto"/>
                <w:kern w:val="2"/>
                <w:sz w:val="21"/>
                <w:szCs w:val="21"/>
                <w:highlight w:val="none"/>
                <w:lang w:bidi="ar"/>
              </w:rPr>
              <w:br w:type="textWrapping"/>
            </w:r>
            <w:r>
              <w:rPr>
                <w:rStyle w:val="48"/>
                <w:rFonts w:hint="default" w:ascii="宋体" w:hAnsi="宋体" w:eastAsia="宋体" w:cs="宋体"/>
                <w:color w:val="auto"/>
                <w:kern w:val="2"/>
                <w:sz w:val="21"/>
                <w:szCs w:val="21"/>
                <w:highlight w:val="none"/>
                <w:lang w:bidi="ar"/>
              </w:rPr>
              <w:t>9、支持4个独立的风扇，支持单风扇失效；</w:t>
            </w:r>
            <w:r>
              <w:rPr>
                <w:rStyle w:val="48"/>
                <w:rFonts w:hint="default" w:ascii="宋体" w:hAnsi="宋体" w:eastAsia="宋体" w:cs="宋体"/>
                <w:color w:val="auto"/>
                <w:kern w:val="2"/>
                <w:sz w:val="21"/>
                <w:szCs w:val="21"/>
                <w:highlight w:val="none"/>
                <w:lang w:bidi="ar"/>
              </w:rPr>
              <w:br w:type="textWrapping"/>
            </w:r>
            <w:r>
              <w:rPr>
                <w:rStyle w:val="48"/>
                <w:rFonts w:hint="default" w:ascii="宋体" w:hAnsi="宋体" w:eastAsia="宋体" w:cs="宋体"/>
                <w:color w:val="auto"/>
                <w:kern w:val="2"/>
                <w:sz w:val="21"/>
                <w:szCs w:val="21"/>
                <w:highlight w:val="none"/>
                <w:lang w:bidi="ar"/>
              </w:rPr>
              <w:t>10、电源模块支持1+1冗余备份，支持独立维护；</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台</w:t>
            </w:r>
          </w:p>
        </w:tc>
      </w:tr>
      <w:tr>
        <w:tblPrEx>
          <w:tblCellMar>
            <w:top w:w="0" w:type="dxa"/>
            <w:left w:w="108" w:type="dxa"/>
            <w:bottom w:w="0" w:type="dxa"/>
            <w:right w:w="108" w:type="dxa"/>
          </w:tblCellMar>
        </w:tblPrEx>
        <w:trPr>
          <w:trHeight w:val="159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GPU显卡(视频专网)</w:t>
            </w:r>
          </w:p>
        </w:tc>
        <w:tc>
          <w:tcPr>
            <w:tcW w:w="58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1、GPU 架构 Turing</w:t>
            </w:r>
          </w:p>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2、核心数量320 CUDA®</w:t>
            </w:r>
          </w:p>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3、核心数量 2560</w:t>
            </w:r>
          </w:p>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4、GPU显存16GB GDDR6</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74</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张</w:t>
            </w:r>
          </w:p>
        </w:tc>
      </w:tr>
      <w:tr>
        <w:tblPrEx>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计算节点服务器（视频专网）</w:t>
            </w:r>
          </w:p>
        </w:tc>
        <w:tc>
          <w:tcPr>
            <w:tcW w:w="58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kern w:val="2"/>
                <w:sz w:val="21"/>
                <w:szCs w:val="21"/>
                <w:highlight w:val="none"/>
              </w:rPr>
            </w:pPr>
            <w:r>
              <w:rPr>
                <w:rStyle w:val="52"/>
                <w:rFonts w:hint="default" w:ascii="宋体" w:hAnsi="宋体" w:eastAsia="宋体" w:cs="宋体"/>
                <w:color w:val="auto"/>
                <w:kern w:val="2"/>
                <w:sz w:val="21"/>
                <w:szCs w:val="21"/>
                <w:highlight w:val="none"/>
                <w:lang w:bidi="ar"/>
              </w:rPr>
              <w:t>1、配置至少两颗16核处理器，主频应不低于2.3GHz，缓存应不低于22MB；</w:t>
            </w:r>
            <w:r>
              <w:rPr>
                <w:rStyle w:val="52"/>
                <w:rFonts w:hint="default" w:ascii="宋体" w:hAnsi="宋体" w:eastAsia="宋体" w:cs="宋体"/>
                <w:color w:val="auto"/>
                <w:kern w:val="2"/>
                <w:sz w:val="21"/>
                <w:szCs w:val="21"/>
                <w:highlight w:val="none"/>
                <w:lang w:bidi="ar"/>
              </w:rPr>
              <w:br w:type="textWrapping"/>
            </w:r>
            <w:r>
              <w:rPr>
                <w:rStyle w:val="52"/>
                <w:rFonts w:hint="default" w:ascii="宋体" w:hAnsi="宋体" w:eastAsia="宋体" w:cs="宋体"/>
                <w:color w:val="auto"/>
                <w:kern w:val="2"/>
                <w:sz w:val="21"/>
                <w:szCs w:val="21"/>
                <w:highlight w:val="none"/>
                <w:lang w:bidi="ar"/>
              </w:rPr>
              <w:t>2、内存配置不低于</w:t>
            </w:r>
            <w:r>
              <w:rPr>
                <w:rStyle w:val="49"/>
                <w:rFonts w:hint="default" w:ascii="宋体" w:hAnsi="宋体" w:eastAsia="宋体" w:cs="宋体"/>
                <w:color w:val="auto"/>
                <w:kern w:val="2"/>
                <w:sz w:val="21"/>
                <w:szCs w:val="21"/>
                <w:highlight w:val="none"/>
                <w:lang w:bidi="ar"/>
              </w:rPr>
              <w:t>1TB</w:t>
            </w:r>
            <w:r>
              <w:rPr>
                <w:rStyle w:val="52"/>
                <w:rFonts w:hint="default" w:ascii="宋体" w:hAnsi="宋体" w:eastAsia="宋体" w:cs="宋体"/>
                <w:color w:val="auto"/>
                <w:kern w:val="2"/>
                <w:sz w:val="21"/>
                <w:szCs w:val="21"/>
                <w:highlight w:val="none"/>
                <w:lang w:bidi="ar"/>
              </w:rPr>
              <w:t>，采用DDR4 RDIMM内存-2933MT/s，单服务器可提供内存插槽≥24个；</w:t>
            </w:r>
            <w:r>
              <w:rPr>
                <w:rStyle w:val="52"/>
                <w:rFonts w:hint="default" w:ascii="宋体" w:hAnsi="宋体" w:eastAsia="宋体" w:cs="宋体"/>
                <w:color w:val="auto"/>
                <w:kern w:val="2"/>
                <w:sz w:val="21"/>
                <w:szCs w:val="21"/>
                <w:highlight w:val="none"/>
                <w:lang w:bidi="ar"/>
              </w:rPr>
              <w:br w:type="textWrapping"/>
            </w:r>
            <w:r>
              <w:rPr>
                <w:rStyle w:val="52"/>
                <w:rFonts w:hint="default" w:ascii="宋体" w:hAnsi="宋体" w:eastAsia="宋体" w:cs="宋体"/>
                <w:color w:val="auto"/>
                <w:kern w:val="2"/>
                <w:sz w:val="21"/>
                <w:szCs w:val="21"/>
                <w:highlight w:val="none"/>
                <w:lang w:bidi="ar"/>
              </w:rPr>
              <w:t>3、配置不少于</w:t>
            </w:r>
            <w:r>
              <w:rPr>
                <w:rStyle w:val="49"/>
                <w:rFonts w:hint="default" w:ascii="宋体" w:hAnsi="宋体" w:eastAsia="宋体" w:cs="宋体"/>
                <w:color w:val="auto"/>
                <w:kern w:val="2"/>
                <w:sz w:val="21"/>
                <w:szCs w:val="21"/>
                <w:highlight w:val="none"/>
                <w:lang w:bidi="ar"/>
              </w:rPr>
              <w:t>3</w:t>
            </w:r>
            <w:r>
              <w:rPr>
                <w:rStyle w:val="52"/>
                <w:rFonts w:hint="default" w:ascii="宋体" w:hAnsi="宋体" w:eastAsia="宋体" w:cs="宋体"/>
                <w:color w:val="auto"/>
                <w:kern w:val="2"/>
                <w:sz w:val="21"/>
                <w:szCs w:val="21"/>
                <w:highlight w:val="none"/>
                <w:lang w:bidi="ar"/>
              </w:rPr>
              <w:t>块1.2TB-10Krpm-SAS盘；</w:t>
            </w:r>
            <w:r>
              <w:rPr>
                <w:rStyle w:val="52"/>
                <w:rFonts w:hint="default" w:ascii="宋体" w:hAnsi="宋体" w:eastAsia="宋体" w:cs="宋体"/>
                <w:color w:val="auto"/>
                <w:kern w:val="2"/>
                <w:sz w:val="21"/>
                <w:szCs w:val="21"/>
                <w:highlight w:val="none"/>
                <w:lang w:bidi="ar"/>
              </w:rPr>
              <w:br w:type="textWrapping"/>
            </w:r>
            <w:r>
              <w:rPr>
                <w:rStyle w:val="49"/>
                <w:rFonts w:hint="default" w:ascii="宋体" w:hAnsi="宋体" w:eastAsia="宋体" w:cs="宋体"/>
                <w:color w:val="auto"/>
                <w:kern w:val="2"/>
                <w:sz w:val="21"/>
                <w:szCs w:val="21"/>
                <w:highlight w:val="none"/>
                <w:lang w:bidi="ar"/>
              </w:rPr>
              <w:t>4、2个10GE光口，配置2个多模光模块；配置1块10Gb 双端口网卡，配置对应光模块数量；</w:t>
            </w:r>
            <w:r>
              <w:rPr>
                <w:rStyle w:val="52"/>
                <w:rFonts w:hint="default" w:ascii="宋体" w:hAnsi="宋体" w:eastAsia="宋体" w:cs="宋体"/>
                <w:color w:val="auto"/>
                <w:kern w:val="2"/>
                <w:sz w:val="21"/>
                <w:szCs w:val="21"/>
                <w:highlight w:val="none"/>
                <w:lang w:bidi="ar"/>
              </w:rPr>
              <w:br w:type="textWrapping"/>
            </w:r>
            <w:r>
              <w:rPr>
                <w:rStyle w:val="52"/>
                <w:rFonts w:hint="default" w:ascii="宋体" w:hAnsi="宋体" w:eastAsia="宋体" w:cs="宋体"/>
                <w:color w:val="auto"/>
                <w:kern w:val="2"/>
                <w:sz w:val="21"/>
                <w:szCs w:val="21"/>
                <w:highlight w:val="none"/>
                <w:lang w:bidi="ar"/>
              </w:rPr>
              <w:t>5、▲提供灵活的I/O扩展能力，支持不少于11个PCI-E I/O插槽总数（提供所投产品官网材料截图证明</w:t>
            </w:r>
            <w:r>
              <w:rPr>
                <w:rStyle w:val="49"/>
                <w:rFonts w:hint="default" w:ascii="宋体" w:hAnsi="宋体" w:eastAsia="宋体" w:cs="宋体"/>
                <w:color w:val="auto"/>
                <w:kern w:val="2"/>
                <w:sz w:val="21"/>
                <w:szCs w:val="21"/>
                <w:highlight w:val="none"/>
                <w:lang w:bidi="ar"/>
              </w:rPr>
              <w:t>并加盖投标人公章</w:t>
            </w:r>
            <w:r>
              <w:rPr>
                <w:rStyle w:val="52"/>
                <w:rFonts w:hint="default" w:ascii="宋体" w:hAnsi="宋体" w:eastAsia="宋体" w:cs="宋体"/>
                <w:color w:val="auto"/>
                <w:kern w:val="2"/>
                <w:sz w:val="21"/>
                <w:szCs w:val="21"/>
                <w:highlight w:val="none"/>
                <w:lang w:bidi="ar"/>
              </w:rPr>
              <w:t>）；</w:t>
            </w:r>
            <w:r>
              <w:rPr>
                <w:rStyle w:val="52"/>
                <w:rFonts w:hint="default" w:ascii="宋体" w:hAnsi="宋体" w:eastAsia="宋体" w:cs="宋体"/>
                <w:color w:val="auto"/>
                <w:kern w:val="2"/>
                <w:sz w:val="21"/>
                <w:szCs w:val="21"/>
                <w:highlight w:val="none"/>
                <w:lang w:bidi="ar"/>
              </w:rPr>
              <w:br w:type="textWrapping"/>
            </w:r>
            <w:r>
              <w:rPr>
                <w:rStyle w:val="52"/>
                <w:rFonts w:hint="default" w:ascii="宋体" w:hAnsi="宋体" w:eastAsia="宋体" w:cs="宋体"/>
                <w:color w:val="auto"/>
                <w:kern w:val="2"/>
                <w:sz w:val="21"/>
                <w:szCs w:val="21"/>
                <w:highlight w:val="none"/>
                <w:lang w:bidi="ar"/>
              </w:rPr>
              <w:t>6、配置独立RAID卡；</w:t>
            </w:r>
            <w:r>
              <w:rPr>
                <w:rStyle w:val="52"/>
                <w:rFonts w:hint="default" w:ascii="宋体" w:hAnsi="宋体" w:eastAsia="宋体" w:cs="宋体"/>
                <w:color w:val="auto"/>
                <w:kern w:val="2"/>
                <w:sz w:val="21"/>
                <w:szCs w:val="21"/>
                <w:highlight w:val="none"/>
                <w:lang w:bidi="ar"/>
              </w:rPr>
              <w:br w:type="textWrapping"/>
            </w:r>
            <w:r>
              <w:rPr>
                <w:rStyle w:val="52"/>
                <w:rFonts w:hint="default" w:ascii="宋体" w:hAnsi="宋体" w:eastAsia="宋体" w:cs="宋体"/>
                <w:color w:val="auto"/>
                <w:kern w:val="2"/>
                <w:sz w:val="21"/>
                <w:szCs w:val="21"/>
                <w:highlight w:val="none"/>
                <w:lang w:bidi="ar"/>
              </w:rPr>
              <w:t>7、▲标配集成32M显卡（提供官网材料截图证明</w:t>
            </w:r>
            <w:r>
              <w:rPr>
                <w:rStyle w:val="49"/>
                <w:rFonts w:hint="default" w:ascii="宋体" w:hAnsi="宋体" w:eastAsia="宋体" w:cs="宋体"/>
                <w:color w:val="auto"/>
                <w:kern w:val="2"/>
                <w:sz w:val="21"/>
                <w:szCs w:val="21"/>
                <w:highlight w:val="none"/>
                <w:lang w:bidi="ar"/>
              </w:rPr>
              <w:t>并加盖投标人公章</w:t>
            </w:r>
            <w:r>
              <w:rPr>
                <w:rStyle w:val="52"/>
                <w:rFonts w:hint="default" w:ascii="宋体" w:hAnsi="宋体" w:eastAsia="宋体" w:cs="宋体"/>
                <w:color w:val="auto"/>
                <w:kern w:val="2"/>
                <w:sz w:val="21"/>
                <w:szCs w:val="21"/>
                <w:highlight w:val="none"/>
                <w:lang w:bidi="ar"/>
              </w:rPr>
              <w:t>）；</w:t>
            </w:r>
            <w:r>
              <w:rPr>
                <w:rStyle w:val="52"/>
                <w:rFonts w:hint="default" w:ascii="宋体" w:hAnsi="宋体" w:eastAsia="宋体" w:cs="宋体"/>
                <w:color w:val="auto"/>
                <w:kern w:val="2"/>
                <w:sz w:val="21"/>
                <w:szCs w:val="21"/>
                <w:highlight w:val="none"/>
                <w:lang w:bidi="ar"/>
              </w:rPr>
              <w:br w:type="textWrapping"/>
            </w:r>
            <w:r>
              <w:rPr>
                <w:rStyle w:val="52"/>
                <w:rFonts w:hint="default" w:ascii="宋体" w:hAnsi="宋体" w:eastAsia="宋体" w:cs="宋体"/>
                <w:color w:val="auto"/>
                <w:kern w:val="2"/>
                <w:sz w:val="21"/>
                <w:szCs w:val="21"/>
                <w:highlight w:val="none"/>
                <w:lang w:bidi="ar"/>
              </w:rPr>
              <w:t>8、配置冗余电源，并提供配套的电源连接线，单电源失效不影响主机运行；</w:t>
            </w:r>
            <w:r>
              <w:rPr>
                <w:rStyle w:val="52"/>
                <w:rFonts w:hint="default" w:ascii="宋体" w:hAnsi="宋体" w:eastAsia="宋体" w:cs="宋体"/>
                <w:color w:val="auto"/>
                <w:kern w:val="2"/>
                <w:sz w:val="21"/>
                <w:szCs w:val="21"/>
                <w:highlight w:val="none"/>
                <w:lang w:bidi="ar"/>
              </w:rPr>
              <w:br w:type="textWrapping"/>
            </w:r>
            <w:r>
              <w:rPr>
                <w:rStyle w:val="52"/>
                <w:rFonts w:hint="default" w:ascii="宋体" w:hAnsi="宋体" w:eastAsia="宋体" w:cs="宋体"/>
                <w:color w:val="auto"/>
                <w:kern w:val="2"/>
                <w:sz w:val="21"/>
                <w:szCs w:val="21"/>
                <w:highlight w:val="none"/>
                <w:lang w:bidi="ar"/>
              </w:rPr>
              <w:t>9、▲长期工作环境温度支持5-45度（符合ASHRAE A3和A4标准）（提供所投产品官网材料截图证明</w:t>
            </w:r>
            <w:r>
              <w:rPr>
                <w:rStyle w:val="49"/>
                <w:rFonts w:hint="default" w:ascii="宋体" w:hAnsi="宋体" w:eastAsia="宋体" w:cs="宋体"/>
                <w:color w:val="auto"/>
                <w:kern w:val="2"/>
                <w:sz w:val="21"/>
                <w:szCs w:val="21"/>
                <w:highlight w:val="none"/>
                <w:lang w:bidi="ar"/>
              </w:rPr>
              <w:t>并加盖投标人公章</w:t>
            </w:r>
            <w:r>
              <w:rPr>
                <w:rStyle w:val="52"/>
                <w:rFonts w:hint="default" w:ascii="宋体" w:hAnsi="宋体" w:eastAsia="宋体" w:cs="宋体"/>
                <w:color w:val="auto"/>
                <w:kern w:val="2"/>
                <w:sz w:val="21"/>
                <w:szCs w:val="21"/>
                <w:highlight w:val="none"/>
                <w:lang w:bidi="ar"/>
              </w:rPr>
              <w:t>）；</w:t>
            </w:r>
            <w:r>
              <w:rPr>
                <w:rStyle w:val="52"/>
                <w:rFonts w:hint="default" w:ascii="宋体" w:hAnsi="宋体" w:eastAsia="宋体" w:cs="宋体"/>
                <w:color w:val="auto"/>
                <w:kern w:val="2"/>
                <w:sz w:val="21"/>
                <w:szCs w:val="21"/>
                <w:highlight w:val="none"/>
                <w:lang w:bidi="ar"/>
              </w:rPr>
              <w:br w:type="textWrapping"/>
            </w:r>
            <w:r>
              <w:rPr>
                <w:rStyle w:val="52"/>
                <w:rFonts w:hint="default" w:ascii="宋体" w:hAnsi="宋体" w:eastAsia="宋体" w:cs="宋体"/>
                <w:color w:val="auto"/>
                <w:kern w:val="2"/>
                <w:sz w:val="21"/>
                <w:szCs w:val="21"/>
                <w:highlight w:val="none"/>
                <w:lang w:bidi="ar"/>
              </w:rPr>
              <w:t>9、▲支持黑匣子功能（提供所投产品功能界面截图证明材料并加盖投标人公章）；</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台</w:t>
            </w:r>
          </w:p>
        </w:tc>
      </w:tr>
      <w:tr>
        <w:tblPrEx>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虚拟化软件(视频专网)</w:t>
            </w:r>
          </w:p>
        </w:tc>
        <w:tc>
          <w:tcPr>
            <w:tcW w:w="58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1、虚拟化平台系统软件一套，授权4颗CPU许可证；</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2、软件符合安全产品市场准入要求，厂商云操作系统产品需具备公安部颁发的计算机信息系统安全专用产品（增强级）销售许可；</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3、支持虚拟机规格的在线和离线调整，包括CPU、内存、硬盘、网卡等资源，当虚拟机操作系统本身的前提下，热添加的CPU/内存可以即时生效；</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4、X86和ARM服务器部署时，均可提供虚拟机基本生命周期管理功能，支持删除、移动、克隆、迁移、VNC登录、快照、导出、重启、关闭、强制重启、强制关闭等操作；</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5、虚拟化平台使用存储设备时，须支持本地存储、IP-SAN、FC-SAN、NAS等不同类型的存储设备。支持这些存储资源的添加、删除、查询、扫描；</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6、▲支持虚拟交换机，通过对接受和发送的流量进行整形保证网络质量，至少支持平均带宽、峰值带宽、突发大小、优先级、DHCP隔离、广播抑制、TCP校验和的设置（提供功能界面截图证明并加盖投标人公章）；</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7、解决全球互联网IPv4网络地址不足的问题，虚拟化平台支持IPV4和IPV6双栈通信；</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8、▲支持告警订阅功能，告警产生后可以将相关告警主动发送给用户；可以针对不同的用户设置不同的告警订阅内容，便于不同管理员实时了解所关注的系统运行情况(提供功能界面截图证明并加盖投标人公章）；</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9、▲为提升数据安全性，对接远端存储时，要求指定对接存储时的CHAP信息，支持配置对接存储的存储IP以及端口号（提供功能界面截图证明并加盖投标人公章）；</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10、▲兼容现有市场上主流的存储阵列产品，如SAN、NAS和iSCSI，品牌包括EMC、Huawei、HP、NetAPP、惠普等；（提供查询网站链接及截图证明并加盖投标人公章）；</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套</w:t>
            </w:r>
          </w:p>
        </w:tc>
      </w:tr>
      <w:tr>
        <w:tblPrEx>
          <w:tblCellMar>
            <w:top w:w="0" w:type="dxa"/>
            <w:left w:w="108" w:type="dxa"/>
            <w:bottom w:w="0" w:type="dxa"/>
            <w:right w:w="108" w:type="dxa"/>
          </w:tblCellMar>
        </w:tblPrEx>
        <w:trPr>
          <w:trHeight w:val="189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解析节点服务器（视频专网）</w:t>
            </w:r>
          </w:p>
        </w:tc>
        <w:tc>
          <w:tcPr>
            <w:tcW w:w="58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kern w:val="2"/>
                <w:sz w:val="21"/>
                <w:szCs w:val="21"/>
                <w:highlight w:val="none"/>
              </w:rPr>
            </w:pPr>
            <w:r>
              <w:rPr>
                <w:rStyle w:val="48"/>
                <w:rFonts w:hint="default" w:ascii="宋体" w:hAnsi="宋体" w:eastAsia="宋体" w:cs="宋体"/>
                <w:color w:val="auto"/>
                <w:kern w:val="2"/>
                <w:sz w:val="21"/>
                <w:szCs w:val="21"/>
                <w:highlight w:val="none"/>
                <w:lang w:bidi="ar"/>
              </w:rPr>
              <w:t>1、▲配置至少两颗18核国产处理器，主频应不低于2.6GHz，缓存应不低于45MB</w:t>
            </w:r>
            <w:r>
              <w:rPr>
                <w:rStyle w:val="49"/>
                <w:rFonts w:hint="default" w:ascii="宋体" w:hAnsi="宋体" w:eastAsia="宋体" w:cs="宋体"/>
                <w:color w:val="auto"/>
                <w:kern w:val="2"/>
                <w:sz w:val="21"/>
                <w:szCs w:val="21"/>
                <w:highlight w:val="none"/>
                <w:lang w:bidi="ar"/>
              </w:rPr>
              <w:t>（提供第三方检测机构出具的检验报告复印件证明</w:t>
            </w:r>
            <w:r>
              <w:rPr>
                <w:rFonts w:hint="eastAsia" w:ascii="宋体" w:hAnsi="宋体" w:eastAsia="宋体" w:cs="宋体"/>
                <w:color w:val="auto"/>
                <w:kern w:val="2"/>
                <w:sz w:val="21"/>
                <w:szCs w:val="21"/>
                <w:highlight w:val="none"/>
                <w:lang w:bidi="ar"/>
              </w:rPr>
              <w:t>并加盖投标人公章</w:t>
            </w:r>
            <w:r>
              <w:rPr>
                <w:rStyle w:val="49"/>
                <w:rFonts w:hint="default" w:ascii="宋体" w:hAnsi="宋体" w:eastAsia="宋体" w:cs="宋体"/>
                <w:color w:val="auto"/>
                <w:kern w:val="2"/>
                <w:sz w:val="21"/>
                <w:szCs w:val="21"/>
                <w:highlight w:val="none"/>
                <w:lang w:bidi="ar"/>
              </w:rPr>
              <w:t>）；</w:t>
            </w:r>
            <w:r>
              <w:rPr>
                <w:rStyle w:val="48"/>
                <w:rFonts w:hint="default" w:ascii="宋体" w:hAnsi="宋体" w:eastAsia="宋体" w:cs="宋体"/>
                <w:color w:val="auto"/>
                <w:kern w:val="2"/>
                <w:sz w:val="21"/>
                <w:szCs w:val="21"/>
                <w:highlight w:val="none"/>
                <w:lang w:bidi="ar"/>
              </w:rPr>
              <w:br w:type="textWrapping"/>
            </w:r>
            <w:r>
              <w:rPr>
                <w:rStyle w:val="48"/>
                <w:rFonts w:hint="default" w:ascii="宋体" w:hAnsi="宋体" w:eastAsia="宋体" w:cs="宋体"/>
                <w:color w:val="auto"/>
                <w:kern w:val="2"/>
                <w:sz w:val="21"/>
                <w:szCs w:val="21"/>
                <w:highlight w:val="none"/>
                <w:lang w:bidi="ar"/>
              </w:rPr>
              <w:t>2、▲内存配置不低于384GB，采用DDR4、2993MHZ或以上规格，支持内存扩展，可提供内存插槽≥32个（单卡槽内存支持64GB），可组成≥16个DDR4高速通道</w:t>
            </w:r>
            <w:r>
              <w:rPr>
                <w:rStyle w:val="49"/>
                <w:rFonts w:hint="default" w:ascii="宋体" w:hAnsi="宋体" w:eastAsia="宋体" w:cs="宋体"/>
                <w:color w:val="auto"/>
                <w:kern w:val="2"/>
                <w:sz w:val="21"/>
                <w:szCs w:val="21"/>
                <w:highlight w:val="none"/>
                <w:lang w:bidi="ar"/>
              </w:rPr>
              <w:t>（提供第三方检测机构出具的检验报告复印件证明</w:t>
            </w:r>
            <w:r>
              <w:rPr>
                <w:rFonts w:hint="eastAsia" w:ascii="宋体" w:hAnsi="宋体" w:eastAsia="宋体" w:cs="宋体"/>
                <w:color w:val="auto"/>
                <w:kern w:val="2"/>
                <w:sz w:val="21"/>
                <w:szCs w:val="21"/>
                <w:highlight w:val="none"/>
                <w:lang w:bidi="ar"/>
              </w:rPr>
              <w:t>并加盖投标人公章</w:t>
            </w:r>
            <w:r>
              <w:rPr>
                <w:rStyle w:val="49"/>
                <w:rFonts w:hint="default" w:ascii="宋体" w:hAnsi="宋体" w:eastAsia="宋体" w:cs="宋体"/>
                <w:color w:val="auto"/>
                <w:kern w:val="2"/>
                <w:sz w:val="21"/>
                <w:szCs w:val="21"/>
                <w:highlight w:val="none"/>
                <w:lang w:bidi="ar"/>
              </w:rPr>
              <w:t>）；</w:t>
            </w:r>
            <w:r>
              <w:rPr>
                <w:rStyle w:val="48"/>
                <w:rFonts w:hint="default" w:ascii="宋体" w:hAnsi="宋体" w:eastAsia="宋体" w:cs="宋体"/>
                <w:color w:val="auto"/>
                <w:kern w:val="2"/>
                <w:sz w:val="21"/>
                <w:szCs w:val="21"/>
                <w:highlight w:val="none"/>
                <w:lang w:bidi="ar"/>
              </w:rPr>
              <w:br w:type="textWrapping"/>
            </w:r>
            <w:r>
              <w:rPr>
                <w:rStyle w:val="48"/>
                <w:rFonts w:hint="default" w:ascii="宋体" w:hAnsi="宋体" w:eastAsia="宋体" w:cs="宋体"/>
                <w:color w:val="auto"/>
                <w:kern w:val="2"/>
                <w:sz w:val="21"/>
                <w:szCs w:val="21"/>
                <w:highlight w:val="none"/>
                <w:lang w:bidi="ar"/>
              </w:rPr>
              <w:t xml:space="preserve">3、设备应能安装在19″标准机架中，采用全模块化无线缆设计，独立主控模块、热插拔磁盘、独立电源模块； </w:t>
            </w:r>
            <w:r>
              <w:rPr>
                <w:rStyle w:val="48"/>
                <w:rFonts w:hint="default" w:ascii="宋体" w:hAnsi="宋体" w:eastAsia="宋体" w:cs="宋体"/>
                <w:color w:val="auto"/>
                <w:kern w:val="2"/>
                <w:sz w:val="21"/>
                <w:szCs w:val="21"/>
                <w:highlight w:val="none"/>
                <w:lang w:bidi="ar"/>
              </w:rPr>
              <w:br w:type="textWrapping"/>
            </w:r>
            <w:r>
              <w:rPr>
                <w:rStyle w:val="48"/>
                <w:rFonts w:hint="default" w:ascii="宋体" w:hAnsi="宋体" w:eastAsia="宋体" w:cs="宋体"/>
                <w:color w:val="auto"/>
                <w:kern w:val="2"/>
                <w:sz w:val="21"/>
                <w:szCs w:val="21"/>
                <w:highlight w:val="none"/>
                <w:lang w:bidi="ar"/>
              </w:rPr>
              <w:t>4、单设备应支持配置不少于6块智能分析加速卡，配置4张智能分析加速卡；</w:t>
            </w:r>
            <w:r>
              <w:rPr>
                <w:rStyle w:val="48"/>
                <w:rFonts w:hint="default" w:ascii="宋体" w:hAnsi="宋体" w:eastAsia="宋体" w:cs="宋体"/>
                <w:color w:val="auto"/>
                <w:kern w:val="2"/>
                <w:sz w:val="21"/>
                <w:szCs w:val="21"/>
                <w:highlight w:val="none"/>
                <w:lang w:bidi="ar"/>
              </w:rPr>
              <w:br w:type="textWrapping"/>
            </w:r>
            <w:r>
              <w:rPr>
                <w:rStyle w:val="48"/>
                <w:rFonts w:hint="default" w:ascii="宋体" w:hAnsi="宋体" w:eastAsia="宋体" w:cs="宋体"/>
                <w:color w:val="auto"/>
                <w:kern w:val="2"/>
                <w:sz w:val="21"/>
                <w:szCs w:val="21"/>
                <w:highlight w:val="none"/>
                <w:lang w:bidi="ar"/>
              </w:rPr>
              <w:t>5、▲配置两个独立的元数据盘不小于960GB SSD，组成RAID1</w:t>
            </w:r>
            <w:r>
              <w:rPr>
                <w:rStyle w:val="49"/>
                <w:rFonts w:hint="default" w:ascii="宋体" w:hAnsi="宋体" w:eastAsia="宋体" w:cs="宋体"/>
                <w:color w:val="auto"/>
                <w:kern w:val="2"/>
                <w:sz w:val="21"/>
                <w:szCs w:val="21"/>
                <w:highlight w:val="none"/>
                <w:lang w:bidi="ar"/>
              </w:rPr>
              <w:t>（提供第三方检测机构出具的检验报告复印件证明</w:t>
            </w:r>
            <w:r>
              <w:rPr>
                <w:rFonts w:hint="eastAsia" w:ascii="宋体" w:hAnsi="宋体" w:eastAsia="宋体" w:cs="宋体"/>
                <w:color w:val="auto"/>
                <w:kern w:val="2"/>
                <w:sz w:val="21"/>
                <w:szCs w:val="21"/>
                <w:highlight w:val="none"/>
                <w:lang w:bidi="ar"/>
              </w:rPr>
              <w:t>并加盖投标人公章</w:t>
            </w:r>
            <w:r>
              <w:rPr>
                <w:rStyle w:val="49"/>
                <w:rFonts w:hint="default" w:ascii="宋体" w:hAnsi="宋体" w:eastAsia="宋体" w:cs="宋体"/>
                <w:color w:val="auto"/>
                <w:kern w:val="2"/>
                <w:sz w:val="21"/>
                <w:szCs w:val="21"/>
                <w:highlight w:val="none"/>
                <w:lang w:bidi="ar"/>
              </w:rPr>
              <w:t>）；</w:t>
            </w:r>
            <w:r>
              <w:rPr>
                <w:rStyle w:val="48"/>
                <w:rFonts w:hint="default" w:ascii="宋体" w:hAnsi="宋体" w:eastAsia="宋体" w:cs="宋体"/>
                <w:color w:val="auto"/>
                <w:kern w:val="2"/>
                <w:sz w:val="21"/>
                <w:szCs w:val="21"/>
                <w:highlight w:val="none"/>
                <w:lang w:bidi="ar"/>
              </w:rPr>
              <w:br w:type="textWrapping"/>
            </w:r>
            <w:r>
              <w:rPr>
                <w:rStyle w:val="48"/>
                <w:rFonts w:hint="default" w:ascii="宋体" w:hAnsi="宋体" w:eastAsia="宋体" w:cs="宋体"/>
                <w:color w:val="auto"/>
                <w:kern w:val="2"/>
                <w:sz w:val="21"/>
                <w:szCs w:val="21"/>
                <w:highlight w:val="none"/>
                <w:lang w:bidi="ar"/>
              </w:rPr>
              <w:t>6、单设备支持磁盘数量≥8，单盘≥3.84TB SAS SSD硬盘；</w:t>
            </w:r>
            <w:r>
              <w:rPr>
                <w:rStyle w:val="48"/>
                <w:rFonts w:hint="default" w:ascii="宋体" w:hAnsi="宋体" w:eastAsia="宋体" w:cs="宋体"/>
                <w:color w:val="auto"/>
                <w:kern w:val="2"/>
                <w:sz w:val="21"/>
                <w:szCs w:val="21"/>
                <w:highlight w:val="none"/>
                <w:lang w:bidi="ar"/>
              </w:rPr>
              <w:br w:type="textWrapping"/>
            </w:r>
            <w:r>
              <w:rPr>
                <w:rStyle w:val="48"/>
                <w:rFonts w:hint="default" w:ascii="宋体" w:hAnsi="宋体" w:eastAsia="宋体" w:cs="宋体"/>
                <w:color w:val="auto"/>
                <w:kern w:val="2"/>
                <w:sz w:val="21"/>
                <w:szCs w:val="21"/>
                <w:highlight w:val="none"/>
                <w:lang w:bidi="ar"/>
              </w:rPr>
              <w:t>7、支持硬盘缓启动功能；</w:t>
            </w:r>
            <w:r>
              <w:rPr>
                <w:rStyle w:val="48"/>
                <w:rFonts w:hint="default" w:ascii="宋体" w:hAnsi="宋体" w:eastAsia="宋体" w:cs="宋体"/>
                <w:color w:val="auto"/>
                <w:kern w:val="2"/>
                <w:sz w:val="21"/>
                <w:szCs w:val="21"/>
                <w:highlight w:val="none"/>
                <w:lang w:bidi="ar"/>
              </w:rPr>
              <w:br w:type="textWrapping"/>
            </w:r>
            <w:r>
              <w:rPr>
                <w:rStyle w:val="48"/>
                <w:rFonts w:hint="default" w:ascii="宋体" w:hAnsi="宋体" w:eastAsia="宋体" w:cs="宋体"/>
                <w:color w:val="auto"/>
                <w:kern w:val="2"/>
                <w:sz w:val="21"/>
                <w:szCs w:val="21"/>
                <w:highlight w:val="none"/>
                <w:lang w:bidi="ar"/>
              </w:rPr>
              <w:t>8、配置8个GE网口和4个10GE光口，含2个多模万兆光模块；</w:t>
            </w:r>
            <w:r>
              <w:rPr>
                <w:rStyle w:val="48"/>
                <w:rFonts w:hint="default" w:ascii="宋体" w:hAnsi="宋体" w:eastAsia="宋体" w:cs="宋体"/>
                <w:color w:val="auto"/>
                <w:kern w:val="2"/>
                <w:sz w:val="21"/>
                <w:szCs w:val="21"/>
                <w:highlight w:val="none"/>
                <w:lang w:bidi="ar"/>
              </w:rPr>
              <w:br w:type="textWrapping"/>
            </w:r>
            <w:r>
              <w:rPr>
                <w:rStyle w:val="48"/>
                <w:rFonts w:hint="default" w:ascii="宋体" w:hAnsi="宋体" w:eastAsia="宋体" w:cs="宋体"/>
                <w:color w:val="auto"/>
                <w:kern w:val="2"/>
                <w:sz w:val="21"/>
                <w:szCs w:val="21"/>
                <w:highlight w:val="none"/>
                <w:lang w:bidi="ar"/>
              </w:rPr>
              <w:t>9、支持4个独立的风扇，支持单风扇失效；</w:t>
            </w:r>
            <w:r>
              <w:rPr>
                <w:rStyle w:val="48"/>
                <w:rFonts w:hint="default" w:ascii="宋体" w:hAnsi="宋体" w:eastAsia="宋体" w:cs="宋体"/>
                <w:color w:val="auto"/>
                <w:kern w:val="2"/>
                <w:sz w:val="21"/>
                <w:szCs w:val="21"/>
                <w:highlight w:val="none"/>
                <w:lang w:bidi="ar"/>
              </w:rPr>
              <w:br w:type="textWrapping"/>
            </w:r>
            <w:r>
              <w:rPr>
                <w:rStyle w:val="48"/>
                <w:rFonts w:hint="default" w:ascii="宋体" w:hAnsi="宋体" w:eastAsia="宋体" w:cs="宋体"/>
                <w:color w:val="auto"/>
                <w:kern w:val="2"/>
                <w:sz w:val="21"/>
                <w:szCs w:val="21"/>
                <w:highlight w:val="none"/>
                <w:lang w:bidi="ar"/>
              </w:rPr>
              <w:t>10、电源模块支持1+1冗余备份，支持独立维护；</w:t>
            </w:r>
            <w:r>
              <w:rPr>
                <w:rStyle w:val="48"/>
                <w:rFonts w:hint="default" w:ascii="宋体" w:hAnsi="宋体" w:eastAsia="宋体" w:cs="宋体"/>
                <w:color w:val="auto"/>
                <w:kern w:val="2"/>
                <w:sz w:val="21"/>
                <w:szCs w:val="21"/>
                <w:highlight w:val="none"/>
                <w:lang w:bidi="ar"/>
              </w:rPr>
              <w:br w:type="textWrapping"/>
            </w:r>
            <w:r>
              <w:rPr>
                <w:rStyle w:val="48"/>
                <w:rFonts w:hint="default" w:ascii="宋体" w:hAnsi="宋体" w:eastAsia="宋体" w:cs="宋体"/>
                <w:color w:val="auto"/>
                <w:kern w:val="2"/>
                <w:sz w:val="21"/>
                <w:szCs w:val="21"/>
                <w:highlight w:val="none"/>
                <w:lang w:bidi="ar"/>
              </w:rPr>
              <w:t>11、配置冗余白金牌电源；</w:t>
            </w:r>
            <w:r>
              <w:rPr>
                <w:rStyle w:val="48"/>
                <w:rFonts w:hint="default" w:ascii="宋体" w:hAnsi="宋体" w:eastAsia="宋体" w:cs="宋体"/>
                <w:color w:val="auto"/>
                <w:kern w:val="2"/>
                <w:sz w:val="21"/>
                <w:szCs w:val="21"/>
                <w:highlight w:val="none"/>
                <w:lang w:bidi="ar"/>
              </w:rPr>
              <w:br w:type="textWrapping"/>
            </w:r>
            <w:r>
              <w:rPr>
                <w:rStyle w:val="48"/>
                <w:rFonts w:hint="default" w:ascii="宋体" w:hAnsi="宋体" w:eastAsia="宋体" w:cs="宋体"/>
                <w:color w:val="auto"/>
                <w:kern w:val="2"/>
                <w:sz w:val="21"/>
                <w:szCs w:val="21"/>
                <w:highlight w:val="none"/>
                <w:lang w:bidi="ar"/>
              </w:rPr>
              <w:t>12、▲分析性能，满配智能分析加速卡单节点支持</w:t>
            </w:r>
            <w:r>
              <w:rPr>
                <w:rStyle w:val="49"/>
                <w:rFonts w:hint="default" w:ascii="宋体" w:hAnsi="宋体" w:eastAsia="宋体" w:cs="宋体"/>
                <w:color w:val="auto"/>
                <w:kern w:val="2"/>
                <w:sz w:val="21"/>
                <w:szCs w:val="21"/>
                <w:highlight w:val="none"/>
                <w:lang w:bidi="ar"/>
              </w:rPr>
              <w:t>：</w:t>
            </w:r>
            <w:r>
              <w:rPr>
                <w:rStyle w:val="48"/>
                <w:rFonts w:hint="default" w:ascii="宋体" w:hAnsi="宋体" w:eastAsia="宋体" w:cs="宋体"/>
                <w:color w:val="auto"/>
                <w:kern w:val="2"/>
                <w:sz w:val="21"/>
                <w:szCs w:val="21"/>
                <w:highlight w:val="none"/>
                <w:lang w:bidi="ar"/>
              </w:rPr>
              <w:br w:type="textWrapping"/>
            </w:r>
            <w:r>
              <w:rPr>
                <w:rStyle w:val="48"/>
                <w:rFonts w:hint="default" w:ascii="宋体" w:hAnsi="宋体" w:eastAsia="宋体" w:cs="宋体"/>
                <w:color w:val="auto"/>
                <w:kern w:val="2"/>
                <w:sz w:val="21"/>
                <w:szCs w:val="21"/>
                <w:highlight w:val="none"/>
                <w:lang w:bidi="ar"/>
              </w:rPr>
              <w:t>车辆视频分析≥384路，车辆图片分析≥1800张/秒；</w:t>
            </w:r>
            <w:r>
              <w:rPr>
                <w:rStyle w:val="48"/>
                <w:rFonts w:hint="default" w:ascii="宋体" w:hAnsi="宋体" w:eastAsia="宋体" w:cs="宋体"/>
                <w:color w:val="auto"/>
                <w:kern w:val="2"/>
                <w:sz w:val="21"/>
                <w:szCs w:val="21"/>
                <w:highlight w:val="none"/>
                <w:lang w:bidi="ar"/>
              </w:rPr>
              <w:br w:type="textWrapping"/>
            </w:r>
            <w:r>
              <w:rPr>
                <w:rStyle w:val="48"/>
                <w:rFonts w:hint="default" w:ascii="宋体" w:hAnsi="宋体" w:eastAsia="宋体" w:cs="宋体"/>
                <w:color w:val="auto"/>
                <w:kern w:val="2"/>
                <w:sz w:val="21"/>
                <w:szCs w:val="21"/>
                <w:highlight w:val="none"/>
                <w:lang w:bidi="ar"/>
              </w:rPr>
              <w:t>人脸视频分析≥288路，人脸图片分析≥2712张/秒；</w:t>
            </w:r>
            <w:r>
              <w:rPr>
                <w:rStyle w:val="48"/>
                <w:rFonts w:hint="default" w:ascii="宋体" w:hAnsi="宋体" w:eastAsia="宋体" w:cs="宋体"/>
                <w:color w:val="auto"/>
                <w:kern w:val="2"/>
                <w:sz w:val="21"/>
                <w:szCs w:val="21"/>
                <w:highlight w:val="none"/>
                <w:lang w:bidi="ar"/>
              </w:rPr>
              <w:br w:type="textWrapping"/>
            </w:r>
            <w:r>
              <w:rPr>
                <w:rStyle w:val="48"/>
                <w:rFonts w:hint="default" w:ascii="宋体" w:hAnsi="宋体" w:eastAsia="宋体" w:cs="宋体"/>
                <w:color w:val="auto"/>
                <w:kern w:val="2"/>
                <w:sz w:val="21"/>
                <w:szCs w:val="21"/>
                <w:highlight w:val="none"/>
                <w:lang w:bidi="ar"/>
              </w:rPr>
              <w:t>人体视频分析≥240路，人体图片分析≥1080张/秒；</w:t>
            </w:r>
            <w:r>
              <w:rPr>
                <w:rStyle w:val="48"/>
                <w:rFonts w:hint="default" w:ascii="宋体" w:hAnsi="宋体" w:eastAsia="宋体" w:cs="宋体"/>
                <w:color w:val="auto"/>
                <w:kern w:val="2"/>
                <w:sz w:val="21"/>
                <w:szCs w:val="21"/>
                <w:highlight w:val="none"/>
                <w:lang w:bidi="ar"/>
              </w:rPr>
              <w:br w:type="textWrapping"/>
            </w:r>
            <w:r>
              <w:rPr>
                <w:rStyle w:val="48"/>
                <w:rFonts w:hint="default" w:ascii="宋体" w:hAnsi="宋体" w:eastAsia="宋体" w:cs="宋体"/>
                <w:color w:val="auto"/>
                <w:kern w:val="2"/>
                <w:sz w:val="21"/>
                <w:szCs w:val="21"/>
                <w:highlight w:val="none"/>
                <w:lang w:bidi="ar"/>
              </w:rPr>
              <w:t>人车混合视频结构化分析≥360路；</w:t>
            </w:r>
            <w:r>
              <w:rPr>
                <w:rStyle w:val="48"/>
                <w:rFonts w:hint="default" w:ascii="宋体" w:hAnsi="宋体" w:eastAsia="宋体" w:cs="宋体"/>
                <w:color w:val="auto"/>
                <w:kern w:val="2"/>
                <w:sz w:val="21"/>
                <w:szCs w:val="21"/>
                <w:highlight w:val="none"/>
                <w:lang w:bidi="ar"/>
              </w:rPr>
              <w:br w:type="textWrapping"/>
            </w:r>
            <w:r>
              <w:rPr>
                <w:rStyle w:val="48"/>
                <w:rFonts w:hint="default" w:ascii="宋体" w:hAnsi="宋体" w:eastAsia="宋体" w:cs="宋体"/>
                <w:color w:val="auto"/>
                <w:kern w:val="2"/>
                <w:sz w:val="21"/>
                <w:szCs w:val="21"/>
                <w:highlight w:val="none"/>
                <w:lang w:bidi="ar"/>
              </w:rPr>
              <w:t>行为分析≥144路；</w:t>
            </w:r>
            <w:r>
              <w:rPr>
                <w:rStyle w:val="48"/>
                <w:rFonts w:hint="default" w:ascii="宋体" w:hAnsi="宋体" w:eastAsia="宋体" w:cs="宋体"/>
                <w:color w:val="auto"/>
                <w:kern w:val="2"/>
                <w:sz w:val="21"/>
                <w:szCs w:val="21"/>
                <w:highlight w:val="none"/>
                <w:lang w:bidi="ar"/>
              </w:rPr>
              <w:br w:type="textWrapping"/>
            </w:r>
            <w:r>
              <w:rPr>
                <w:rStyle w:val="48"/>
                <w:rFonts w:hint="default" w:ascii="宋体" w:hAnsi="宋体" w:eastAsia="宋体" w:cs="宋体"/>
                <w:color w:val="auto"/>
                <w:kern w:val="2"/>
                <w:sz w:val="21"/>
                <w:szCs w:val="21"/>
                <w:highlight w:val="none"/>
                <w:lang w:bidi="ar"/>
              </w:rPr>
              <w:t>视频摘要≥12路；</w:t>
            </w:r>
            <w:r>
              <w:rPr>
                <w:rStyle w:val="48"/>
                <w:rFonts w:hint="default" w:ascii="宋体" w:hAnsi="宋体" w:eastAsia="宋体" w:cs="宋体"/>
                <w:color w:val="auto"/>
                <w:kern w:val="2"/>
                <w:sz w:val="21"/>
                <w:szCs w:val="21"/>
                <w:highlight w:val="none"/>
                <w:lang w:bidi="ar"/>
              </w:rPr>
              <w:br w:type="textWrapping"/>
            </w:r>
            <w:r>
              <w:rPr>
                <w:rStyle w:val="48"/>
                <w:rFonts w:hint="default" w:ascii="宋体" w:hAnsi="宋体" w:eastAsia="宋体" w:cs="宋体"/>
                <w:color w:val="auto"/>
                <w:kern w:val="2"/>
                <w:sz w:val="21"/>
                <w:szCs w:val="21"/>
                <w:highlight w:val="none"/>
                <w:lang w:bidi="ar"/>
              </w:rPr>
              <w:t>视频搜索≥12路</w:t>
            </w:r>
            <w:r>
              <w:rPr>
                <w:rStyle w:val="49"/>
                <w:rFonts w:hint="default" w:ascii="宋体" w:hAnsi="宋体" w:eastAsia="宋体" w:cs="宋体"/>
                <w:color w:val="auto"/>
                <w:kern w:val="2"/>
                <w:sz w:val="21"/>
                <w:szCs w:val="21"/>
                <w:highlight w:val="none"/>
                <w:lang w:bidi="ar"/>
              </w:rPr>
              <w:t>（提供第三方检测机构出具的检验报告复印件证明</w:t>
            </w:r>
            <w:r>
              <w:rPr>
                <w:rFonts w:hint="eastAsia" w:ascii="宋体" w:hAnsi="宋体" w:eastAsia="宋体" w:cs="宋体"/>
                <w:color w:val="auto"/>
                <w:kern w:val="2"/>
                <w:sz w:val="21"/>
                <w:szCs w:val="21"/>
                <w:highlight w:val="none"/>
                <w:lang w:bidi="ar"/>
              </w:rPr>
              <w:t>并加盖投标人公章</w:t>
            </w:r>
            <w:r>
              <w:rPr>
                <w:rStyle w:val="49"/>
                <w:rFonts w:hint="default" w:ascii="宋体" w:hAnsi="宋体" w:eastAsia="宋体" w:cs="宋体"/>
                <w:color w:val="auto"/>
                <w:kern w:val="2"/>
                <w:sz w:val="21"/>
                <w:szCs w:val="21"/>
                <w:highlight w:val="none"/>
                <w:lang w:bidi="ar"/>
              </w:rPr>
              <w:t>）</w:t>
            </w:r>
            <w:r>
              <w:rPr>
                <w:rStyle w:val="48"/>
                <w:rFonts w:hint="default" w:ascii="宋体" w:hAnsi="宋体" w:eastAsia="宋体" w:cs="宋体"/>
                <w:color w:val="auto"/>
                <w:kern w:val="2"/>
                <w:sz w:val="21"/>
                <w:szCs w:val="21"/>
                <w:highlight w:val="none"/>
                <w:lang w:bidi="ar"/>
              </w:rPr>
              <w:br w:type="textWrapping"/>
            </w:r>
            <w:r>
              <w:rPr>
                <w:rStyle w:val="48"/>
                <w:rFonts w:hint="default" w:ascii="宋体" w:hAnsi="宋体" w:eastAsia="宋体" w:cs="宋体"/>
                <w:color w:val="auto"/>
                <w:kern w:val="2"/>
                <w:sz w:val="21"/>
                <w:szCs w:val="21"/>
                <w:highlight w:val="none"/>
                <w:lang w:bidi="ar"/>
              </w:rPr>
              <w:t>13、单节点支持不少于3000万人脸静态库，系统支持不少于1亿人脸静态库</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台</w:t>
            </w:r>
          </w:p>
        </w:tc>
      </w:tr>
      <w:tr>
        <w:tblPrEx>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检索节点服务器（公安信息网）</w:t>
            </w:r>
          </w:p>
        </w:tc>
        <w:tc>
          <w:tcPr>
            <w:tcW w:w="5823" w:type="dxa"/>
            <w:tcBorders>
              <w:top w:val="single" w:color="000000" w:sz="4" w:space="0"/>
              <w:left w:val="single" w:color="000000" w:sz="4" w:space="0"/>
              <w:bottom w:val="nil"/>
              <w:right w:val="single" w:color="000000" w:sz="4" w:space="0"/>
            </w:tcBorders>
            <w:shd w:val="clear" w:color="auto" w:fill="auto"/>
            <w:vAlign w:val="center"/>
          </w:tcPr>
          <w:p>
            <w:pPr>
              <w:spacing w:after="0" w:line="360" w:lineRule="auto"/>
              <w:textAlignment w:val="center"/>
              <w:rPr>
                <w:rStyle w:val="49"/>
                <w:rFonts w:hint="default" w:ascii="宋体" w:hAnsi="宋体" w:eastAsia="宋体" w:cs="宋体"/>
                <w:color w:val="auto"/>
                <w:kern w:val="2"/>
                <w:sz w:val="21"/>
                <w:szCs w:val="21"/>
                <w:highlight w:val="none"/>
                <w:lang w:bidi="ar"/>
              </w:rPr>
            </w:pPr>
            <w:r>
              <w:rPr>
                <w:rStyle w:val="52"/>
                <w:rFonts w:hint="default" w:ascii="宋体" w:hAnsi="宋体" w:eastAsia="宋体" w:cs="宋体"/>
                <w:color w:val="auto"/>
                <w:kern w:val="2"/>
                <w:sz w:val="21"/>
                <w:szCs w:val="21"/>
                <w:highlight w:val="none"/>
                <w:lang w:bidi="ar"/>
              </w:rPr>
              <w:t>1、▲配置至少两颗18核国产处理器，主频应不低于2.6GHz，缓存应不低于45MB</w:t>
            </w:r>
            <w:r>
              <w:rPr>
                <w:rStyle w:val="49"/>
                <w:rFonts w:hint="default" w:ascii="宋体" w:hAnsi="宋体" w:eastAsia="宋体" w:cs="宋体"/>
                <w:color w:val="auto"/>
                <w:kern w:val="2"/>
                <w:sz w:val="21"/>
                <w:szCs w:val="21"/>
                <w:highlight w:val="none"/>
                <w:lang w:bidi="ar"/>
              </w:rPr>
              <w:t>（提供第三方检测机构出具的检验报告复印件证明</w:t>
            </w:r>
            <w:r>
              <w:rPr>
                <w:rFonts w:hint="eastAsia" w:ascii="宋体" w:hAnsi="宋体" w:eastAsia="宋体" w:cs="宋体"/>
                <w:color w:val="auto"/>
                <w:kern w:val="2"/>
                <w:sz w:val="21"/>
                <w:szCs w:val="21"/>
                <w:highlight w:val="none"/>
                <w:lang w:bidi="ar"/>
              </w:rPr>
              <w:t>并加盖投标人公章</w:t>
            </w:r>
            <w:r>
              <w:rPr>
                <w:rStyle w:val="49"/>
                <w:rFonts w:hint="default" w:ascii="宋体" w:hAnsi="宋体" w:eastAsia="宋体" w:cs="宋体"/>
                <w:color w:val="auto"/>
                <w:kern w:val="2"/>
                <w:sz w:val="21"/>
                <w:szCs w:val="21"/>
                <w:highlight w:val="none"/>
                <w:lang w:bidi="ar"/>
              </w:rPr>
              <w:t>）</w:t>
            </w:r>
            <w:r>
              <w:rPr>
                <w:rStyle w:val="52"/>
                <w:rFonts w:hint="default" w:ascii="宋体" w:hAnsi="宋体" w:eastAsia="宋体" w:cs="宋体"/>
                <w:color w:val="auto"/>
                <w:kern w:val="2"/>
                <w:sz w:val="21"/>
                <w:szCs w:val="21"/>
                <w:highlight w:val="none"/>
                <w:lang w:bidi="ar"/>
              </w:rPr>
              <w:t>；</w:t>
            </w:r>
            <w:r>
              <w:rPr>
                <w:rStyle w:val="52"/>
                <w:rFonts w:hint="default" w:ascii="宋体" w:hAnsi="宋体" w:eastAsia="宋体" w:cs="宋体"/>
                <w:color w:val="auto"/>
                <w:kern w:val="2"/>
                <w:sz w:val="21"/>
                <w:szCs w:val="21"/>
                <w:highlight w:val="none"/>
                <w:lang w:bidi="ar"/>
              </w:rPr>
              <w:br w:type="textWrapping"/>
            </w:r>
            <w:r>
              <w:rPr>
                <w:rStyle w:val="52"/>
                <w:rFonts w:hint="default" w:ascii="宋体" w:hAnsi="宋体" w:eastAsia="宋体" w:cs="宋体"/>
                <w:color w:val="auto"/>
                <w:kern w:val="2"/>
                <w:sz w:val="21"/>
                <w:szCs w:val="21"/>
                <w:highlight w:val="none"/>
                <w:lang w:bidi="ar"/>
              </w:rPr>
              <w:t>2、▲内存配置不低于512GB，采用DDR4、2993MHZ或以上规格，支持内存扩展，可提供内存插槽≥32个，可组成≥16个DDR4高速通道</w:t>
            </w:r>
            <w:r>
              <w:rPr>
                <w:rStyle w:val="49"/>
                <w:rFonts w:hint="default" w:ascii="宋体" w:hAnsi="宋体" w:eastAsia="宋体" w:cs="宋体"/>
                <w:color w:val="auto"/>
                <w:kern w:val="2"/>
                <w:sz w:val="21"/>
                <w:szCs w:val="21"/>
                <w:highlight w:val="none"/>
                <w:lang w:bidi="ar"/>
              </w:rPr>
              <w:t>（提供第三方检测机构出具的检验报告复印件证明</w:t>
            </w:r>
            <w:r>
              <w:rPr>
                <w:rFonts w:hint="eastAsia" w:ascii="宋体" w:hAnsi="宋体" w:eastAsia="宋体" w:cs="宋体"/>
                <w:color w:val="auto"/>
                <w:kern w:val="2"/>
                <w:sz w:val="21"/>
                <w:szCs w:val="21"/>
                <w:highlight w:val="none"/>
                <w:lang w:bidi="ar"/>
              </w:rPr>
              <w:t>并加盖投标人公章</w:t>
            </w:r>
            <w:r>
              <w:rPr>
                <w:rStyle w:val="49"/>
                <w:rFonts w:hint="default" w:ascii="宋体" w:hAnsi="宋体" w:eastAsia="宋体" w:cs="宋体"/>
                <w:color w:val="auto"/>
                <w:kern w:val="2"/>
                <w:sz w:val="21"/>
                <w:szCs w:val="21"/>
                <w:highlight w:val="none"/>
                <w:lang w:bidi="ar"/>
              </w:rPr>
              <w:t>）</w:t>
            </w:r>
            <w:r>
              <w:rPr>
                <w:rStyle w:val="52"/>
                <w:rFonts w:hint="default" w:ascii="宋体" w:hAnsi="宋体" w:eastAsia="宋体" w:cs="宋体"/>
                <w:color w:val="auto"/>
                <w:kern w:val="2"/>
                <w:sz w:val="21"/>
                <w:szCs w:val="21"/>
                <w:highlight w:val="none"/>
                <w:lang w:bidi="ar"/>
              </w:rPr>
              <w:t>；</w:t>
            </w:r>
            <w:r>
              <w:rPr>
                <w:rStyle w:val="52"/>
                <w:rFonts w:hint="default" w:ascii="宋体" w:hAnsi="宋体" w:eastAsia="宋体" w:cs="宋体"/>
                <w:color w:val="auto"/>
                <w:kern w:val="2"/>
                <w:sz w:val="21"/>
                <w:szCs w:val="21"/>
                <w:highlight w:val="none"/>
                <w:lang w:bidi="ar"/>
              </w:rPr>
              <w:br w:type="textWrapping"/>
            </w:r>
            <w:r>
              <w:rPr>
                <w:rStyle w:val="52"/>
                <w:rFonts w:hint="eastAsia" w:ascii="宋体" w:hAnsi="宋体" w:eastAsia="宋体" w:cs="宋体"/>
                <w:color w:val="auto"/>
                <w:kern w:val="2"/>
                <w:sz w:val="21"/>
                <w:szCs w:val="21"/>
                <w:highlight w:val="none"/>
                <w:lang w:val="en-US" w:eastAsia="zh-CN" w:bidi="ar"/>
              </w:rPr>
              <w:t>3</w:t>
            </w:r>
            <w:r>
              <w:rPr>
                <w:rStyle w:val="52"/>
                <w:rFonts w:hint="default" w:ascii="宋体" w:hAnsi="宋体" w:eastAsia="宋体" w:cs="宋体"/>
                <w:color w:val="auto"/>
                <w:kern w:val="2"/>
                <w:sz w:val="21"/>
                <w:szCs w:val="21"/>
                <w:highlight w:val="none"/>
                <w:lang w:bidi="ar"/>
              </w:rPr>
              <w:t xml:space="preserve">、设备应能安装在19″标准机架中，采用全模块化无线缆设计，独立主控模块、热插拔磁盘、独立电源模块； </w:t>
            </w:r>
            <w:r>
              <w:rPr>
                <w:rStyle w:val="52"/>
                <w:rFonts w:hint="default" w:ascii="宋体" w:hAnsi="宋体" w:eastAsia="宋体" w:cs="宋体"/>
                <w:color w:val="auto"/>
                <w:kern w:val="2"/>
                <w:sz w:val="21"/>
                <w:szCs w:val="21"/>
                <w:highlight w:val="none"/>
                <w:lang w:bidi="ar"/>
              </w:rPr>
              <w:br w:type="textWrapping"/>
            </w:r>
            <w:r>
              <w:rPr>
                <w:rStyle w:val="52"/>
                <w:rFonts w:hint="eastAsia" w:ascii="宋体" w:hAnsi="宋体" w:eastAsia="宋体" w:cs="宋体"/>
                <w:color w:val="auto"/>
                <w:kern w:val="2"/>
                <w:sz w:val="21"/>
                <w:szCs w:val="21"/>
                <w:highlight w:val="none"/>
                <w:lang w:val="en-US" w:eastAsia="zh-CN" w:bidi="ar"/>
              </w:rPr>
              <w:t>4</w:t>
            </w:r>
            <w:r>
              <w:rPr>
                <w:rStyle w:val="52"/>
                <w:rFonts w:hint="default" w:ascii="宋体" w:hAnsi="宋体" w:eastAsia="宋体" w:cs="宋体"/>
                <w:color w:val="auto"/>
                <w:kern w:val="2"/>
                <w:sz w:val="21"/>
                <w:szCs w:val="21"/>
                <w:highlight w:val="none"/>
                <w:lang w:bidi="ar"/>
              </w:rPr>
              <w:t>、▲配置两个独立的元数据盘不小于960GB SSD，组成RAID1</w:t>
            </w:r>
            <w:r>
              <w:rPr>
                <w:rStyle w:val="49"/>
                <w:rFonts w:hint="default" w:ascii="宋体" w:hAnsi="宋体" w:eastAsia="宋体" w:cs="宋体"/>
                <w:color w:val="auto"/>
                <w:kern w:val="2"/>
                <w:sz w:val="21"/>
                <w:szCs w:val="21"/>
                <w:highlight w:val="none"/>
                <w:lang w:bidi="ar"/>
              </w:rPr>
              <w:t>（提供第三方检测机构出具的检验报告复印件证明</w:t>
            </w:r>
            <w:r>
              <w:rPr>
                <w:rFonts w:hint="eastAsia" w:ascii="宋体" w:hAnsi="宋体" w:eastAsia="宋体" w:cs="宋体"/>
                <w:color w:val="auto"/>
                <w:kern w:val="2"/>
                <w:sz w:val="21"/>
                <w:szCs w:val="21"/>
                <w:highlight w:val="none"/>
                <w:lang w:bidi="ar"/>
              </w:rPr>
              <w:t>并加盖投标人公章</w:t>
            </w:r>
            <w:r>
              <w:rPr>
                <w:rStyle w:val="49"/>
                <w:rFonts w:hint="default" w:ascii="宋体" w:hAnsi="宋体" w:eastAsia="宋体" w:cs="宋体"/>
                <w:color w:val="auto"/>
                <w:kern w:val="2"/>
                <w:sz w:val="21"/>
                <w:szCs w:val="21"/>
                <w:highlight w:val="none"/>
                <w:lang w:bidi="ar"/>
              </w:rPr>
              <w:t>）</w:t>
            </w:r>
            <w:r>
              <w:rPr>
                <w:rStyle w:val="52"/>
                <w:rFonts w:hint="default" w:ascii="宋体" w:hAnsi="宋体" w:eastAsia="宋体" w:cs="宋体"/>
                <w:color w:val="auto"/>
                <w:kern w:val="2"/>
                <w:sz w:val="21"/>
                <w:szCs w:val="21"/>
                <w:highlight w:val="none"/>
                <w:lang w:bidi="ar"/>
              </w:rPr>
              <w:br w:type="textWrapping"/>
            </w:r>
            <w:r>
              <w:rPr>
                <w:rStyle w:val="52"/>
                <w:rFonts w:hint="eastAsia" w:ascii="宋体" w:hAnsi="宋体" w:eastAsia="宋体" w:cs="宋体"/>
                <w:color w:val="auto"/>
                <w:kern w:val="2"/>
                <w:sz w:val="21"/>
                <w:szCs w:val="21"/>
                <w:highlight w:val="none"/>
                <w:lang w:val="en-US" w:eastAsia="zh-CN" w:bidi="ar"/>
              </w:rPr>
              <w:t>5</w:t>
            </w:r>
            <w:r>
              <w:rPr>
                <w:rStyle w:val="52"/>
                <w:rFonts w:hint="default" w:ascii="宋体" w:hAnsi="宋体" w:eastAsia="宋体" w:cs="宋体"/>
                <w:color w:val="auto"/>
                <w:kern w:val="2"/>
                <w:sz w:val="21"/>
                <w:szCs w:val="21"/>
                <w:highlight w:val="none"/>
                <w:lang w:bidi="ar"/>
              </w:rPr>
              <w:t>、▲单设备支持磁盘数量≥12，支持配置8块单盘≥3.84TB SAS SSD硬盘，支持配置4块单盘≥3.2TB NVME SSD硬盘</w:t>
            </w:r>
            <w:r>
              <w:rPr>
                <w:rStyle w:val="49"/>
                <w:rFonts w:hint="default" w:ascii="宋体" w:hAnsi="宋体" w:eastAsia="宋体" w:cs="宋体"/>
                <w:color w:val="auto"/>
                <w:kern w:val="2"/>
                <w:sz w:val="21"/>
                <w:szCs w:val="21"/>
                <w:highlight w:val="none"/>
                <w:lang w:bidi="ar"/>
              </w:rPr>
              <w:t>（提供第三方检测机构出具的检验报告复印件证明</w:t>
            </w:r>
            <w:r>
              <w:rPr>
                <w:rFonts w:hint="eastAsia" w:ascii="宋体" w:hAnsi="宋体" w:eastAsia="宋体" w:cs="宋体"/>
                <w:color w:val="auto"/>
                <w:kern w:val="2"/>
                <w:sz w:val="21"/>
                <w:szCs w:val="21"/>
                <w:highlight w:val="none"/>
                <w:lang w:bidi="ar"/>
              </w:rPr>
              <w:t>并加盖投标人公章</w:t>
            </w:r>
            <w:r>
              <w:rPr>
                <w:rStyle w:val="49"/>
                <w:rFonts w:hint="default" w:ascii="宋体" w:hAnsi="宋体" w:eastAsia="宋体" w:cs="宋体"/>
                <w:color w:val="auto"/>
                <w:kern w:val="2"/>
                <w:sz w:val="21"/>
                <w:szCs w:val="21"/>
                <w:highlight w:val="none"/>
                <w:lang w:bidi="ar"/>
              </w:rPr>
              <w:t>）</w:t>
            </w:r>
            <w:r>
              <w:rPr>
                <w:rStyle w:val="52"/>
                <w:rFonts w:hint="default" w:ascii="宋体" w:hAnsi="宋体" w:eastAsia="宋体" w:cs="宋体"/>
                <w:color w:val="auto"/>
                <w:kern w:val="2"/>
                <w:sz w:val="21"/>
                <w:szCs w:val="21"/>
                <w:highlight w:val="none"/>
                <w:lang w:bidi="ar"/>
              </w:rPr>
              <w:t>；</w:t>
            </w:r>
            <w:r>
              <w:rPr>
                <w:rStyle w:val="52"/>
                <w:rFonts w:hint="default" w:ascii="宋体" w:hAnsi="宋体" w:eastAsia="宋体" w:cs="宋体"/>
                <w:color w:val="auto"/>
                <w:kern w:val="2"/>
                <w:sz w:val="21"/>
                <w:szCs w:val="21"/>
                <w:highlight w:val="none"/>
                <w:lang w:bidi="ar"/>
              </w:rPr>
              <w:br w:type="textWrapping"/>
            </w:r>
            <w:r>
              <w:rPr>
                <w:rStyle w:val="52"/>
                <w:rFonts w:hint="eastAsia" w:ascii="宋体" w:hAnsi="宋体" w:eastAsia="宋体" w:cs="宋体"/>
                <w:color w:val="auto"/>
                <w:kern w:val="2"/>
                <w:sz w:val="21"/>
                <w:szCs w:val="21"/>
                <w:highlight w:val="none"/>
                <w:lang w:val="en-US" w:eastAsia="zh-CN" w:bidi="ar"/>
              </w:rPr>
              <w:t>6</w:t>
            </w:r>
            <w:r>
              <w:rPr>
                <w:rStyle w:val="52"/>
                <w:rFonts w:hint="default" w:ascii="宋体" w:hAnsi="宋体" w:eastAsia="宋体" w:cs="宋体"/>
                <w:color w:val="auto"/>
                <w:kern w:val="2"/>
                <w:sz w:val="21"/>
                <w:szCs w:val="21"/>
                <w:highlight w:val="none"/>
                <w:lang w:bidi="ar"/>
              </w:rPr>
              <w:t xml:space="preserve">、支持硬盘缓启动功能 </w:t>
            </w:r>
            <w:r>
              <w:rPr>
                <w:rStyle w:val="52"/>
                <w:rFonts w:hint="default" w:ascii="宋体" w:hAnsi="宋体" w:eastAsia="宋体" w:cs="宋体"/>
                <w:color w:val="auto"/>
                <w:kern w:val="2"/>
                <w:sz w:val="21"/>
                <w:szCs w:val="21"/>
                <w:highlight w:val="none"/>
                <w:lang w:bidi="ar"/>
              </w:rPr>
              <w:br w:type="textWrapping"/>
            </w:r>
            <w:r>
              <w:rPr>
                <w:rStyle w:val="52"/>
                <w:rFonts w:hint="eastAsia" w:ascii="宋体" w:hAnsi="宋体" w:eastAsia="宋体" w:cs="宋体"/>
                <w:color w:val="auto"/>
                <w:kern w:val="2"/>
                <w:sz w:val="21"/>
                <w:szCs w:val="21"/>
                <w:highlight w:val="none"/>
                <w:lang w:val="en-US" w:eastAsia="zh-CN" w:bidi="ar"/>
              </w:rPr>
              <w:t>7</w:t>
            </w:r>
            <w:r>
              <w:rPr>
                <w:rStyle w:val="52"/>
                <w:rFonts w:hint="default" w:ascii="宋体" w:hAnsi="宋体" w:eastAsia="宋体" w:cs="宋体"/>
                <w:color w:val="auto"/>
                <w:kern w:val="2"/>
                <w:sz w:val="21"/>
                <w:szCs w:val="21"/>
                <w:highlight w:val="none"/>
                <w:lang w:bidi="ar"/>
              </w:rPr>
              <w:t>、配置8个GE网口和4个10GE光口，含2个多模万兆光模块；</w:t>
            </w:r>
            <w:r>
              <w:rPr>
                <w:rStyle w:val="52"/>
                <w:rFonts w:hint="default" w:ascii="宋体" w:hAnsi="宋体" w:eastAsia="宋体" w:cs="宋体"/>
                <w:color w:val="auto"/>
                <w:kern w:val="2"/>
                <w:sz w:val="21"/>
                <w:szCs w:val="21"/>
                <w:highlight w:val="none"/>
                <w:lang w:bidi="ar"/>
              </w:rPr>
              <w:br w:type="textWrapping"/>
            </w:r>
            <w:r>
              <w:rPr>
                <w:rStyle w:val="52"/>
                <w:rFonts w:hint="eastAsia" w:ascii="宋体" w:hAnsi="宋体" w:eastAsia="宋体" w:cs="宋体"/>
                <w:color w:val="auto"/>
                <w:kern w:val="2"/>
                <w:sz w:val="21"/>
                <w:szCs w:val="21"/>
                <w:highlight w:val="none"/>
                <w:lang w:val="en-US" w:eastAsia="zh-CN" w:bidi="ar"/>
              </w:rPr>
              <w:t>8</w:t>
            </w:r>
            <w:r>
              <w:rPr>
                <w:rStyle w:val="52"/>
                <w:rFonts w:hint="default" w:ascii="宋体" w:hAnsi="宋体" w:eastAsia="宋体" w:cs="宋体"/>
                <w:color w:val="auto"/>
                <w:kern w:val="2"/>
                <w:sz w:val="21"/>
                <w:szCs w:val="21"/>
                <w:highlight w:val="none"/>
                <w:lang w:bidi="ar"/>
              </w:rPr>
              <w:t>、支持4个独立的风扇，支持单风扇失效；</w:t>
            </w:r>
            <w:r>
              <w:rPr>
                <w:rStyle w:val="52"/>
                <w:rFonts w:hint="default" w:ascii="宋体" w:hAnsi="宋体" w:eastAsia="宋体" w:cs="宋体"/>
                <w:color w:val="auto"/>
                <w:kern w:val="2"/>
                <w:sz w:val="21"/>
                <w:szCs w:val="21"/>
                <w:highlight w:val="none"/>
                <w:lang w:bidi="ar"/>
              </w:rPr>
              <w:br w:type="textWrapping"/>
            </w:r>
            <w:r>
              <w:rPr>
                <w:rStyle w:val="52"/>
                <w:rFonts w:hint="eastAsia" w:ascii="宋体" w:hAnsi="宋体" w:eastAsia="宋体" w:cs="宋体"/>
                <w:color w:val="auto"/>
                <w:kern w:val="2"/>
                <w:sz w:val="21"/>
                <w:szCs w:val="21"/>
                <w:highlight w:val="none"/>
                <w:lang w:val="en-US" w:eastAsia="zh-CN" w:bidi="ar"/>
              </w:rPr>
              <w:t>9</w:t>
            </w:r>
            <w:r>
              <w:rPr>
                <w:rStyle w:val="52"/>
                <w:rFonts w:hint="default" w:ascii="宋体" w:hAnsi="宋体" w:eastAsia="宋体" w:cs="宋体"/>
                <w:color w:val="auto"/>
                <w:kern w:val="2"/>
                <w:sz w:val="21"/>
                <w:szCs w:val="21"/>
                <w:highlight w:val="none"/>
                <w:lang w:bidi="ar"/>
              </w:rPr>
              <w:t>、电源模块支持1+1冗余备份，支持独立维护；</w:t>
            </w:r>
            <w:r>
              <w:rPr>
                <w:rStyle w:val="52"/>
                <w:rFonts w:hint="default" w:ascii="宋体" w:hAnsi="宋体" w:eastAsia="宋体" w:cs="宋体"/>
                <w:color w:val="auto"/>
                <w:kern w:val="2"/>
                <w:sz w:val="21"/>
                <w:szCs w:val="21"/>
                <w:highlight w:val="none"/>
                <w:lang w:bidi="ar"/>
              </w:rPr>
              <w:br w:type="textWrapping"/>
            </w:r>
            <w:r>
              <w:rPr>
                <w:rStyle w:val="52"/>
                <w:rFonts w:hint="eastAsia" w:ascii="宋体" w:hAnsi="宋体" w:eastAsia="宋体" w:cs="宋体"/>
                <w:color w:val="auto"/>
                <w:kern w:val="2"/>
                <w:sz w:val="21"/>
                <w:szCs w:val="21"/>
                <w:highlight w:val="none"/>
                <w:lang w:val="en-US" w:eastAsia="zh-CN" w:bidi="ar"/>
              </w:rPr>
              <w:t>10</w:t>
            </w:r>
            <w:r>
              <w:rPr>
                <w:rStyle w:val="52"/>
                <w:rFonts w:hint="default" w:ascii="宋体" w:hAnsi="宋体" w:eastAsia="宋体" w:cs="宋体"/>
                <w:color w:val="auto"/>
                <w:kern w:val="2"/>
                <w:sz w:val="21"/>
                <w:szCs w:val="21"/>
                <w:highlight w:val="none"/>
                <w:lang w:bidi="ar"/>
              </w:rPr>
              <w:t>、配置冗余白金牌电源；</w:t>
            </w:r>
            <w:r>
              <w:rPr>
                <w:rStyle w:val="52"/>
                <w:rFonts w:hint="default" w:ascii="宋体" w:hAnsi="宋体" w:eastAsia="宋体" w:cs="宋体"/>
                <w:color w:val="auto"/>
                <w:kern w:val="2"/>
                <w:sz w:val="21"/>
                <w:szCs w:val="21"/>
                <w:highlight w:val="none"/>
                <w:lang w:bidi="ar"/>
              </w:rPr>
              <w:br w:type="textWrapping"/>
            </w:r>
            <w:r>
              <w:rPr>
                <w:rStyle w:val="52"/>
                <w:rFonts w:hint="default" w:ascii="宋体" w:hAnsi="宋体" w:eastAsia="宋体" w:cs="宋体"/>
                <w:color w:val="auto"/>
                <w:kern w:val="2"/>
                <w:sz w:val="21"/>
                <w:szCs w:val="21"/>
                <w:highlight w:val="none"/>
                <w:lang w:bidi="ar"/>
              </w:rPr>
              <w:t>1</w:t>
            </w:r>
            <w:r>
              <w:rPr>
                <w:rStyle w:val="52"/>
                <w:rFonts w:hint="eastAsia" w:ascii="宋体" w:hAnsi="宋体" w:eastAsia="宋体" w:cs="宋体"/>
                <w:color w:val="auto"/>
                <w:kern w:val="2"/>
                <w:sz w:val="21"/>
                <w:szCs w:val="21"/>
                <w:highlight w:val="none"/>
                <w:lang w:val="en-US" w:eastAsia="zh-CN" w:bidi="ar"/>
              </w:rPr>
              <w:t>1</w:t>
            </w:r>
            <w:r>
              <w:rPr>
                <w:rStyle w:val="52"/>
                <w:rFonts w:hint="default" w:ascii="宋体" w:hAnsi="宋体" w:eastAsia="宋体" w:cs="宋体"/>
                <w:color w:val="auto"/>
                <w:kern w:val="2"/>
                <w:sz w:val="21"/>
                <w:szCs w:val="21"/>
                <w:highlight w:val="none"/>
                <w:lang w:bidi="ar"/>
              </w:rPr>
              <w:t>、单节点支持不少于20亿条人脸/车辆/人体特性数据存储；</w:t>
            </w:r>
            <w:r>
              <w:rPr>
                <w:rStyle w:val="52"/>
                <w:rFonts w:hint="default" w:ascii="宋体" w:hAnsi="宋体" w:eastAsia="宋体" w:cs="宋体"/>
                <w:color w:val="auto"/>
                <w:kern w:val="2"/>
                <w:sz w:val="21"/>
                <w:szCs w:val="21"/>
                <w:highlight w:val="none"/>
                <w:lang w:bidi="ar"/>
              </w:rPr>
              <w:br w:type="textWrapping"/>
            </w:r>
            <w:r>
              <w:rPr>
                <w:rStyle w:val="52"/>
                <w:rFonts w:hint="default" w:ascii="宋体" w:hAnsi="宋体" w:eastAsia="宋体" w:cs="宋体"/>
                <w:color w:val="auto"/>
                <w:kern w:val="2"/>
                <w:sz w:val="21"/>
                <w:szCs w:val="21"/>
                <w:highlight w:val="none"/>
                <w:lang w:bidi="ar"/>
              </w:rPr>
              <w:t>1</w:t>
            </w:r>
            <w:r>
              <w:rPr>
                <w:rStyle w:val="52"/>
                <w:rFonts w:hint="eastAsia" w:ascii="宋体" w:hAnsi="宋体" w:eastAsia="宋体" w:cs="宋体"/>
                <w:color w:val="auto"/>
                <w:kern w:val="2"/>
                <w:sz w:val="21"/>
                <w:szCs w:val="21"/>
                <w:highlight w:val="none"/>
                <w:lang w:val="en-US" w:eastAsia="zh-CN" w:bidi="ar"/>
              </w:rPr>
              <w:t>2</w:t>
            </w:r>
            <w:r>
              <w:rPr>
                <w:rStyle w:val="52"/>
                <w:rFonts w:hint="default" w:ascii="宋体" w:hAnsi="宋体" w:eastAsia="宋体" w:cs="宋体"/>
                <w:color w:val="auto"/>
                <w:kern w:val="2"/>
                <w:sz w:val="21"/>
                <w:szCs w:val="21"/>
                <w:highlight w:val="none"/>
                <w:lang w:bidi="ar"/>
              </w:rPr>
              <w:t>、单节点支持不少于2亿条人脸/车辆/人体特性值热数据检索，检索响应时间小于3秒；</w:t>
            </w:r>
            <w:r>
              <w:rPr>
                <w:rStyle w:val="52"/>
                <w:rFonts w:hint="default" w:ascii="宋体" w:hAnsi="宋体" w:eastAsia="宋体" w:cs="宋体"/>
                <w:color w:val="auto"/>
                <w:kern w:val="2"/>
                <w:sz w:val="21"/>
                <w:szCs w:val="21"/>
                <w:highlight w:val="none"/>
                <w:lang w:bidi="ar"/>
              </w:rPr>
              <w:br w:type="textWrapping"/>
            </w:r>
            <w:r>
              <w:rPr>
                <w:rStyle w:val="52"/>
                <w:rFonts w:hint="default" w:ascii="宋体" w:hAnsi="宋体" w:eastAsia="宋体" w:cs="宋体"/>
                <w:color w:val="auto"/>
                <w:kern w:val="2"/>
                <w:sz w:val="21"/>
                <w:szCs w:val="21"/>
                <w:highlight w:val="none"/>
                <w:lang w:bidi="ar"/>
              </w:rPr>
              <w:t>1</w:t>
            </w:r>
            <w:r>
              <w:rPr>
                <w:rStyle w:val="52"/>
                <w:rFonts w:hint="eastAsia" w:ascii="宋体" w:hAnsi="宋体" w:eastAsia="宋体" w:cs="宋体"/>
                <w:color w:val="auto"/>
                <w:kern w:val="2"/>
                <w:sz w:val="21"/>
                <w:szCs w:val="21"/>
                <w:highlight w:val="none"/>
                <w:lang w:val="en-US" w:eastAsia="zh-CN" w:bidi="ar"/>
              </w:rPr>
              <w:t>3</w:t>
            </w:r>
            <w:r>
              <w:rPr>
                <w:rStyle w:val="52"/>
                <w:rFonts w:hint="default" w:ascii="宋体" w:hAnsi="宋体" w:eastAsia="宋体" w:cs="宋体"/>
                <w:color w:val="auto"/>
                <w:kern w:val="2"/>
                <w:sz w:val="21"/>
                <w:szCs w:val="21"/>
                <w:highlight w:val="none"/>
                <w:lang w:bidi="ar"/>
              </w:rPr>
              <w:t>、▲单节点支持不少于15亿条人脸/15亿车辆/15亿人体结构化数据存储和检索</w:t>
            </w:r>
            <w:r>
              <w:rPr>
                <w:rStyle w:val="49"/>
                <w:rFonts w:hint="default" w:ascii="宋体" w:hAnsi="宋体" w:eastAsia="宋体" w:cs="宋体"/>
                <w:color w:val="auto"/>
                <w:kern w:val="2"/>
                <w:sz w:val="21"/>
                <w:szCs w:val="21"/>
                <w:highlight w:val="none"/>
                <w:lang w:bidi="ar"/>
              </w:rPr>
              <w:t>（提供第三方检测机构出具的检验报告复印件证明</w:t>
            </w:r>
            <w:r>
              <w:rPr>
                <w:rFonts w:hint="eastAsia" w:ascii="宋体" w:hAnsi="宋体" w:eastAsia="宋体" w:cs="宋体"/>
                <w:color w:val="auto"/>
                <w:kern w:val="2"/>
                <w:sz w:val="21"/>
                <w:szCs w:val="21"/>
                <w:highlight w:val="none"/>
                <w:lang w:bidi="ar"/>
              </w:rPr>
              <w:t>并加盖投标人公章</w:t>
            </w:r>
            <w:r>
              <w:rPr>
                <w:rStyle w:val="49"/>
                <w:rFonts w:hint="default" w:ascii="宋体" w:hAnsi="宋体" w:eastAsia="宋体" w:cs="宋体"/>
                <w:color w:val="auto"/>
                <w:kern w:val="2"/>
                <w:sz w:val="21"/>
                <w:szCs w:val="21"/>
                <w:highlight w:val="none"/>
                <w:lang w:bidi="ar"/>
              </w:rPr>
              <w:t>）；</w:t>
            </w:r>
          </w:p>
          <w:p>
            <w:pPr>
              <w:spacing w:after="0" w:line="360" w:lineRule="auto"/>
              <w:textAlignment w:val="center"/>
              <w:rPr>
                <w:rFonts w:ascii="宋体" w:hAnsi="宋体" w:eastAsia="宋体" w:cs="宋体"/>
                <w:color w:val="auto"/>
                <w:kern w:val="2"/>
                <w:sz w:val="21"/>
                <w:szCs w:val="21"/>
                <w:highlight w:val="none"/>
              </w:rPr>
            </w:pPr>
            <w:r>
              <w:rPr>
                <w:rStyle w:val="52"/>
                <w:rFonts w:hint="default" w:ascii="宋体" w:hAnsi="宋体" w:eastAsia="宋体" w:cs="宋体"/>
                <w:color w:val="auto"/>
                <w:kern w:val="2"/>
                <w:sz w:val="21"/>
                <w:szCs w:val="21"/>
                <w:highlight w:val="none"/>
                <w:lang w:bidi="ar"/>
              </w:rPr>
              <w:t>1</w:t>
            </w:r>
            <w:r>
              <w:rPr>
                <w:rStyle w:val="52"/>
                <w:rFonts w:hint="eastAsia" w:ascii="宋体" w:hAnsi="宋体" w:eastAsia="宋体" w:cs="宋体"/>
                <w:color w:val="auto"/>
                <w:kern w:val="2"/>
                <w:sz w:val="21"/>
                <w:szCs w:val="21"/>
                <w:highlight w:val="none"/>
                <w:lang w:val="en-US" w:eastAsia="zh-CN" w:bidi="ar"/>
              </w:rPr>
              <w:t>4</w:t>
            </w:r>
            <w:r>
              <w:rPr>
                <w:rStyle w:val="52"/>
                <w:rFonts w:hint="default" w:ascii="宋体" w:hAnsi="宋体" w:eastAsia="宋体" w:cs="宋体"/>
                <w:color w:val="auto"/>
                <w:kern w:val="2"/>
                <w:sz w:val="21"/>
                <w:szCs w:val="21"/>
                <w:highlight w:val="none"/>
                <w:lang w:bidi="ar"/>
              </w:rPr>
              <w:t>、单节点支持不少于3000万人脸静态库，系统支持不少于1亿人脸静态库；</w:t>
            </w:r>
          </w:p>
        </w:tc>
        <w:tc>
          <w:tcPr>
            <w:tcW w:w="636" w:type="dxa"/>
            <w:tcBorders>
              <w:top w:val="single" w:color="000000" w:sz="4" w:space="0"/>
              <w:left w:val="single" w:color="000000" w:sz="4" w:space="0"/>
              <w:bottom w:val="nil"/>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448" w:type="dxa"/>
            <w:tcBorders>
              <w:top w:val="single" w:color="000000" w:sz="4" w:space="0"/>
              <w:left w:val="single" w:color="000000" w:sz="4" w:space="0"/>
              <w:bottom w:val="nil"/>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台</w:t>
            </w:r>
          </w:p>
        </w:tc>
      </w:tr>
      <w:tr>
        <w:tblPrEx>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7</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布控体服务器（公安信息网）</w:t>
            </w:r>
          </w:p>
        </w:tc>
        <w:tc>
          <w:tcPr>
            <w:tcW w:w="5823" w:type="dxa"/>
            <w:tcBorders>
              <w:top w:val="single" w:color="000000" w:sz="4" w:space="0"/>
              <w:left w:val="single" w:color="000000" w:sz="4" w:space="0"/>
              <w:bottom w:val="nil"/>
              <w:right w:val="single" w:color="000000" w:sz="4" w:space="0"/>
            </w:tcBorders>
            <w:shd w:val="clear" w:color="auto" w:fill="auto"/>
            <w:vAlign w:val="center"/>
          </w:tcPr>
          <w:p>
            <w:pPr>
              <w:spacing w:after="0" w:line="360" w:lineRule="auto"/>
              <w:textAlignment w:val="center"/>
              <w:rPr>
                <w:rStyle w:val="52"/>
                <w:rFonts w:hint="default" w:ascii="宋体" w:hAnsi="宋体" w:eastAsia="宋体" w:cs="宋体"/>
                <w:color w:val="auto"/>
                <w:kern w:val="2"/>
                <w:sz w:val="21"/>
                <w:szCs w:val="21"/>
                <w:highlight w:val="none"/>
              </w:rPr>
            </w:pPr>
            <w:r>
              <w:rPr>
                <w:rStyle w:val="52"/>
                <w:rFonts w:hint="default" w:ascii="宋体" w:hAnsi="宋体" w:eastAsia="宋体" w:cs="宋体"/>
                <w:color w:val="auto"/>
                <w:kern w:val="2"/>
                <w:sz w:val="21"/>
                <w:szCs w:val="21"/>
                <w:highlight w:val="none"/>
              </w:rPr>
              <w:t>1、配置至少两颗16核处理器，主频应不低于2.3GHz，缓存应不低于22MB；</w:t>
            </w:r>
          </w:p>
          <w:p>
            <w:pPr>
              <w:spacing w:after="0" w:line="360" w:lineRule="auto"/>
              <w:textAlignment w:val="center"/>
              <w:rPr>
                <w:rStyle w:val="52"/>
                <w:rFonts w:hint="default" w:ascii="宋体" w:hAnsi="宋体" w:eastAsia="宋体" w:cs="宋体"/>
                <w:color w:val="auto"/>
                <w:kern w:val="2"/>
                <w:sz w:val="21"/>
                <w:szCs w:val="21"/>
                <w:highlight w:val="none"/>
              </w:rPr>
            </w:pPr>
            <w:r>
              <w:rPr>
                <w:rStyle w:val="52"/>
                <w:rFonts w:hint="default" w:ascii="宋体" w:hAnsi="宋体" w:eastAsia="宋体" w:cs="宋体"/>
                <w:color w:val="auto"/>
                <w:kern w:val="2"/>
                <w:sz w:val="21"/>
                <w:szCs w:val="21"/>
                <w:highlight w:val="none"/>
              </w:rPr>
              <w:t>2、内存配置不低于128GB，采用DDR4 RDIMM内存-2933MT/s，单服务器可提供内存插槽≥24个；</w:t>
            </w:r>
          </w:p>
          <w:p>
            <w:pPr>
              <w:spacing w:after="0" w:line="360" w:lineRule="auto"/>
              <w:textAlignment w:val="center"/>
              <w:rPr>
                <w:rStyle w:val="52"/>
                <w:rFonts w:hint="default" w:ascii="宋体" w:hAnsi="宋体" w:eastAsia="宋体" w:cs="宋体"/>
                <w:color w:val="auto"/>
                <w:kern w:val="2"/>
                <w:sz w:val="21"/>
                <w:szCs w:val="21"/>
                <w:highlight w:val="none"/>
              </w:rPr>
            </w:pPr>
            <w:r>
              <w:rPr>
                <w:rStyle w:val="52"/>
                <w:rFonts w:hint="default" w:ascii="宋体" w:hAnsi="宋体" w:eastAsia="宋体" w:cs="宋体"/>
                <w:color w:val="auto"/>
                <w:kern w:val="2"/>
                <w:sz w:val="21"/>
                <w:szCs w:val="21"/>
                <w:highlight w:val="none"/>
              </w:rPr>
              <w:t>3、配置不少于2块1.2TB-10Krpm-SAS盘，2块1.8TB-10Krpm-SAS盘；</w:t>
            </w:r>
          </w:p>
          <w:p>
            <w:pPr>
              <w:spacing w:after="0" w:line="360" w:lineRule="auto"/>
              <w:textAlignment w:val="center"/>
              <w:rPr>
                <w:rStyle w:val="52"/>
                <w:rFonts w:hint="default" w:ascii="宋体" w:hAnsi="宋体" w:eastAsia="宋体" w:cs="宋体"/>
                <w:color w:val="auto"/>
                <w:kern w:val="2"/>
                <w:sz w:val="21"/>
                <w:szCs w:val="21"/>
                <w:highlight w:val="none"/>
              </w:rPr>
            </w:pPr>
            <w:r>
              <w:rPr>
                <w:rStyle w:val="52"/>
                <w:rFonts w:hint="default" w:ascii="宋体" w:hAnsi="宋体" w:eastAsia="宋体" w:cs="宋体"/>
                <w:color w:val="auto"/>
                <w:kern w:val="2"/>
                <w:sz w:val="21"/>
                <w:szCs w:val="21"/>
                <w:highlight w:val="none"/>
              </w:rPr>
              <w:t>4、▲提供灵活的I/O扩展能力，支持不少于11个PCI-E I/O插槽总数（提供官网材料截图证明并加盖投标人公章）；</w:t>
            </w:r>
          </w:p>
          <w:p>
            <w:pPr>
              <w:spacing w:after="0" w:line="360" w:lineRule="auto"/>
              <w:textAlignment w:val="center"/>
              <w:rPr>
                <w:rStyle w:val="52"/>
                <w:rFonts w:hint="default" w:ascii="宋体" w:hAnsi="宋体" w:eastAsia="宋体" w:cs="宋体"/>
                <w:color w:val="auto"/>
                <w:kern w:val="2"/>
                <w:sz w:val="21"/>
                <w:szCs w:val="21"/>
                <w:highlight w:val="none"/>
              </w:rPr>
            </w:pPr>
            <w:r>
              <w:rPr>
                <w:rStyle w:val="52"/>
                <w:rFonts w:hint="default" w:ascii="宋体" w:hAnsi="宋体" w:eastAsia="宋体" w:cs="宋体"/>
                <w:color w:val="auto"/>
                <w:kern w:val="2"/>
                <w:sz w:val="21"/>
                <w:szCs w:val="21"/>
                <w:highlight w:val="none"/>
              </w:rPr>
              <w:t>5、配置独立RAID卡；</w:t>
            </w:r>
          </w:p>
          <w:p>
            <w:pPr>
              <w:spacing w:after="0" w:line="360" w:lineRule="auto"/>
              <w:textAlignment w:val="center"/>
              <w:rPr>
                <w:rStyle w:val="52"/>
                <w:rFonts w:hint="default" w:ascii="宋体" w:hAnsi="宋体" w:eastAsia="宋体" w:cs="宋体"/>
                <w:color w:val="auto"/>
                <w:kern w:val="2"/>
                <w:sz w:val="21"/>
                <w:szCs w:val="21"/>
                <w:highlight w:val="none"/>
              </w:rPr>
            </w:pPr>
            <w:r>
              <w:rPr>
                <w:rStyle w:val="52"/>
                <w:rFonts w:hint="default" w:ascii="宋体" w:hAnsi="宋体" w:eastAsia="宋体" w:cs="宋体"/>
                <w:color w:val="auto"/>
                <w:kern w:val="2"/>
                <w:sz w:val="21"/>
                <w:szCs w:val="21"/>
                <w:highlight w:val="none"/>
              </w:rPr>
              <w:t>6、2个10GE光口，配置2个多模光模块；</w:t>
            </w:r>
          </w:p>
          <w:p>
            <w:pPr>
              <w:spacing w:after="0" w:line="360" w:lineRule="auto"/>
              <w:textAlignment w:val="center"/>
              <w:rPr>
                <w:rStyle w:val="52"/>
                <w:rFonts w:hint="default" w:ascii="宋体" w:hAnsi="宋体" w:eastAsia="宋体" w:cs="宋体"/>
                <w:color w:val="auto"/>
                <w:kern w:val="2"/>
                <w:sz w:val="21"/>
                <w:szCs w:val="21"/>
                <w:highlight w:val="none"/>
              </w:rPr>
            </w:pPr>
            <w:r>
              <w:rPr>
                <w:rStyle w:val="52"/>
                <w:rFonts w:hint="default" w:ascii="宋体" w:hAnsi="宋体" w:eastAsia="宋体" w:cs="宋体"/>
                <w:color w:val="auto"/>
                <w:kern w:val="2"/>
                <w:sz w:val="21"/>
                <w:szCs w:val="21"/>
                <w:highlight w:val="none"/>
              </w:rPr>
              <w:t>7、▲标配集成不小于32M显卡(提供官网材料截图证明并加盖投标人公章)；</w:t>
            </w:r>
          </w:p>
          <w:p>
            <w:pPr>
              <w:spacing w:after="0" w:line="360" w:lineRule="auto"/>
              <w:textAlignment w:val="center"/>
              <w:rPr>
                <w:rStyle w:val="52"/>
                <w:rFonts w:hint="default" w:ascii="宋体" w:hAnsi="宋体" w:eastAsia="宋体" w:cs="宋体"/>
                <w:color w:val="auto"/>
                <w:kern w:val="2"/>
                <w:sz w:val="21"/>
                <w:szCs w:val="21"/>
                <w:highlight w:val="none"/>
              </w:rPr>
            </w:pPr>
            <w:r>
              <w:rPr>
                <w:rStyle w:val="52"/>
                <w:rFonts w:hint="default" w:ascii="宋体" w:hAnsi="宋体" w:eastAsia="宋体" w:cs="宋体"/>
                <w:color w:val="auto"/>
                <w:kern w:val="2"/>
                <w:sz w:val="21"/>
                <w:szCs w:val="21"/>
                <w:highlight w:val="none"/>
              </w:rPr>
              <w:t>8、配置冗余电源，并提供配套的电源连接线，单电源失效不影响主机运行；</w:t>
            </w:r>
          </w:p>
          <w:p>
            <w:pPr>
              <w:spacing w:after="0" w:line="360" w:lineRule="auto"/>
              <w:textAlignment w:val="center"/>
              <w:rPr>
                <w:rStyle w:val="52"/>
                <w:rFonts w:hint="default" w:ascii="宋体" w:hAnsi="宋体" w:eastAsia="宋体" w:cs="宋体"/>
                <w:color w:val="auto"/>
                <w:kern w:val="2"/>
                <w:sz w:val="21"/>
                <w:szCs w:val="21"/>
                <w:highlight w:val="none"/>
              </w:rPr>
            </w:pPr>
            <w:r>
              <w:rPr>
                <w:rStyle w:val="52"/>
                <w:rFonts w:hint="default" w:ascii="宋体" w:hAnsi="宋体" w:eastAsia="宋体" w:cs="宋体"/>
                <w:color w:val="auto"/>
                <w:kern w:val="2"/>
                <w:sz w:val="21"/>
                <w:szCs w:val="21"/>
                <w:highlight w:val="none"/>
              </w:rPr>
              <w:t>9、▲考虑到设备管理安全性，提供国产管理芯片（提供国产厂商发布的产品简介及官方网站链接证明，芯片厂家为国产厂家）；</w:t>
            </w:r>
          </w:p>
        </w:tc>
        <w:tc>
          <w:tcPr>
            <w:tcW w:w="636" w:type="dxa"/>
            <w:tcBorders>
              <w:top w:val="single" w:color="000000" w:sz="4" w:space="0"/>
              <w:left w:val="single" w:color="000000" w:sz="4" w:space="0"/>
              <w:bottom w:val="nil"/>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w:t>
            </w:r>
          </w:p>
        </w:tc>
        <w:tc>
          <w:tcPr>
            <w:tcW w:w="448" w:type="dxa"/>
            <w:tcBorders>
              <w:top w:val="single" w:color="000000" w:sz="4" w:space="0"/>
              <w:left w:val="single" w:color="000000" w:sz="4" w:space="0"/>
              <w:bottom w:val="nil"/>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台</w:t>
            </w:r>
          </w:p>
        </w:tc>
      </w:tr>
      <w:tr>
        <w:tblPrEx>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8</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检索节点服务器（政务外网）</w:t>
            </w:r>
          </w:p>
        </w:tc>
        <w:tc>
          <w:tcPr>
            <w:tcW w:w="5823" w:type="dxa"/>
            <w:tcBorders>
              <w:top w:val="single" w:color="000000" w:sz="4" w:space="0"/>
              <w:left w:val="single" w:color="000000" w:sz="4" w:space="0"/>
              <w:bottom w:val="nil"/>
              <w:right w:val="single" w:color="000000" w:sz="4" w:space="0"/>
            </w:tcBorders>
            <w:shd w:val="clear" w:color="auto" w:fill="auto"/>
            <w:vAlign w:val="center"/>
          </w:tcPr>
          <w:p>
            <w:pPr>
              <w:numPr>
                <w:ilvl w:val="0"/>
                <w:numId w:val="1"/>
              </w:numPr>
              <w:spacing w:after="0" w:line="360" w:lineRule="auto"/>
              <w:textAlignment w:val="center"/>
              <w:rPr>
                <w:rStyle w:val="49"/>
                <w:rFonts w:hint="default" w:ascii="宋体" w:hAnsi="宋体" w:eastAsia="宋体" w:cs="宋体"/>
                <w:color w:val="auto"/>
                <w:sz w:val="21"/>
                <w:szCs w:val="21"/>
                <w:highlight w:val="none"/>
                <w:lang w:bidi="ar"/>
              </w:rPr>
            </w:pPr>
            <w:r>
              <w:rPr>
                <w:rStyle w:val="52"/>
                <w:rFonts w:hint="default" w:ascii="宋体" w:hAnsi="宋体" w:eastAsia="宋体" w:cs="宋体"/>
                <w:color w:val="auto"/>
                <w:sz w:val="21"/>
                <w:szCs w:val="21"/>
                <w:highlight w:val="none"/>
                <w:lang w:bidi="ar"/>
              </w:rPr>
              <w:t>▲配置至少两颗18核国产处理器，主频应不低于2.6GHz，缓存应不低于45MB</w:t>
            </w:r>
            <w:r>
              <w:rPr>
                <w:rStyle w:val="49"/>
                <w:rFonts w:hint="default" w:ascii="宋体" w:hAnsi="宋体" w:eastAsia="宋体" w:cs="宋体"/>
                <w:color w:val="auto"/>
                <w:sz w:val="21"/>
                <w:szCs w:val="21"/>
                <w:highlight w:val="none"/>
                <w:lang w:bidi="ar"/>
              </w:rPr>
              <w:t>（提供第三方检测机构出具的检验报告复印件证明</w:t>
            </w:r>
            <w:r>
              <w:rPr>
                <w:rFonts w:hint="eastAsia" w:ascii="宋体" w:hAnsi="宋体" w:eastAsia="宋体" w:cs="宋体"/>
                <w:color w:val="auto"/>
                <w:sz w:val="21"/>
                <w:szCs w:val="21"/>
                <w:highlight w:val="none"/>
                <w:lang w:bidi="ar"/>
              </w:rPr>
              <w:t>并加盖投标人公章</w:t>
            </w:r>
            <w:r>
              <w:rPr>
                <w:rStyle w:val="49"/>
                <w:rFonts w:hint="default" w:ascii="宋体" w:hAnsi="宋体" w:eastAsia="宋体" w:cs="宋体"/>
                <w:color w:val="auto"/>
                <w:sz w:val="21"/>
                <w:szCs w:val="21"/>
                <w:highlight w:val="none"/>
                <w:lang w:bidi="ar"/>
              </w:rPr>
              <w:t>）</w:t>
            </w:r>
            <w:r>
              <w:rPr>
                <w:rStyle w:val="52"/>
                <w:rFonts w:hint="default" w:ascii="宋体" w:hAnsi="宋体" w:eastAsia="宋体" w:cs="宋体"/>
                <w:color w:val="auto"/>
                <w:sz w:val="21"/>
                <w:szCs w:val="21"/>
                <w:highlight w:val="none"/>
                <w:lang w:bidi="ar"/>
              </w:rPr>
              <w:t>；</w:t>
            </w:r>
            <w:r>
              <w:rPr>
                <w:rStyle w:val="52"/>
                <w:rFonts w:hint="default" w:ascii="宋体" w:hAnsi="宋体" w:eastAsia="宋体" w:cs="宋体"/>
                <w:color w:val="auto"/>
                <w:sz w:val="21"/>
                <w:szCs w:val="21"/>
                <w:highlight w:val="none"/>
                <w:lang w:bidi="ar"/>
              </w:rPr>
              <w:br w:type="textWrapping"/>
            </w:r>
            <w:r>
              <w:rPr>
                <w:rStyle w:val="52"/>
                <w:rFonts w:hint="default" w:ascii="宋体" w:hAnsi="宋体" w:eastAsia="宋体" w:cs="宋体"/>
                <w:color w:val="auto"/>
                <w:sz w:val="21"/>
                <w:szCs w:val="21"/>
                <w:highlight w:val="none"/>
                <w:lang w:bidi="ar"/>
              </w:rPr>
              <w:t>2、▲内存配置不低于512GB，采用DDR4、2993MHZ及以上规格，支持内存扩展，可提供内存插槽≥32个，可组成≥16个DDR4高速通道</w:t>
            </w:r>
            <w:r>
              <w:rPr>
                <w:rStyle w:val="49"/>
                <w:rFonts w:hint="default" w:ascii="宋体" w:hAnsi="宋体" w:eastAsia="宋体" w:cs="宋体"/>
                <w:color w:val="auto"/>
                <w:sz w:val="21"/>
                <w:szCs w:val="21"/>
                <w:highlight w:val="none"/>
                <w:lang w:bidi="ar"/>
              </w:rPr>
              <w:t>（提供第三方检测机构出具的检验报告复印件证明</w:t>
            </w:r>
            <w:r>
              <w:rPr>
                <w:rFonts w:hint="eastAsia" w:ascii="宋体" w:hAnsi="宋体" w:eastAsia="宋体" w:cs="宋体"/>
                <w:color w:val="auto"/>
                <w:sz w:val="21"/>
                <w:szCs w:val="21"/>
                <w:highlight w:val="none"/>
                <w:lang w:bidi="ar"/>
              </w:rPr>
              <w:t>并加盖投标人公章</w:t>
            </w:r>
            <w:r>
              <w:rPr>
                <w:rStyle w:val="49"/>
                <w:rFonts w:hint="default" w:ascii="宋体" w:hAnsi="宋体" w:eastAsia="宋体" w:cs="宋体"/>
                <w:color w:val="auto"/>
                <w:sz w:val="21"/>
                <w:szCs w:val="21"/>
                <w:highlight w:val="none"/>
                <w:lang w:bidi="ar"/>
              </w:rPr>
              <w:t>）</w:t>
            </w:r>
            <w:r>
              <w:rPr>
                <w:rStyle w:val="52"/>
                <w:rFonts w:hint="default" w:ascii="宋体" w:hAnsi="宋体" w:eastAsia="宋体" w:cs="宋体"/>
                <w:color w:val="auto"/>
                <w:sz w:val="21"/>
                <w:szCs w:val="21"/>
                <w:highlight w:val="none"/>
                <w:lang w:bidi="ar"/>
              </w:rPr>
              <w:t>；</w:t>
            </w:r>
            <w:r>
              <w:rPr>
                <w:rStyle w:val="52"/>
                <w:rFonts w:hint="default" w:ascii="宋体" w:hAnsi="宋体" w:eastAsia="宋体" w:cs="宋体"/>
                <w:color w:val="auto"/>
                <w:sz w:val="21"/>
                <w:szCs w:val="21"/>
                <w:highlight w:val="none"/>
                <w:lang w:bidi="ar"/>
              </w:rPr>
              <w:br w:type="textWrapping"/>
            </w:r>
            <w:r>
              <w:rPr>
                <w:rStyle w:val="52"/>
                <w:rFonts w:hint="default" w:ascii="宋体" w:hAnsi="宋体" w:eastAsia="宋体" w:cs="宋体"/>
                <w:color w:val="auto"/>
                <w:sz w:val="21"/>
                <w:szCs w:val="21"/>
                <w:highlight w:val="none"/>
                <w:lang w:bidi="ar"/>
              </w:rPr>
              <w:t xml:space="preserve">3、设备应能安装在19″标准机架中，采用全模块化无线缆设计，独立主控模块、热插拔磁盘、独立电源模块； </w:t>
            </w:r>
            <w:r>
              <w:rPr>
                <w:rStyle w:val="52"/>
                <w:rFonts w:hint="default" w:ascii="宋体" w:hAnsi="宋体" w:eastAsia="宋体" w:cs="宋体"/>
                <w:color w:val="auto"/>
                <w:sz w:val="21"/>
                <w:szCs w:val="21"/>
                <w:highlight w:val="none"/>
                <w:lang w:bidi="ar"/>
              </w:rPr>
              <w:br w:type="textWrapping"/>
            </w:r>
            <w:r>
              <w:rPr>
                <w:rStyle w:val="52"/>
                <w:rFonts w:hint="default" w:ascii="宋体" w:hAnsi="宋体" w:eastAsia="宋体" w:cs="宋体"/>
                <w:color w:val="auto"/>
                <w:sz w:val="21"/>
                <w:szCs w:val="21"/>
                <w:highlight w:val="none"/>
                <w:lang w:bidi="ar"/>
              </w:rPr>
              <w:t>4、▲配置两个独立的元数据盘不小于960GB SSD，组成RAID1</w:t>
            </w:r>
            <w:r>
              <w:rPr>
                <w:rStyle w:val="49"/>
                <w:rFonts w:hint="default" w:ascii="宋体" w:hAnsi="宋体" w:eastAsia="宋体" w:cs="宋体"/>
                <w:color w:val="auto"/>
                <w:sz w:val="21"/>
                <w:szCs w:val="21"/>
                <w:highlight w:val="none"/>
                <w:lang w:bidi="ar"/>
              </w:rPr>
              <w:t>（提供第三方检测机构出具的检验报告复印件证明</w:t>
            </w:r>
            <w:r>
              <w:rPr>
                <w:rFonts w:hint="eastAsia" w:ascii="宋体" w:hAnsi="宋体" w:eastAsia="宋体" w:cs="宋体"/>
                <w:color w:val="auto"/>
                <w:sz w:val="21"/>
                <w:szCs w:val="21"/>
                <w:highlight w:val="none"/>
                <w:lang w:bidi="ar"/>
              </w:rPr>
              <w:t>并加盖投标人公章</w:t>
            </w:r>
            <w:r>
              <w:rPr>
                <w:rStyle w:val="49"/>
                <w:rFonts w:hint="default" w:ascii="宋体" w:hAnsi="宋体" w:eastAsia="宋体" w:cs="宋体"/>
                <w:color w:val="auto"/>
                <w:sz w:val="21"/>
                <w:szCs w:val="21"/>
                <w:highlight w:val="none"/>
                <w:lang w:bidi="ar"/>
              </w:rPr>
              <w:t>）；</w:t>
            </w:r>
            <w:r>
              <w:rPr>
                <w:rStyle w:val="52"/>
                <w:rFonts w:hint="default" w:ascii="宋体" w:hAnsi="宋体" w:eastAsia="宋体" w:cs="宋体"/>
                <w:color w:val="auto"/>
                <w:sz w:val="21"/>
                <w:szCs w:val="21"/>
                <w:highlight w:val="none"/>
                <w:lang w:bidi="ar"/>
              </w:rPr>
              <w:br w:type="textWrapping"/>
            </w:r>
            <w:r>
              <w:rPr>
                <w:rStyle w:val="52"/>
                <w:rFonts w:hint="default" w:ascii="宋体" w:hAnsi="宋体" w:eastAsia="宋体" w:cs="宋体"/>
                <w:color w:val="auto"/>
                <w:sz w:val="21"/>
                <w:szCs w:val="21"/>
                <w:highlight w:val="none"/>
                <w:lang w:bidi="ar"/>
              </w:rPr>
              <w:t>5、▲单设备支持磁盘数量≥12，支持配置8块单盘≥3.84TB SAS SSD硬盘，支持配置4块单盘≥3.2TB NVME SSD硬盘</w:t>
            </w:r>
            <w:r>
              <w:rPr>
                <w:rStyle w:val="49"/>
                <w:rFonts w:hint="default" w:ascii="宋体" w:hAnsi="宋体" w:eastAsia="宋体" w:cs="宋体"/>
                <w:color w:val="auto"/>
                <w:sz w:val="21"/>
                <w:szCs w:val="21"/>
                <w:highlight w:val="none"/>
                <w:lang w:bidi="ar"/>
              </w:rPr>
              <w:t>（提供第三方检测机构出具的检验报告复印件证明</w:t>
            </w:r>
            <w:r>
              <w:rPr>
                <w:rFonts w:hint="eastAsia" w:ascii="宋体" w:hAnsi="宋体" w:eastAsia="宋体" w:cs="宋体"/>
                <w:color w:val="auto"/>
                <w:sz w:val="21"/>
                <w:szCs w:val="21"/>
                <w:highlight w:val="none"/>
                <w:lang w:bidi="ar"/>
              </w:rPr>
              <w:t>并加盖投标人公章</w:t>
            </w:r>
            <w:r>
              <w:rPr>
                <w:rStyle w:val="49"/>
                <w:rFonts w:hint="default" w:ascii="宋体" w:hAnsi="宋体" w:eastAsia="宋体" w:cs="宋体"/>
                <w:color w:val="auto"/>
                <w:sz w:val="21"/>
                <w:szCs w:val="21"/>
                <w:highlight w:val="none"/>
                <w:lang w:bidi="ar"/>
              </w:rPr>
              <w:t>）</w:t>
            </w:r>
            <w:r>
              <w:rPr>
                <w:rStyle w:val="52"/>
                <w:rFonts w:hint="default" w:ascii="宋体" w:hAnsi="宋体" w:eastAsia="宋体" w:cs="宋体"/>
                <w:color w:val="auto"/>
                <w:sz w:val="21"/>
                <w:szCs w:val="21"/>
                <w:highlight w:val="none"/>
                <w:lang w:bidi="ar"/>
              </w:rPr>
              <w:t>；</w:t>
            </w:r>
            <w:r>
              <w:rPr>
                <w:rStyle w:val="52"/>
                <w:rFonts w:hint="default" w:ascii="宋体" w:hAnsi="宋体" w:eastAsia="宋体" w:cs="宋体"/>
                <w:color w:val="auto"/>
                <w:sz w:val="21"/>
                <w:szCs w:val="21"/>
                <w:highlight w:val="none"/>
                <w:lang w:bidi="ar"/>
              </w:rPr>
              <w:br w:type="textWrapping"/>
            </w:r>
            <w:r>
              <w:rPr>
                <w:rStyle w:val="52"/>
                <w:rFonts w:hint="default" w:ascii="宋体" w:hAnsi="宋体" w:eastAsia="宋体" w:cs="宋体"/>
                <w:color w:val="auto"/>
                <w:sz w:val="21"/>
                <w:szCs w:val="21"/>
                <w:highlight w:val="none"/>
                <w:lang w:bidi="ar"/>
              </w:rPr>
              <w:t>6、配置8个GE网口和4个10GE光口，含2个多模万兆光模块；；</w:t>
            </w:r>
            <w:r>
              <w:rPr>
                <w:rStyle w:val="52"/>
                <w:rFonts w:hint="default" w:ascii="宋体" w:hAnsi="宋体" w:eastAsia="宋体" w:cs="宋体"/>
                <w:color w:val="auto"/>
                <w:sz w:val="21"/>
                <w:szCs w:val="21"/>
                <w:highlight w:val="none"/>
                <w:lang w:bidi="ar"/>
              </w:rPr>
              <w:br w:type="textWrapping"/>
            </w:r>
            <w:r>
              <w:rPr>
                <w:rStyle w:val="52"/>
                <w:rFonts w:hint="default" w:ascii="宋体" w:hAnsi="宋体" w:eastAsia="宋体" w:cs="宋体"/>
                <w:color w:val="auto"/>
                <w:sz w:val="21"/>
                <w:szCs w:val="21"/>
                <w:highlight w:val="none"/>
                <w:lang w:bidi="ar"/>
              </w:rPr>
              <w:t>7、支持4个独立的风扇，支持单风扇失效；</w:t>
            </w:r>
            <w:r>
              <w:rPr>
                <w:rStyle w:val="52"/>
                <w:rFonts w:hint="default" w:ascii="宋体" w:hAnsi="宋体" w:eastAsia="宋体" w:cs="宋体"/>
                <w:color w:val="auto"/>
                <w:sz w:val="21"/>
                <w:szCs w:val="21"/>
                <w:highlight w:val="none"/>
                <w:lang w:bidi="ar"/>
              </w:rPr>
              <w:br w:type="textWrapping"/>
            </w:r>
            <w:r>
              <w:rPr>
                <w:rStyle w:val="52"/>
                <w:rFonts w:hint="default" w:ascii="宋体" w:hAnsi="宋体" w:eastAsia="宋体" w:cs="宋体"/>
                <w:color w:val="auto"/>
                <w:sz w:val="21"/>
                <w:szCs w:val="21"/>
                <w:highlight w:val="none"/>
                <w:lang w:bidi="ar"/>
              </w:rPr>
              <w:t>8、电源模块支持1+1冗余备份，支持独立维护；</w:t>
            </w:r>
            <w:r>
              <w:rPr>
                <w:rStyle w:val="52"/>
                <w:rFonts w:hint="default" w:ascii="宋体" w:hAnsi="宋体" w:eastAsia="宋体" w:cs="宋体"/>
                <w:color w:val="auto"/>
                <w:sz w:val="21"/>
                <w:szCs w:val="21"/>
                <w:highlight w:val="none"/>
                <w:lang w:bidi="ar"/>
              </w:rPr>
              <w:br w:type="textWrapping"/>
            </w:r>
            <w:r>
              <w:rPr>
                <w:rStyle w:val="52"/>
                <w:rFonts w:hint="default" w:ascii="宋体" w:hAnsi="宋体" w:eastAsia="宋体" w:cs="宋体"/>
                <w:color w:val="auto"/>
                <w:sz w:val="21"/>
                <w:szCs w:val="21"/>
                <w:highlight w:val="none"/>
                <w:lang w:bidi="ar"/>
              </w:rPr>
              <w:t>9、配置冗余白金牌电源；</w:t>
            </w:r>
            <w:r>
              <w:rPr>
                <w:rStyle w:val="52"/>
                <w:rFonts w:hint="default" w:ascii="宋体" w:hAnsi="宋体" w:eastAsia="宋体" w:cs="宋体"/>
                <w:color w:val="auto"/>
                <w:sz w:val="21"/>
                <w:szCs w:val="21"/>
                <w:highlight w:val="none"/>
                <w:lang w:bidi="ar"/>
              </w:rPr>
              <w:br w:type="textWrapping"/>
            </w:r>
            <w:r>
              <w:rPr>
                <w:rStyle w:val="52"/>
                <w:rFonts w:hint="default" w:ascii="宋体" w:hAnsi="宋体" w:eastAsia="宋体" w:cs="宋体"/>
                <w:color w:val="auto"/>
                <w:sz w:val="21"/>
                <w:szCs w:val="21"/>
                <w:highlight w:val="none"/>
                <w:lang w:bidi="ar"/>
              </w:rPr>
              <w:t>10、单节点支持不少于20亿条人脸/车辆/人体特性数据存储；</w:t>
            </w:r>
            <w:r>
              <w:rPr>
                <w:rStyle w:val="52"/>
                <w:rFonts w:hint="default" w:ascii="宋体" w:hAnsi="宋体" w:eastAsia="宋体" w:cs="宋体"/>
                <w:color w:val="auto"/>
                <w:sz w:val="21"/>
                <w:szCs w:val="21"/>
                <w:highlight w:val="none"/>
                <w:lang w:bidi="ar"/>
              </w:rPr>
              <w:br w:type="textWrapping"/>
            </w:r>
            <w:r>
              <w:rPr>
                <w:rStyle w:val="52"/>
                <w:rFonts w:hint="default" w:ascii="宋体" w:hAnsi="宋体" w:eastAsia="宋体" w:cs="宋体"/>
                <w:color w:val="auto"/>
                <w:sz w:val="21"/>
                <w:szCs w:val="21"/>
                <w:highlight w:val="none"/>
                <w:lang w:bidi="ar"/>
              </w:rPr>
              <w:t>11、单节点支持不少于2亿条人脸/车辆/人体特性值热数据检索，检索响应时间小于3秒；</w:t>
            </w:r>
            <w:r>
              <w:rPr>
                <w:rStyle w:val="52"/>
                <w:rFonts w:hint="default" w:ascii="宋体" w:hAnsi="宋体" w:eastAsia="宋体" w:cs="宋体"/>
                <w:color w:val="auto"/>
                <w:sz w:val="21"/>
                <w:szCs w:val="21"/>
                <w:highlight w:val="none"/>
                <w:lang w:bidi="ar"/>
              </w:rPr>
              <w:br w:type="textWrapping"/>
            </w:r>
            <w:r>
              <w:rPr>
                <w:rStyle w:val="52"/>
                <w:rFonts w:hint="default" w:ascii="宋体" w:hAnsi="宋体" w:eastAsia="宋体" w:cs="宋体"/>
                <w:color w:val="auto"/>
                <w:sz w:val="21"/>
                <w:szCs w:val="21"/>
                <w:highlight w:val="none"/>
                <w:lang w:bidi="ar"/>
              </w:rPr>
              <w:t>12、▲单节点支持不少于15亿条人脸/15亿车辆/15亿人体结构化数据存储和检索</w:t>
            </w:r>
            <w:r>
              <w:rPr>
                <w:rStyle w:val="49"/>
                <w:rFonts w:hint="default" w:ascii="宋体" w:hAnsi="宋体" w:eastAsia="宋体" w:cs="宋体"/>
                <w:color w:val="auto"/>
                <w:sz w:val="21"/>
                <w:szCs w:val="21"/>
                <w:highlight w:val="none"/>
                <w:lang w:bidi="ar"/>
              </w:rPr>
              <w:t>（提供第三方检测机构出具的检验报告复印件证明</w:t>
            </w:r>
            <w:r>
              <w:rPr>
                <w:rFonts w:hint="eastAsia" w:ascii="宋体" w:hAnsi="宋体" w:eastAsia="宋体" w:cs="宋体"/>
                <w:color w:val="auto"/>
                <w:sz w:val="21"/>
                <w:szCs w:val="21"/>
                <w:highlight w:val="none"/>
                <w:lang w:bidi="ar"/>
              </w:rPr>
              <w:t>并加盖投标人公章</w:t>
            </w:r>
            <w:r>
              <w:rPr>
                <w:rStyle w:val="49"/>
                <w:rFonts w:hint="default" w:ascii="宋体" w:hAnsi="宋体" w:eastAsia="宋体" w:cs="宋体"/>
                <w:color w:val="auto"/>
                <w:sz w:val="21"/>
                <w:szCs w:val="21"/>
                <w:highlight w:val="none"/>
                <w:lang w:bidi="ar"/>
              </w:rPr>
              <w:t>）；</w:t>
            </w:r>
          </w:p>
          <w:p>
            <w:pPr>
              <w:spacing w:after="0" w:line="360" w:lineRule="auto"/>
              <w:textAlignment w:val="center"/>
              <w:rPr>
                <w:rFonts w:ascii="宋体" w:hAnsi="宋体" w:eastAsia="宋体" w:cs="宋体"/>
                <w:color w:val="auto"/>
                <w:sz w:val="21"/>
                <w:szCs w:val="21"/>
                <w:highlight w:val="none"/>
              </w:rPr>
            </w:pPr>
            <w:r>
              <w:rPr>
                <w:rStyle w:val="52"/>
                <w:rFonts w:hint="default" w:ascii="宋体" w:hAnsi="宋体" w:eastAsia="宋体" w:cs="宋体"/>
                <w:color w:val="auto"/>
                <w:sz w:val="21"/>
                <w:szCs w:val="21"/>
                <w:highlight w:val="none"/>
                <w:lang w:bidi="ar"/>
              </w:rPr>
              <w:t>13、单节点支持不少于3000万人脸静态库，系统支持不少于1亿人脸静态库；</w:t>
            </w:r>
          </w:p>
        </w:tc>
        <w:tc>
          <w:tcPr>
            <w:tcW w:w="636" w:type="dxa"/>
            <w:tcBorders>
              <w:top w:val="single" w:color="000000" w:sz="4" w:space="0"/>
              <w:left w:val="single" w:color="000000" w:sz="4" w:space="0"/>
              <w:bottom w:val="nil"/>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w:t>
            </w:r>
          </w:p>
        </w:tc>
        <w:tc>
          <w:tcPr>
            <w:tcW w:w="448" w:type="dxa"/>
            <w:tcBorders>
              <w:top w:val="single" w:color="000000" w:sz="4" w:space="0"/>
              <w:left w:val="single" w:color="000000" w:sz="4" w:space="0"/>
              <w:bottom w:val="nil"/>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台</w:t>
            </w:r>
          </w:p>
        </w:tc>
      </w:tr>
      <w:tr>
        <w:tblPrEx>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9</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归档聚类引擎服务器（政务外网）</w:t>
            </w:r>
          </w:p>
        </w:tc>
        <w:tc>
          <w:tcPr>
            <w:tcW w:w="58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Style w:val="52"/>
                <w:rFonts w:hint="default" w:ascii="宋体" w:hAnsi="宋体" w:eastAsia="宋体" w:cs="宋体"/>
                <w:color w:val="auto"/>
                <w:sz w:val="21"/>
                <w:szCs w:val="21"/>
                <w:highlight w:val="none"/>
                <w:lang w:bidi="ar"/>
              </w:rPr>
              <w:t>1、▲配置至少两颗18核国产处理器，主频应不低于2.6GHz，缓存应不低于45MB</w:t>
            </w:r>
            <w:r>
              <w:rPr>
                <w:rStyle w:val="49"/>
                <w:rFonts w:hint="default" w:ascii="宋体" w:hAnsi="宋体" w:eastAsia="宋体" w:cs="宋体"/>
                <w:color w:val="auto"/>
                <w:sz w:val="21"/>
                <w:szCs w:val="21"/>
                <w:highlight w:val="none"/>
                <w:lang w:bidi="ar"/>
              </w:rPr>
              <w:t>（提供第三方检测机构出具的检验报告复印件证明</w:t>
            </w:r>
            <w:r>
              <w:rPr>
                <w:rFonts w:hint="eastAsia" w:ascii="宋体" w:hAnsi="宋体" w:eastAsia="宋体" w:cs="宋体"/>
                <w:color w:val="auto"/>
                <w:sz w:val="21"/>
                <w:szCs w:val="21"/>
                <w:highlight w:val="none"/>
                <w:lang w:bidi="ar"/>
              </w:rPr>
              <w:t>并加盖投标人公章</w:t>
            </w:r>
            <w:r>
              <w:rPr>
                <w:rStyle w:val="49"/>
                <w:rFonts w:hint="default" w:ascii="宋体" w:hAnsi="宋体" w:eastAsia="宋体" w:cs="宋体"/>
                <w:color w:val="auto"/>
                <w:sz w:val="21"/>
                <w:szCs w:val="21"/>
                <w:highlight w:val="none"/>
                <w:lang w:bidi="ar"/>
              </w:rPr>
              <w:t>）</w:t>
            </w:r>
            <w:r>
              <w:rPr>
                <w:rStyle w:val="52"/>
                <w:rFonts w:hint="default" w:ascii="宋体" w:hAnsi="宋体" w:eastAsia="宋体" w:cs="宋体"/>
                <w:color w:val="auto"/>
                <w:sz w:val="21"/>
                <w:szCs w:val="21"/>
                <w:highlight w:val="none"/>
                <w:lang w:bidi="ar"/>
              </w:rPr>
              <w:t>；</w:t>
            </w:r>
            <w:r>
              <w:rPr>
                <w:rStyle w:val="52"/>
                <w:rFonts w:hint="default" w:ascii="宋体" w:hAnsi="宋体" w:eastAsia="宋体" w:cs="宋体"/>
                <w:color w:val="auto"/>
                <w:sz w:val="21"/>
                <w:szCs w:val="21"/>
                <w:highlight w:val="none"/>
                <w:lang w:bidi="ar"/>
              </w:rPr>
              <w:br w:type="textWrapping"/>
            </w:r>
            <w:r>
              <w:rPr>
                <w:rStyle w:val="52"/>
                <w:rFonts w:hint="default" w:ascii="宋体" w:hAnsi="宋体" w:eastAsia="宋体" w:cs="宋体"/>
                <w:color w:val="auto"/>
                <w:sz w:val="21"/>
                <w:szCs w:val="21"/>
                <w:highlight w:val="none"/>
                <w:lang w:bidi="ar"/>
              </w:rPr>
              <w:t>2、▲内存配置不低于384GB，采用DDR4</w:t>
            </w:r>
            <w:r>
              <w:rPr>
                <w:rStyle w:val="52"/>
                <w:rFonts w:hint="eastAsia" w:ascii="宋体" w:hAnsi="宋体" w:eastAsia="宋体" w:cs="宋体"/>
                <w:color w:val="auto"/>
                <w:sz w:val="21"/>
                <w:szCs w:val="21"/>
                <w:highlight w:val="none"/>
                <w:lang w:val="en-US" w:eastAsia="zh-CN" w:bidi="ar"/>
              </w:rPr>
              <w:t xml:space="preserve"> </w:t>
            </w:r>
            <w:r>
              <w:rPr>
                <w:rStyle w:val="52"/>
                <w:rFonts w:hint="default" w:ascii="宋体" w:hAnsi="宋体" w:eastAsia="宋体" w:cs="宋体"/>
                <w:color w:val="auto"/>
                <w:sz w:val="21"/>
                <w:szCs w:val="21"/>
                <w:highlight w:val="none"/>
                <w:lang w:bidi="ar"/>
              </w:rPr>
              <w:t>2993MHZ或以上规格，支持内存扩展，可提供内存插槽≥32个（单卡槽内存支持64GB），可组成≥16个DDR4高速通道</w:t>
            </w:r>
            <w:r>
              <w:rPr>
                <w:rStyle w:val="49"/>
                <w:rFonts w:hint="default" w:ascii="宋体" w:hAnsi="宋体" w:eastAsia="宋体" w:cs="宋体"/>
                <w:color w:val="auto"/>
                <w:sz w:val="21"/>
                <w:szCs w:val="21"/>
                <w:highlight w:val="none"/>
                <w:lang w:bidi="ar"/>
              </w:rPr>
              <w:t>（提供第三方检测机构出具的检验报告复印件证明</w:t>
            </w:r>
            <w:r>
              <w:rPr>
                <w:rFonts w:hint="eastAsia" w:ascii="宋体" w:hAnsi="宋体" w:eastAsia="宋体" w:cs="宋体"/>
                <w:color w:val="auto"/>
                <w:sz w:val="21"/>
                <w:szCs w:val="21"/>
                <w:highlight w:val="none"/>
                <w:lang w:bidi="ar"/>
              </w:rPr>
              <w:t>并加盖投标人公章</w:t>
            </w:r>
            <w:r>
              <w:rPr>
                <w:rStyle w:val="49"/>
                <w:rFonts w:hint="default" w:ascii="宋体" w:hAnsi="宋体" w:eastAsia="宋体" w:cs="宋体"/>
                <w:color w:val="auto"/>
                <w:sz w:val="21"/>
                <w:szCs w:val="21"/>
                <w:highlight w:val="none"/>
                <w:lang w:bidi="ar"/>
              </w:rPr>
              <w:t>）</w:t>
            </w:r>
            <w:r>
              <w:rPr>
                <w:rStyle w:val="52"/>
                <w:rFonts w:hint="default" w:ascii="宋体" w:hAnsi="宋体" w:eastAsia="宋体" w:cs="宋体"/>
                <w:color w:val="auto"/>
                <w:sz w:val="21"/>
                <w:szCs w:val="21"/>
                <w:highlight w:val="none"/>
                <w:lang w:bidi="ar"/>
              </w:rPr>
              <w:t>；</w:t>
            </w:r>
            <w:r>
              <w:rPr>
                <w:rStyle w:val="52"/>
                <w:rFonts w:hint="default" w:ascii="宋体" w:hAnsi="宋体" w:eastAsia="宋体" w:cs="宋体"/>
                <w:color w:val="auto"/>
                <w:sz w:val="21"/>
                <w:szCs w:val="21"/>
                <w:highlight w:val="none"/>
                <w:lang w:bidi="ar"/>
              </w:rPr>
              <w:br w:type="textWrapping"/>
            </w:r>
            <w:r>
              <w:rPr>
                <w:rStyle w:val="52"/>
                <w:rFonts w:hint="default" w:ascii="宋体" w:hAnsi="宋体" w:eastAsia="宋体" w:cs="宋体"/>
                <w:color w:val="auto"/>
                <w:sz w:val="21"/>
                <w:szCs w:val="21"/>
                <w:highlight w:val="none"/>
                <w:lang w:bidi="ar"/>
              </w:rPr>
              <w:t xml:space="preserve">3、设备应能安装在19″标准机架中，采用全模块化无线缆设计，独立主控模块、热插拔磁盘、独立电源模块； </w:t>
            </w:r>
            <w:r>
              <w:rPr>
                <w:rStyle w:val="52"/>
                <w:rFonts w:hint="default" w:ascii="宋体" w:hAnsi="宋体" w:eastAsia="宋体" w:cs="宋体"/>
                <w:color w:val="auto"/>
                <w:sz w:val="21"/>
                <w:szCs w:val="21"/>
                <w:highlight w:val="none"/>
                <w:lang w:bidi="ar"/>
              </w:rPr>
              <w:br w:type="textWrapping"/>
            </w:r>
            <w:r>
              <w:rPr>
                <w:rStyle w:val="52"/>
                <w:rFonts w:hint="default" w:ascii="宋体" w:hAnsi="宋体" w:eastAsia="宋体" w:cs="宋体"/>
                <w:color w:val="auto"/>
                <w:sz w:val="21"/>
                <w:szCs w:val="21"/>
                <w:highlight w:val="none"/>
                <w:lang w:bidi="ar"/>
              </w:rPr>
              <w:t>4、单设备应支持配置不少于6块智能分析加速卡；</w:t>
            </w:r>
            <w:r>
              <w:rPr>
                <w:rStyle w:val="52"/>
                <w:rFonts w:hint="default" w:ascii="宋体" w:hAnsi="宋体" w:eastAsia="宋体" w:cs="宋体"/>
                <w:color w:val="auto"/>
                <w:sz w:val="21"/>
                <w:szCs w:val="21"/>
                <w:highlight w:val="none"/>
                <w:lang w:bidi="ar"/>
              </w:rPr>
              <w:br w:type="textWrapping"/>
            </w:r>
            <w:r>
              <w:rPr>
                <w:rStyle w:val="52"/>
                <w:rFonts w:hint="default" w:ascii="宋体" w:hAnsi="宋体" w:eastAsia="宋体" w:cs="宋体"/>
                <w:color w:val="auto"/>
                <w:sz w:val="21"/>
                <w:szCs w:val="21"/>
                <w:highlight w:val="none"/>
                <w:lang w:bidi="ar"/>
              </w:rPr>
              <w:t>5、▲配置两个独立的元数据盘不小于960GB SSD，组成RAID1</w:t>
            </w:r>
            <w:r>
              <w:rPr>
                <w:rStyle w:val="49"/>
                <w:rFonts w:hint="default" w:ascii="宋体" w:hAnsi="宋体" w:eastAsia="宋体" w:cs="宋体"/>
                <w:color w:val="auto"/>
                <w:sz w:val="21"/>
                <w:szCs w:val="21"/>
                <w:highlight w:val="none"/>
                <w:lang w:bidi="ar"/>
              </w:rPr>
              <w:t>（提供第三方检测机构出具的检验报告复印件证明</w:t>
            </w:r>
            <w:r>
              <w:rPr>
                <w:rFonts w:hint="eastAsia" w:ascii="宋体" w:hAnsi="宋体" w:eastAsia="宋体" w:cs="宋体"/>
                <w:color w:val="auto"/>
                <w:sz w:val="21"/>
                <w:szCs w:val="21"/>
                <w:highlight w:val="none"/>
                <w:lang w:bidi="ar"/>
              </w:rPr>
              <w:t>并加盖投标人公章</w:t>
            </w:r>
            <w:r>
              <w:rPr>
                <w:rStyle w:val="49"/>
                <w:rFonts w:hint="default" w:ascii="宋体" w:hAnsi="宋体" w:eastAsia="宋体" w:cs="宋体"/>
                <w:color w:val="auto"/>
                <w:sz w:val="21"/>
                <w:szCs w:val="21"/>
                <w:highlight w:val="none"/>
                <w:lang w:bidi="ar"/>
              </w:rPr>
              <w:t>）</w:t>
            </w:r>
            <w:r>
              <w:rPr>
                <w:rStyle w:val="52"/>
                <w:rFonts w:hint="default" w:ascii="宋体" w:hAnsi="宋体" w:eastAsia="宋体" w:cs="宋体"/>
                <w:color w:val="auto"/>
                <w:sz w:val="21"/>
                <w:szCs w:val="21"/>
                <w:highlight w:val="none"/>
                <w:lang w:bidi="ar"/>
              </w:rPr>
              <w:br w:type="textWrapping"/>
            </w:r>
            <w:r>
              <w:rPr>
                <w:rStyle w:val="52"/>
                <w:rFonts w:hint="default" w:ascii="宋体" w:hAnsi="宋体" w:eastAsia="宋体" w:cs="宋体"/>
                <w:color w:val="auto"/>
                <w:sz w:val="21"/>
                <w:szCs w:val="21"/>
                <w:highlight w:val="none"/>
                <w:lang w:bidi="ar"/>
              </w:rPr>
              <w:t>6、单设备支持磁盘数量≥8，单盘≥3.84TB SAS SSD硬盘；</w:t>
            </w:r>
            <w:r>
              <w:rPr>
                <w:rStyle w:val="52"/>
                <w:rFonts w:hint="default" w:ascii="宋体" w:hAnsi="宋体" w:eastAsia="宋体" w:cs="宋体"/>
                <w:color w:val="auto"/>
                <w:sz w:val="21"/>
                <w:szCs w:val="21"/>
                <w:highlight w:val="none"/>
                <w:lang w:bidi="ar"/>
              </w:rPr>
              <w:br w:type="textWrapping"/>
            </w:r>
            <w:r>
              <w:rPr>
                <w:rStyle w:val="52"/>
                <w:rFonts w:hint="default" w:ascii="宋体" w:hAnsi="宋体" w:eastAsia="宋体" w:cs="宋体"/>
                <w:color w:val="auto"/>
                <w:sz w:val="21"/>
                <w:szCs w:val="21"/>
                <w:highlight w:val="none"/>
                <w:lang w:bidi="ar"/>
              </w:rPr>
              <w:t>7、支持硬盘缓启动功能；</w:t>
            </w:r>
            <w:r>
              <w:rPr>
                <w:rStyle w:val="52"/>
                <w:rFonts w:hint="default" w:ascii="宋体" w:hAnsi="宋体" w:eastAsia="宋体" w:cs="宋体"/>
                <w:color w:val="auto"/>
                <w:sz w:val="21"/>
                <w:szCs w:val="21"/>
                <w:highlight w:val="none"/>
                <w:lang w:bidi="ar"/>
              </w:rPr>
              <w:br w:type="textWrapping"/>
            </w:r>
            <w:r>
              <w:rPr>
                <w:rStyle w:val="52"/>
                <w:rFonts w:hint="default" w:ascii="宋体" w:hAnsi="宋体" w:eastAsia="宋体" w:cs="宋体"/>
                <w:color w:val="auto"/>
                <w:sz w:val="21"/>
                <w:szCs w:val="21"/>
                <w:highlight w:val="none"/>
                <w:lang w:bidi="ar"/>
              </w:rPr>
              <w:t>8、配置8个GE网口和4个10GE光口，含2个多模万兆光模块；</w:t>
            </w:r>
            <w:r>
              <w:rPr>
                <w:rStyle w:val="52"/>
                <w:rFonts w:hint="default" w:ascii="宋体" w:hAnsi="宋体" w:eastAsia="宋体" w:cs="宋体"/>
                <w:color w:val="auto"/>
                <w:sz w:val="21"/>
                <w:szCs w:val="21"/>
                <w:highlight w:val="none"/>
                <w:lang w:bidi="ar"/>
              </w:rPr>
              <w:br w:type="textWrapping"/>
            </w:r>
            <w:r>
              <w:rPr>
                <w:rStyle w:val="52"/>
                <w:rFonts w:hint="default" w:ascii="宋体" w:hAnsi="宋体" w:eastAsia="宋体" w:cs="宋体"/>
                <w:color w:val="auto"/>
                <w:sz w:val="21"/>
                <w:szCs w:val="21"/>
                <w:highlight w:val="none"/>
                <w:lang w:bidi="ar"/>
              </w:rPr>
              <w:t>9、支持4个独立的风扇，支持单风扇失效；</w:t>
            </w:r>
            <w:r>
              <w:rPr>
                <w:rStyle w:val="52"/>
                <w:rFonts w:hint="default" w:ascii="宋体" w:hAnsi="宋体" w:eastAsia="宋体" w:cs="宋体"/>
                <w:color w:val="auto"/>
                <w:sz w:val="21"/>
                <w:szCs w:val="21"/>
                <w:highlight w:val="none"/>
                <w:lang w:bidi="ar"/>
              </w:rPr>
              <w:br w:type="textWrapping"/>
            </w:r>
            <w:r>
              <w:rPr>
                <w:rStyle w:val="52"/>
                <w:rFonts w:hint="default" w:ascii="宋体" w:hAnsi="宋体" w:eastAsia="宋体" w:cs="宋体"/>
                <w:color w:val="auto"/>
                <w:sz w:val="21"/>
                <w:szCs w:val="21"/>
                <w:highlight w:val="none"/>
                <w:lang w:bidi="ar"/>
              </w:rPr>
              <w:t>10、电源模块支持1+1冗余备份，支持独立维护；</w:t>
            </w:r>
            <w:r>
              <w:rPr>
                <w:rStyle w:val="52"/>
                <w:rFonts w:hint="default" w:ascii="宋体" w:hAnsi="宋体" w:eastAsia="宋体" w:cs="宋体"/>
                <w:color w:val="auto"/>
                <w:sz w:val="21"/>
                <w:szCs w:val="21"/>
                <w:highlight w:val="none"/>
                <w:lang w:bidi="ar"/>
              </w:rPr>
              <w:br w:type="textWrapping"/>
            </w:r>
            <w:r>
              <w:rPr>
                <w:rStyle w:val="52"/>
                <w:rFonts w:hint="default" w:ascii="宋体" w:hAnsi="宋体" w:eastAsia="宋体" w:cs="宋体"/>
                <w:color w:val="auto"/>
                <w:sz w:val="21"/>
                <w:szCs w:val="21"/>
                <w:highlight w:val="none"/>
                <w:lang w:bidi="ar"/>
              </w:rPr>
              <w:t>11、配置冗余白金牌电源；</w:t>
            </w:r>
            <w:r>
              <w:rPr>
                <w:rStyle w:val="52"/>
                <w:rFonts w:hint="default" w:ascii="宋体" w:hAnsi="宋体" w:eastAsia="宋体" w:cs="宋体"/>
                <w:color w:val="auto"/>
                <w:sz w:val="21"/>
                <w:szCs w:val="21"/>
                <w:highlight w:val="none"/>
                <w:lang w:bidi="ar"/>
              </w:rPr>
              <w:br w:type="textWrapping"/>
            </w:r>
            <w:r>
              <w:rPr>
                <w:rStyle w:val="52"/>
                <w:rFonts w:hint="default" w:ascii="宋体" w:hAnsi="宋体" w:eastAsia="宋体" w:cs="宋体"/>
                <w:color w:val="auto"/>
                <w:sz w:val="21"/>
                <w:szCs w:val="21"/>
                <w:highlight w:val="none"/>
                <w:lang w:bidi="ar"/>
              </w:rPr>
              <w:t>12、▲分析性能，单节点支持：</w:t>
            </w:r>
            <w:r>
              <w:rPr>
                <w:rStyle w:val="52"/>
                <w:rFonts w:hint="default" w:ascii="宋体" w:hAnsi="宋体" w:eastAsia="宋体" w:cs="宋体"/>
                <w:color w:val="auto"/>
                <w:sz w:val="21"/>
                <w:szCs w:val="21"/>
                <w:highlight w:val="none"/>
                <w:lang w:bidi="ar"/>
              </w:rPr>
              <w:br w:type="textWrapping"/>
            </w:r>
            <w:r>
              <w:rPr>
                <w:rStyle w:val="52"/>
                <w:rFonts w:hint="default" w:ascii="宋体" w:hAnsi="宋体" w:eastAsia="宋体" w:cs="宋体"/>
                <w:color w:val="auto"/>
                <w:sz w:val="21"/>
                <w:szCs w:val="21"/>
                <w:highlight w:val="none"/>
                <w:lang w:bidi="ar"/>
              </w:rPr>
              <w:t>车辆视频分析≥384路，车辆图片分析≥1800张/秒；</w:t>
            </w:r>
            <w:r>
              <w:rPr>
                <w:rStyle w:val="52"/>
                <w:rFonts w:hint="default" w:ascii="宋体" w:hAnsi="宋体" w:eastAsia="宋体" w:cs="宋体"/>
                <w:color w:val="auto"/>
                <w:sz w:val="21"/>
                <w:szCs w:val="21"/>
                <w:highlight w:val="none"/>
                <w:lang w:bidi="ar"/>
              </w:rPr>
              <w:br w:type="textWrapping"/>
            </w:r>
            <w:r>
              <w:rPr>
                <w:rStyle w:val="52"/>
                <w:rFonts w:hint="default" w:ascii="宋体" w:hAnsi="宋体" w:eastAsia="宋体" w:cs="宋体"/>
                <w:color w:val="auto"/>
                <w:sz w:val="21"/>
                <w:szCs w:val="21"/>
                <w:highlight w:val="none"/>
                <w:lang w:bidi="ar"/>
              </w:rPr>
              <w:t>人脸视频分析≥288路，人脸图片分析≥2712张/秒；</w:t>
            </w:r>
            <w:r>
              <w:rPr>
                <w:rStyle w:val="52"/>
                <w:rFonts w:hint="default" w:ascii="宋体" w:hAnsi="宋体" w:eastAsia="宋体" w:cs="宋体"/>
                <w:color w:val="auto"/>
                <w:sz w:val="21"/>
                <w:szCs w:val="21"/>
                <w:highlight w:val="none"/>
                <w:lang w:bidi="ar"/>
              </w:rPr>
              <w:br w:type="textWrapping"/>
            </w:r>
            <w:r>
              <w:rPr>
                <w:rStyle w:val="52"/>
                <w:rFonts w:hint="default" w:ascii="宋体" w:hAnsi="宋体" w:eastAsia="宋体" w:cs="宋体"/>
                <w:color w:val="auto"/>
                <w:sz w:val="21"/>
                <w:szCs w:val="21"/>
                <w:highlight w:val="none"/>
                <w:lang w:bidi="ar"/>
              </w:rPr>
              <w:t>人体视频分析≥240路，人体图片分析≥1080张/秒；</w:t>
            </w:r>
            <w:r>
              <w:rPr>
                <w:rStyle w:val="52"/>
                <w:rFonts w:hint="default" w:ascii="宋体" w:hAnsi="宋体" w:eastAsia="宋体" w:cs="宋体"/>
                <w:color w:val="auto"/>
                <w:sz w:val="21"/>
                <w:szCs w:val="21"/>
                <w:highlight w:val="none"/>
                <w:lang w:bidi="ar"/>
              </w:rPr>
              <w:br w:type="textWrapping"/>
            </w:r>
            <w:r>
              <w:rPr>
                <w:rStyle w:val="52"/>
                <w:rFonts w:hint="default" w:ascii="宋体" w:hAnsi="宋体" w:eastAsia="宋体" w:cs="宋体"/>
                <w:color w:val="auto"/>
                <w:sz w:val="21"/>
                <w:szCs w:val="21"/>
                <w:highlight w:val="none"/>
                <w:lang w:bidi="ar"/>
              </w:rPr>
              <w:t>人车混合视频结构化分析≥360路；</w:t>
            </w:r>
            <w:r>
              <w:rPr>
                <w:rStyle w:val="52"/>
                <w:rFonts w:hint="default" w:ascii="宋体" w:hAnsi="宋体" w:eastAsia="宋体" w:cs="宋体"/>
                <w:color w:val="auto"/>
                <w:sz w:val="21"/>
                <w:szCs w:val="21"/>
                <w:highlight w:val="none"/>
                <w:lang w:bidi="ar"/>
              </w:rPr>
              <w:br w:type="textWrapping"/>
            </w:r>
            <w:r>
              <w:rPr>
                <w:rStyle w:val="52"/>
                <w:rFonts w:hint="default" w:ascii="宋体" w:hAnsi="宋体" w:eastAsia="宋体" w:cs="宋体"/>
                <w:color w:val="auto"/>
                <w:sz w:val="21"/>
                <w:szCs w:val="21"/>
                <w:highlight w:val="none"/>
                <w:lang w:bidi="ar"/>
              </w:rPr>
              <w:t>行为分析≥144路；</w:t>
            </w:r>
            <w:r>
              <w:rPr>
                <w:rStyle w:val="52"/>
                <w:rFonts w:hint="default" w:ascii="宋体" w:hAnsi="宋体" w:eastAsia="宋体" w:cs="宋体"/>
                <w:color w:val="auto"/>
                <w:sz w:val="21"/>
                <w:szCs w:val="21"/>
                <w:highlight w:val="none"/>
                <w:lang w:bidi="ar"/>
              </w:rPr>
              <w:br w:type="textWrapping"/>
            </w:r>
            <w:r>
              <w:rPr>
                <w:rStyle w:val="52"/>
                <w:rFonts w:hint="default" w:ascii="宋体" w:hAnsi="宋体" w:eastAsia="宋体" w:cs="宋体"/>
                <w:color w:val="auto"/>
                <w:sz w:val="21"/>
                <w:szCs w:val="21"/>
                <w:highlight w:val="none"/>
                <w:lang w:bidi="ar"/>
              </w:rPr>
              <w:t>视频摘要≥12路；</w:t>
            </w:r>
            <w:r>
              <w:rPr>
                <w:rStyle w:val="52"/>
                <w:rFonts w:hint="default" w:ascii="宋体" w:hAnsi="宋体" w:eastAsia="宋体" w:cs="宋体"/>
                <w:color w:val="auto"/>
                <w:sz w:val="21"/>
                <w:szCs w:val="21"/>
                <w:highlight w:val="none"/>
                <w:lang w:bidi="ar"/>
              </w:rPr>
              <w:br w:type="textWrapping"/>
            </w:r>
            <w:r>
              <w:rPr>
                <w:rStyle w:val="52"/>
                <w:rFonts w:hint="default" w:ascii="宋体" w:hAnsi="宋体" w:eastAsia="宋体" w:cs="宋体"/>
                <w:color w:val="auto"/>
                <w:sz w:val="21"/>
                <w:szCs w:val="21"/>
                <w:highlight w:val="none"/>
                <w:lang w:bidi="ar"/>
              </w:rPr>
              <w:t>视频搜索≥12路</w:t>
            </w:r>
            <w:r>
              <w:rPr>
                <w:rStyle w:val="49"/>
                <w:rFonts w:hint="default" w:ascii="宋体" w:hAnsi="宋体" w:eastAsia="宋体" w:cs="宋体"/>
                <w:color w:val="auto"/>
                <w:sz w:val="21"/>
                <w:szCs w:val="21"/>
                <w:highlight w:val="none"/>
                <w:lang w:bidi="ar"/>
              </w:rPr>
              <w:t>（提供第三方检测机构出具的检验报告复印件证明</w:t>
            </w:r>
            <w:r>
              <w:rPr>
                <w:rFonts w:hint="eastAsia" w:ascii="宋体" w:hAnsi="宋体" w:eastAsia="宋体" w:cs="宋体"/>
                <w:color w:val="auto"/>
                <w:sz w:val="21"/>
                <w:szCs w:val="21"/>
                <w:highlight w:val="none"/>
                <w:lang w:bidi="ar"/>
              </w:rPr>
              <w:t>并加盖投标人公章</w:t>
            </w:r>
            <w:r>
              <w:rPr>
                <w:rStyle w:val="49"/>
                <w:rFonts w:hint="default" w:ascii="宋体" w:hAnsi="宋体" w:eastAsia="宋体" w:cs="宋体"/>
                <w:color w:val="auto"/>
                <w:sz w:val="21"/>
                <w:szCs w:val="21"/>
                <w:highlight w:val="none"/>
                <w:lang w:bidi="ar"/>
              </w:rPr>
              <w:t>）；</w:t>
            </w:r>
            <w:r>
              <w:rPr>
                <w:rStyle w:val="52"/>
                <w:rFonts w:hint="default" w:ascii="宋体" w:hAnsi="宋体" w:eastAsia="宋体" w:cs="宋体"/>
                <w:color w:val="auto"/>
                <w:sz w:val="21"/>
                <w:szCs w:val="21"/>
                <w:highlight w:val="none"/>
                <w:lang w:bidi="ar"/>
              </w:rPr>
              <w:br w:type="textWrapping"/>
            </w:r>
            <w:r>
              <w:rPr>
                <w:rStyle w:val="52"/>
                <w:rFonts w:hint="default" w:ascii="宋体" w:hAnsi="宋体" w:eastAsia="宋体" w:cs="宋体"/>
                <w:color w:val="auto"/>
                <w:sz w:val="21"/>
                <w:szCs w:val="21"/>
                <w:highlight w:val="none"/>
                <w:lang w:bidi="ar"/>
              </w:rPr>
              <w:t>13、单节点支持不少于3000万人脸静态库，系统支持不少于1亿人脸静态库</w:t>
            </w:r>
          </w:p>
        </w:tc>
        <w:tc>
          <w:tcPr>
            <w:tcW w:w="636" w:type="dxa"/>
            <w:tcBorders>
              <w:top w:val="single" w:color="000000" w:sz="4" w:space="0"/>
              <w:left w:val="single" w:color="000000" w:sz="4" w:space="0"/>
              <w:bottom w:val="nil"/>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w:t>
            </w:r>
          </w:p>
        </w:tc>
        <w:tc>
          <w:tcPr>
            <w:tcW w:w="448" w:type="dxa"/>
            <w:tcBorders>
              <w:top w:val="single" w:color="000000" w:sz="4" w:space="0"/>
              <w:left w:val="single" w:color="000000" w:sz="4" w:space="0"/>
              <w:bottom w:val="nil"/>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台</w:t>
            </w:r>
          </w:p>
        </w:tc>
      </w:tr>
      <w:tr>
        <w:tblPrEx>
          <w:tblCellMar>
            <w:top w:w="0" w:type="dxa"/>
            <w:left w:w="108" w:type="dxa"/>
            <w:bottom w:w="0" w:type="dxa"/>
            <w:right w:w="108" w:type="dxa"/>
          </w:tblCellMar>
        </w:tblPrEx>
        <w:trPr>
          <w:trHeight w:val="28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布控服务器（政务外网）</w:t>
            </w:r>
          </w:p>
        </w:tc>
        <w:tc>
          <w:tcPr>
            <w:tcW w:w="58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1、配置至少两颗16核处理器，主频应不低于2.3GHz，缓存应不低于22MB；</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2、内存配置不低于128GB，采用DDR4 RDIMM内存-2933MT/s，单服务器可提供内存插槽≥24个；</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3、配置不少于2块1.2TB-10Krpm-SAS盘，2块1.8TB-10Krpm-SAS盘；</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4、▲提供灵活的I/O扩展能力，支持不少于11个PCI-E I/O插槽总数（提供官网材料截图证明并加盖投标人公章）；</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5、配置独立RAID卡；</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6、2个10GE光口，配置2个多模光模块；</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7、▲标配集成不低于32M显卡(提供官网材料截图证明并加盖投标人公章）；</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8、配置冗余电源，并提供配套的电源连接线，单电源失效不影响主机运行；</w:t>
            </w:r>
            <w:r>
              <w:rPr>
                <w:rFonts w:hint="eastAsia" w:ascii="宋体" w:hAnsi="宋体" w:eastAsia="宋体" w:cs="宋体"/>
                <w:color w:val="auto"/>
                <w:sz w:val="21"/>
                <w:szCs w:val="21"/>
                <w:highlight w:val="none"/>
                <w:lang w:bidi="ar"/>
              </w:rPr>
              <w:br w:type="textWrapping"/>
            </w:r>
            <w:r>
              <w:rPr>
                <w:rFonts w:hint="eastAsia" w:ascii="宋体" w:hAnsi="宋体" w:eastAsia="宋体" w:cs="宋体"/>
                <w:color w:val="auto"/>
                <w:sz w:val="21"/>
                <w:szCs w:val="21"/>
                <w:highlight w:val="none"/>
                <w:lang w:bidi="ar"/>
              </w:rPr>
              <w:t>9、▲考虑到设备管理安全性，提供国产管理芯片（提供国产厂商发布的产品简介及官方网站链接证明，芯片厂家为国产厂家）；</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台</w:t>
            </w:r>
          </w:p>
        </w:tc>
      </w:tr>
      <w:tr>
        <w:tblPrEx>
          <w:tblCellMar>
            <w:top w:w="0" w:type="dxa"/>
            <w:left w:w="108" w:type="dxa"/>
            <w:bottom w:w="0" w:type="dxa"/>
            <w:right w:w="108" w:type="dxa"/>
          </w:tblCellMar>
        </w:tblPrEx>
        <w:trPr>
          <w:trHeight w:val="20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s="宋体"/>
                <w:color w:val="auto"/>
                <w:sz w:val="21"/>
                <w:szCs w:val="21"/>
                <w:highlight w:val="none"/>
                <w:lang w:bidi="ar"/>
              </w:rPr>
              <w:t>解析节点GPU服务器</w:t>
            </w:r>
          </w:p>
        </w:tc>
        <w:tc>
          <w:tcPr>
            <w:tcW w:w="58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Style w:val="48"/>
                <w:rFonts w:hint="default" w:ascii="宋体" w:hAnsi="宋体" w:eastAsia="宋体" w:cs="宋体"/>
                <w:color w:val="auto"/>
                <w:sz w:val="21"/>
                <w:szCs w:val="21"/>
                <w:highlight w:val="none"/>
                <w:lang w:bidi="ar"/>
              </w:rPr>
            </w:pPr>
            <w:r>
              <w:rPr>
                <w:rStyle w:val="48"/>
                <w:rFonts w:hint="default" w:ascii="宋体" w:hAnsi="宋体" w:eastAsia="宋体" w:cs="宋体"/>
                <w:color w:val="auto"/>
                <w:sz w:val="21"/>
                <w:szCs w:val="21"/>
                <w:highlight w:val="none"/>
                <w:lang w:bidi="ar"/>
              </w:rPr>
              <w:t>1、配置至少两颗64位14核处理器；</w:t>
            </w:r>
          </w:p>
          <w:p>
            <w:pPr>
              <w:spacing w:after="0" w:line="360" w:lineRule="auto"/>
              <w:textAlignment w:val="center"/>
              <w:rPr>
                <w:rStyle w:val="48"/>
                <w:rFonts w:hint="default" w:ascii="宋体" w:hAnsi="宋体" w:eastAsia="宋体" w:cs="宋体"/>
                <w:color w:val="auto"/>
                <w:sz w:val="21"/>
                <w:szCs w:val="21"/>
                <w:highlight w:val="none"/>
                <w:lang w:bidi="ar"/>
              </w:rPr>
            </w:pPr>
            <w:r>
              <w:rPr>
                <w:rStyle w:val="48"/>
                <w:rFonts w:hint="default" w:ascii="宋体" w:hAnsi="宋体" w:eastAsia="宋体" w:cs="宋体"/>
                <w:color w:val="auto"/>
                <w:sz w:val="21"/>
                <w:szCs w:val="21"/>
                <w:highlight w:val="none"/>
                <w:lang w:bidi="ar"/>
              </w:rPr>
              <w:t>2、单服务器内存配置不低于192GB;</w:t>
            </w:r>
          </w:p>
          <w:p>
            <w:pPr>
              <w:spacing w:after="0" w:line="360" w:lineRule="auto"/>
              <w:textAlignment w:val="center"/>
              <w:rPr>
                <w:rStyle w:val="48"/>
                <w:rFonts w:hint="default" w:ascii="宋体" w:hAnsi="宋体" w:eastAsia="宋体" w:cs="宋体"/>
                <w:color w:val="auto"/>
                <w:sz w:val="21"/>
                <w:szCs w:val="21"/>
                <w:highlight w:val="none"/>
                <w:lang w:bidi="ar"/>
              </w:rPr>
            </w:pPr>
            <w:r>
              <w:rPr>
                <w:rStyle w:val="48"/>
                <w:rFonts w:hint="default" w:ascii="宋体" w:hAnsi="宋体" w:eastAsia="宋体" w:cs="宋体"/>
                <w:color w:val="auto"/>
                <w:sz w:val="21"/>
                <w:szCs w:val="21"/>
                <w:highlight w:val="none"/>
                <w:lang w:bidi="ar"/>
              </w:rPr>
              <w:t>3、单服务器支持系统磁盘数量≥2，配置2 块1200GB，组成RAID1；</w:t>
            </w:r>
          </w:p>
          <w:p>
            <w:pPr>
              <w:spacing w:after="0" w:line="360" w:lineRule="auto"/>
              <w:textAlignment w:val="center"/>
              <w:rPr>
                <w:rStyle w:val="48"/>
                <w:rFonts w:hint="default" w:ascii="宋体" w:hAnsi="宋体" w:eastAsia="宋体" w:cs="宋体"/>
                <w:color w:val="auto"/>
                <w:sz w:val="21"/>
                <w:szCs w:val="21"/>
                <w:highlight w:val="none"/>
                <w:lang w:bidi="ar"/>
              </w:rPr>
            </w:pPr>
            <w:r>
              <w:rPr>
                <w:rStyle w:val="48"/>
                <w:rFonts w:hint="default" w:ascii="宋体" w:hAnsi="宋体" w:eastAsia="宋体" w:cs="宋体"/>
                <w:color w:val="auto"/>
                <w:sz w:val="21"/>
                <w:szCs w:val="21"/>
                <w:highlight w:val="none"/>
                <w:lang w:bidi="ar"/>
              </w:rPr>
              <w:t>3、支持最大业务磁盘数量≥10 块4TB硬盘，配置2块4TB硬盘；</w:t>
            </w:r>
          </w:p>
          <w:p>
            <w:pPr>
              <w:spacing w:after="0" w:line="360" w:lineRule="auto"/>
              <w:textAlignment w:val="center"/>
              <w:rPr>
                <w:rStyle w:val="48"/>
                <w:rFonts w:hint="default" w:ascii="宋体" w:hAnsi="宋体" w:eastAsia="宋体" w:cs="宋体"/>
                <w:color w:val="auto"/>
                <w:sz w:val="21"/>
                <w:szCs w:val="21"/>
                <w:highlight w:val="none"/>
                <w:lang w:bidi="ar"/>
              </w:rPr>
            </w:pPr>
            <w:r>
              <w:rPr>
                <w:rStyle w:val="48"/>
                <w:rFonts w:hint="default" w:ascii="宋体" w:hAnsi="宋体" w:eastAsia="宋体" w:cs="宋体"/>
                <w:color w:val="auto"/>
                <w:sz w:val="21"/>
                <w:szCs w:val="21"/>
                <w:highlight w:val="none"/>
                <w:lang w:bidi="ar"/>
              </w:rPr>
              <w:t>4、支持GPU卡插槽；</w:t>
            </w:r>
          </w:p>
          <w:p>
            <w:pPr>
              <w:spacing w:after="0" w:line="360" w:lineRule="auto"/>
              <w:textAlignment w:val="center"/>
              <w:rPr>
                <w:rStyle w:val="48"/>
                <w:rFonts w:hint="default" w:ascii="宋体" w:hAnsi="宋体" w:eastAsia="宋体" w:cs="宋体"/>
                <w:color w:val="auto"/>
                <w:sz w:val="21"/>
                <w:szCs w:val="21"/>
                <w:highlight w:val="none"/>
                <w:lang w:bidi="ar"/>
              </w:rPr>
            </w:pPr>
            <w:r>
              <w:rPr>
                <w:rStyle w:val="48"/>
                <w:rFonts w:hint="default" w:ascii="宋体" w:hAnsi="宋体" w:eastAsia="宋体" w:cs="宋体"/>
                <w:color w:val="auto"/>
                <w:sz w:val="21"/>
                <w:szCs w:val="21"/>
                <w:highlight w:val="none"/>
                <w:lang w:bidi="ar"/>
              </w:rPr>
              <w:t xml:space="preserve">5、单服务器支持2个GE网口和2个10GE网口，含2个多模万兆光模块； </w:t>
            </w:r>
          </w:p>
          <w:p>
            <w:pPr>
              <w:spacing w:after="0" w:line="360" w:lineRule="auto"/>
              <w:textAlignment w:val="center"/>
              <w:rPr>
                <w:rFonts w:ascii="宋体" w:hAnsi="宋体" w:eastAsia="宋体" w:cs="宋体"/>
                <w:color w:val="auto"/>
                <w:sz w:val="21"/>
                <w:szCs w:val="21"/>
                <w:highlight w:val="none"/>
              </w:rPr>
            </w:pPr>
            <w:r>
              <w:rPr>
                <w:rStyle w:val="48"/>
                <w:rFonts w:hint="default" w:ascii="宋体" w:hAnsi="宋体" w:eastAsia="宋体" w:cs="宋体"/>
                <w:color w:val="auto"/>
                <w:sz w:val="21"/>
                <w:szCs w:val="21"/>
                <w:highlight w:val="none"/>
                <w:lang w:bidi="ar"/>
              </w:rPr>
              <w:t>6、电源模块支持1+1冗余备份，支持独立维护；</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台</w:t>
            </w:r>
          </w:p>
        </w:tc>
      </w:tr>
      <w:tr>
        <w:tblPrEx>
          <w:tblCellMar>
            <w:top w:w="0" w:type="dxa"/>
            <w:left w:w="108" w:type="dxa"/>
            <w:bottom w:w="0" w:type="dxa"/>
            <w:right w:w="108" w:type="dxa"/>
          </w:tblCellMar>
        </w:tblPrEx>
        <w:trPr>
          <w:trHeight w:val="23"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（二）存储资源</w:t>
            </w:r>
          </w:p>
        </w:tc>
      </w:tr>
      <w:tr>
        <w:tblPrEx>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12</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视频存储服务节点</w:t>
            </w:r>
          </w:p>
        </w:tc>
        <w:tc>
          <w:tcPr>
            <w:tcW w:w="5823" w:type="dxa"/>
            <w:tcBorders>
              <w:top w:val="single" w:color="000000" w:sz="4" w:space="0"/>
              <w:left w:val="single" w:color="000000" w:sz="4" w:space="0"/>
              <w:bottom w:val="nil"/>
              <w:right w:val="single" w:color="000000" w:sz="4" w:space="0"/>
            </w:tcBorders>
            <w:shd w:val="clear" w:color="auto" w:fill="auto"/>
            <w:vAlign w:val="center"/>
          </w:tcPr>
          <w:p>
            <w:pPr>
              <w:spacing w:after="0" w:line="360" w:lineRule="auto"/>
              <w:textAlignment w:val="center"/>
              <w:rPr>
                <w:rStyle w:val="49"/>
                <w:rFonts w:hint="default" w:ascii="宋体" w:hAnsi="宋体" w:eastAsia="宋体" w:cs="宋体"/>
                <w:color w:val="auto"/>
                <w:kern w:val="2"/>
                <w:sz w:val="21"/>
                <w:szCs w:val="21"/>
                <w:highlight w:val="none"/>
                <w:lang w:bidi="ar"/>
              </w:rPr>
            </w:pPr>
            <w:r>
              <w:rPr>
                <w:rStyle w:val="52"/>
                <w:rFonts w:hint="default" w:ascii="宋体" w:hAnsi="宋体" w:eastAsia="宋体" w:cs="宋体"/>
                <w:color w:val="auto"/>
                <w:kern w:val="2"/>
                <w:sz w:val="21"/>
                <w:szCs w:val="21"/>
                <w:highlight w:val="none"/>
                <w:lang w:bidi="ar"/>
              </w:rPr>
              <w:t>1、▲配置至少两颗64位8核处理器，主频应不低于2.0GHz</w:t>
            </w:r>
            <w:r>
              <w:rPr>
                <w:rStyle w:val="49"/>
                <w:rFonts w:hint="default" w:ascii="宋体" w:hAnsi="宋体" w:eastAsia="宋体" w:cs="宋体"/>
                <w:color w:val="auto"/>
                <w:kern w:val="2"/>
                <w:sz w:val="21"/>
                <w:szCs w:val="21"/>
                <w:highlight w:val="none"/>
                <w:lang w:bidi="ar"/>
              </w:rPr>
              <w:t>（提供第三方检测机构出具的检验报告复印件证明</w:t>
            </w:r>
            <w:r>
              <w:rPr>
                <w:rFonts w:hint="eastAsia" w:ascii="宋体" w:hAnsi="宋体" w:eastAsia="宋体" w:cs="宋体"/>
                <w:color w:val="auto"/>
                <w:kern w:val="2"/>
                <w:sz w:val="21"/>
                <w:szCs w:val="21"/>
                <w:highlight w:val="none"/>
                <w:lang w:bidi="ar"/>
              </w:rPr>
              <w:t>并加盖投标人公章</w:t>
            </w:r>
            <w:r>
              <w:rPr>
                <w:rStyle w:val="49"/>
                <w:rFonts w:hint="default" w:ascii="宋体" w:hAnsi="宋体" w:eastAsia="宋体" w:cs="宋体"/>
                <w:color w:val="auto"/>
                <w:kern w:val="2"/>
                <w:sz w:val="21"/>
                <w:szCs w:val="21"/>
                <w:highlight w:val="none"/>
                <w:lang w:bidi="ar"/>
              </w:rPr>
              <w:t>）；</w:t>
            </w:r>
          </w:p>
          <w:p>
            <w:pPr>
              <w:spacing w:after="0" w:line="360" w:lineRule="auto"/>
              <w:textAlignment w:val="center"/>
              <w:rPr>
                <w:rStyle w:val="49"/>
                <w:rFonts w:hint="default" w:ascii="宋体" w:hAnsi="宋体" w:eastAsia="宋体" w:cs="宋体"/>
                <w:color w:val="auto"/>
                <w:kern w:val="2"/>
                <w:sz w:val="21"/>
                <w:szCs w:val="21"/>
                <w:highlight w:val="none"/>
                <w:lang w:bidi="ar"/>
              </w:rPr>
            </w:pPr>
            <w:r>
              <w:rPr>
                <w:rStyle w:val="52"/>
                <w:rFonts w:hint="default" w:ascii="宋体" w:hAnsi="宋体" w:eastAsia="宋体" w:cs="宋体"/>
                <w:color w:val="auto"/>
                <w:kern w:val="2"/>
                <w:sz w:val="21"/>
                <w:szCs w:val="21"/>
                <w:highlight w:val="none"/>
                <w:lang w:bidi="ar"/>
              </w:rPr>
              <w:t xml:space="preserve">2、缓存应不低于11MB； </w:t>
            </w:r>
            <w:r>
              <w:rPr>
                <w:rStyle w:val="52"/>
                <w:rFonts w:hint="default" w:ascii="宋体" w:hAnsi="宋体" w:eastAsia="宋体" w:cs="宋体"/>
                <w:color w:val="auto"/>
                <w:kern w:val="2"/>
                <w:sz w:val="21"/>
                <w:szCs w:val="21"/>
                <w:highlight w:val="none"/>
                <w:lang w:bidi="ar"/>
              </w:rPr>
              <w:br w:type="textWrapping"/>
            </w:r>
            <w:r>
              <w:rPr>
                <w:rStyle w:val="52"/>
                <w:rFonts w:hint="default" w:ascii="宋体" w:hAnsi="宋体" w:eastAsia="宋体" w:cs="宋体"/>
                <w:color w:val="auto"/>
                <w:kern w:val="2"/>
                <w:sz w:val="21"/>
                <w:szCs w:val="21"/>
                <w:highlight w:val="none"/>
                <w:lang w:bidi="ar"/>
              </w:rPr>
              <w:t>3、▲单服务器具有24 个内存插槽（单卡槽最大支持64GB）,可组成12 个DDR4 通道</w:t>
            </w:r>
            <w:r>
              <w:rPr>
                <w:rStyle w:val="49"/>
                <w:rFonts w:hint="default" w:ascii="宋体" w:hAnsi="宋体" w:eastAsia="宋体" w:cs="宋体"/>
                <w:color w:val="auto"/>
                <w:kern w:val="2"/>
                <w:sz w:val="21"/>
                <w:szCs w:val="21"/>
                <w:highlight w:val="none"/>
                <w:lang w:bidi="ar"/>
              </w:rPr>
              <w:t>（提供第三方检测机构出具的检验报告复印件证明</w:t>
            </w:r>
            <w:r>
              <w:rPr>
                <w:rFonts w:hint="eastAsia" w:ascii="宋体" w:hAnsi="宋体" w:eastAsia="宋体" w:cs="宋体"/>
                <w:color w:val="auto"/>
                <w:kern w:val="2"/>
                <w:sz w:val="21"/>
                <w:szCs w:val="21"/>
                <w:highlight w:val="none"/>
                <w:lang w:bidi="ar"/>
              </w:rPr>
              <w:t>并加盖投标人公章</w:t>
            </w:r>
            <w:r>
              <w:rPr>
                <w:rStyle w:val="49"/>
                <w:rFonts w:hint="default" w:ascii="宋体" w:hAnsi="宋体" w:eastAsia="宋体" w:cs="宋体"/>
                <w:color w:val="auto"/>
                <w:kern w:val="2"/>
                <w:sz w:val="21"/>
                <w:szCs w:val="21"/>
                <w:highlight w:val="none"/>
                <w:lang w:bidi="ar"/>
              </w:rPr>
              <w:t>）；</w:t>
            </w:r>
          </w:p>
          <w:p>
            <w:pPr>
              <w:spacing w:after="0" w:line="360" w:lineRule="auto"/>
              <w:textAlignment w:val="center"/>
              <w:rPr>
                <w:rFonts w:ascii="宋体" w:hAnsi="宋体" w:eastAsia="宋体" w:cs="宋体"/>
                <w:color w:val="auto"/>
                <w:kern w:val="2"/>
                <w:sz w:val="21"/>
                <w:szCs w:val="21"/>
                <w:highlight w:val="none"/>
              </w:rPr>
            </w:pPr>
            <w:r>
              <w:rPr>
                <w:rStyle w:val="49"/>
                <w:rFonts w:hint="default" w:ascii="宋体" w:hAnsi="宋体" w:eastAsia="宋体" w:cs="宋体"/>
                <w:color w:val="auto"/>
                <w:kern w:val="2"/>
                <w:sz w:val="21"/>
                <w:szCs w:val="21"/>
                <w:highlight w:val="none"/>
                <w:lang w:bidi="ar"/>
              </w:rPr>
              <w:t>4</w:t>
            </w:r>
            <w:r>
              <w:rPr>
                <w:rStyle w:val="49"/>
                <w:color w:val="auto"/>
                <w:highlight w:val="none"/>
              </w:rPr>
              <w:t>、</w:t>
            </w:r>
            <w:r>
              <w:rPr>
                <w:rStyle w:val="49"/>
                <w:rFonts w:hint="default" w:ascii="宋体" w:hAnsi="宋体" w:eastAsia="宋体" w:cs="宋体"/>
                <w:color w:val="auto"/>
                <w:kern w:val="2"/>
                <w:sz w:val="21"/>
                <w:szCs w:val="21"/>
                <w:highlight w:val="none"/>
                <w:lang w:bidi="ar"/>
              </w:rPr>
              <w:t>本次</w:t>
            </w:r>
            <w:r>
              <w:rPr>
                <w:rStyle w:val="52"/>
                <w:rFonts w:hint="default" w:ascii="宋体" w:hAnsi="宋体" w:eastAsia="宋体" w:cs="宋体"/>
                <w:color w:val="auto"/>
                <w:kern w:val="2"/>
                <w:sz w:val="21"/>
                <w:szCs w:val="21"/>
                <w:highlight w:val="none"/>
                <w:lang w:bidi="ar"/>
              </w:rPr>
              <w:t>内存配置不低于48GB，采用DDR4以上规格；</w:t>
            </w:r>
            <w:r>
              <w:rPr>
                <w:rStyle w:val="52"/>
                <w:rFonts w:hint="default" w:ascii="宋体" w:hAnsi="宋体" w:eastAsia="宋体" w:cs="宋体"/>
                <w:color w:val="auto"/>
                <w:kern w:val="2"/>
                <w:sz w:val="21"/>
                <w:szCs w:val="21"/>
                <w:highlight w:val="none"/>
                <w:lang w:bidi="ar"/>
              </w:rPr>
              <w:br w:type="textWrapping"/>
            </w:r>
            <w:r>
              <w:rPr>
                <w:rStyle w:val="52"/>
                <w:rFonts w:hint="default" w:ascii="宋体" w:hAnsi="宋体" w:eastAsia="宋体" w:cs="宋体"/>
                <w:color w:val="auto"/>
                <w:kern w:val="2"/>
                <w:sz w:val="21"/>
                <w:szCs w:val="21"/>
                <w:highlight w:val="none"/>
                <w:lang w:bidi="ar"/>
              </w:rPr>
              <w:t>5、▲单设备应支持最大磁盘数量≥38；单盘≥14TB企业盘</w:t>
            </w:r>
            <w:r>
              <w:rPr>
                <w:rStyle w:val="49"/>
                <w:rFonts w:hint="default" w:ascii="宋体" w:hAnsi="宋体" w:eastAsia="宋体" w:cs="宋体"/>
                <w:color w:val="auto"/>
                <w:kern w:val="2"/>
                <w:sz w:val="21"/>
                <w:szCs w:val="21"/>
                <w:highlight w:val="none"/>
                <w:lang w:bidi="ar"/>
              </w:rPr>
              <w:t>（提供第三方检测机构出具的检验报告复印件证明</w:t>
            </w:r>
            <w:r>
              <w:rPr>
                <w:rFonts w:hint="eastAsia" w:ascii="宋体" w:hAnsi="宋体" w:eastAsia="宋体" w:cs="宋体"/>
                <w:color w:val="auto"/>
                <w:kern w:val="2"/>
                <w:sz w:val="21"/>
                <w:szCs w:val="21"/>
                <w:highlight w:val="none"/>
                <w:lang w:bidi="ar"/>
              </w:rPr>
              <w:t>并加盖投标人公章</w:t>
            </w:r>
            <w:r>
              <w:rPr>
                <w:rStyle w:val="49"/>
                <w:rFonts w:hint="default" w:ascii="宋体" w:hAnsi="宋体" w:eastAsia="宋体" w:cs="宋体"/>
                <w:color w:val="auto"/>
                <w:kern w:val="2"/>
                <w:sz w:val="21"/>
                <w:szCs w:val="21"/>
                <w:highlight w:val="none"/>
                <w:lang w:bidi="ar"/>
              </w:rPr>
              <w:t>）</w:t>
            </w:r>
            <w:r>
              <w:rPr>
                <w:rStyle w:val="52"/>
                <w:rFonts w:hint="default" w:ascii="宋体" w:hAnsi="宋体" w:eastAsia="宋体" w:cs="宋体"/>
                <w:color w:val="auto"/>
                <w:kern w:val="2"/>
                <w:sz w:val="21"/>
                <w:szCs w:val="21"/>
                <w:highlight w:val="none"/>
                <w:lang w:bidi="ar"/>
              </w:rPr>
              <w:t>；</w:t>
            </w:r>
            <w:r>
              <w:rPr>
                <w:rStyle w:val="52"/>
                <w:rFonts w:hint="default" w:ascii="宋体" w:hAnsi="宋体" w:eastAsia="宋体" w:cs="宋体"/>
                <w:color w:val="auto"/>
                <w:kern w:val="2"/>
                <w:sz w:val="21"/>
                <w:szCs w:val="21"/>
                <w:highlight w:val="none"/>
                <w:lang w:bidi="ar"/>
              </w:rPr>
              <w:br w:type="textWrapping"/>
            </w:r>
            <w:r>
              <w:rPr>
                <w:rStyle w:val="52"/>
                <w:rFonts w:hint="default" w:ascii="宋体" w:hAnsi="宋体" w:eastAsia="宋体" w:cs="宋体"/>
                <w:color w:val="auto"/>
                <w:kern w:val="2"/>
                <w:sz w:val="21"/>
                <w:szCs w:val="21"/>
                <w:highlight w:val="none"/>
                <w:lang w:bidi="ar"/>
              </w:rPr>
              <w:t>6、支持硬盘缓启动功能；</w:t>
            </w:r>
            <w:r>
              <w:rPr>
                <w:rStyle w:val="52"/>
                <w:rFonts w:hint="default" w:ascii="宋体" w:hAnsi="宋体" w:eastAsia="宋体" w:cs="宋体"/>
                <w:color w:val="auto"/>
                <w:kern w:val="2"/>
                <w:sz w:val="21"/>
                <w:szCs w:val="21"/>
                <w:highlight w:val="none"/>
                <w:lang w:bidi="ar"/>
              </w:rPr>
              <w:br w:type="textWrapping"/>
            </w:r>
            <w:r>
              <w:rPr>
                <w:rStyle w:val="52"/>
                <w:rFonts w:hint="default" w:ascii="宋体" w:hAnsi="宋体" w:eastAsia="宋体" w:cs="宋体"/>
                <w:color w:val="auto"/>
                <w:kern w:val="2"/>
                <w:sz w:val="21"/>
                <w:szCs w:val="21"/>
                <w:highlight w:val="none"/>
                <w:lang w:bidi="ar"/>
              </w:rPr>
              <w:t xml:space="preserve">7、支持硬盘热插拔及在线更换故障硬盘； </w:t>
            </w:r>
            <w:r>
              <w:rPr>
                <w:rStyle w:val="52"/>
                <w:rFonts w:hint="default" w:ascii="宋体" w:hAnsi="宋体" w:eastAsia="宋体" w:cs="宋体"/>
                <w:color w:val="auto"/>
                <w:kern w:val="2"/>
                <w:sz w:val="21"/>
                <w:szCs w:val="21"/>
                <w:highlight w:val="none"/>
                <w:lang w:bidi="ar"/>
              </w:rPr>
              <w:br w:type="textWrapping"/>
            </w:r>
            <w:r>
              <w:rPr>
                <w:rStyle w:val="52"/>
                <w:rFonts w:hint="default" w:ascii="宋体" w:hAnsi="宋体" w:eastAsia="宋体" w:cs="宋体"/>
                <w:color w:val="auto"/>
                <w:kern w:val="2"/>
                <w:sz w:val="21"/>
                <w:szCs w:val="21"/>
                <w:highlight w:val="none"/>
                <w:lang w:bidi="ar"/>
              </w:rPr>
              <w:t>8、▲配置两个独立的元数据盘不小于1.2T，组成RAID1</w:t>
            </w:r>
            <w:r>
              <w:rPr>
                <w:rStyle w:val="49"/>
                <w:rFonts w:hint="default" w:ascii="宋体" w:hAnsi="宋体" w:eastAsia="宋体" w:cs="宋体"/>
                <w:color w:val="auto"/>
                <w:kern w:val="2"/>
                <w:sz w:val="21"/>
                <w:szCs w:val="21"/>
                <w:highlight w:val="none"/>
                <w:lang w:bidi="ar"/>
              </w:rPr>
              <w:t>（提供第三方检测机构出具的检验报告复印件证明</w:t>
            </w:r>
            <w:r>
              <w:rPr>
                <w:rFonts w:hint="eastAsia" w:ascii="宋体" w:hAnsi="宋体" w:eastAsia="宋体" w:cs="宋体"/>
                <w:color w:val="auto"/>
                <w:kern w:val="2"/>
                <w:sz w:val="21"/>
                <w:szCs w:val="21"/>
                <w:highlight w:val="none"/>
                <w:lang w:bidi="ar"/>
              </w:rPr>
              <w:t>并加盖投标人公章</w:t>
            </w:r>
            <w:r>
              <w:rPr>
                <w:rStyle w:val="49"/>
                <w:rFonts w:hint="default" w:ascii="宋体" w:hAnsi="宋体" w:eastAsia="宋体" w:cs="宋体"/>
                <w:color w:val="auto"/>
                <w:kern w:val="2"/>
                <w:sz w:val="21"/>
                <w:szCs w:val="21"/>
                <w:highlight w:val="none"/>
                <w:lang w:bidi="ar"/>
              </w:rPr>
              <w:t>）</w:t>
            </w:r>
            <w:r>
              <w:rPr>
                <w:rStyle w:val="52"/>
                <w:rFonts w:hint="default" w:ascii="宋体" w:hAnsi="宋体" w:eastAsia="宋体" w:cs="宋体"/>
                <w:color w:val="auto"/>
                <w:kern w:val="2"/>
                <w:sz w:val="21"/>
                <w:szCs w:val="21"/>
                <w:highlight w:val="none"/>
                <w:lang w:bidi="ar"/>
              </w:rPr>
              <w:br w:type="textWrapping"/>
            </w:r>
            <w:r>
              <w:rPr>
                <w:rStyle w:val="52"/>
                <w:rFonts w:hint="default" w:ascii="宋体" w:hAnsi="宋体" w:eastAsia="宋体" w:cs="宋体"/>
                <w:color w:val="auto"/>
                <w:kern w:val="2"/>
                <w:sz w:val="21"/>
                <w:szCs w:val="21"/>
                <w:highlight w:val="none"/>
                <w:lang w:bidi="ar"/>
              </w:rPr>
              <w:t>9、单服务器配置2 个GE 网口和2 个10GE网口，含2个多模万兆光模块；</w:t>
            </w:r>
            <w:r>
              <w:rPr>
                <w:rStyle w:val="52"/>
                <w:rFonts w:hint="default" w:ascii="宋体" w:hAnsi="宋体" w:eastAsia="宋体" w:cs="宋体"/>
                <w:color w:val="auto"/>
                <w:kern w:val="2"/>
                <w:sz w:val="21"/>
                <w:szCs w:val="21"/>
                <w:highlight w:val="none"/>
                <w:lang w:bidi="ar"/>
              </w:rPr>
              <w:br w:type="textWrapping"/>
            </w:r>
            <w:r>
              <w:rPr>
                <w:rStyle w:val="52"/>
                <w:rFonts w:hint="default" w:ascii="宋体" w:hAnsi="宋体" w:eastAsia="宋体" w:cs="宋体"/>
                <w:color w:val="auto"/>
                <w:kern w:val="2"/>
                <w:sz w:val="21"/>
                <w:szCs w:val="21"/>
                <w:highlight w:val="none"/>
                <w:lang w:bidi="ar"/>
              </w:rPr>
              <w:t>10、支持4个独立的风扇，支持单风扇失效</w:t>
            </w:r>
            <w:r>
              <w:rPr>
                <w:rStyle w:val="52"/>
                <w:rFonts w:hint="default" w:ascii="宋体" w:hAnsi="宋体" w:eastAsia="宋体" w:cs="宋体"/>
                <w:color w:val="auto"/>
                <w:kern w:val="2"/>
                <w:sz w:val="21"/>
                <w:szCs w:val="21"/>
                <w:highlight w:val="none"/>
                <w:lang w:bidi="ar"/>
              </w:rPr>
              <w:br w:type="textWrapping"/>
            </w:r>
            <w:r>
              <w:rPr>
                <w:rStyle w:val="52"/>
                <w:rFonts w:hint="default" w:ascii="宋体" w:hAnsi="宋体" w:eastAsia="宋体" w:cs="宋体"/>
                <w:color w:val="auto"/>
                <w:kern w:val="2"/>
                <w:sz w:val="21"/>
                <w:szCs w:val="21"/>
                <w:highlight w:val="none"/>
                <w:lang w:bidi="ar"/>
              </w:rPr>
              <w:t>11、电源模块支持1+1冗余备份，支持独立维护；</w:t>
            </w:r>
            <w:r>
              <w:rPr>
                <w:rStyle w:val="52"/>
                <w:rFonts w:hint="default" w:ascii="宋体" w:hAnsi="宋体" w:eastAsia="宋体" w:cs="宋体"/>
                <w:color w:val="auto"/>
                <w:kern w:val="2"/>
                <w:sz w:val="21"/>
                <w:szCs w:val="21"/>
                <w:highlight w:val="none"/>
                <w:lang w:bidi="ar"/>
              </w:rPr>
              <w:br w:type="textWrapping"/>
            </w:r>
            <w:r>
              <w:rPr>
                <w:rStyle w:val="52"/>
                <w:rFonts w:hint="default" w:ascii="宋体" w:hAnsi="宋体" w:eastAsia="宋体" w:cs="宋体"/>
                <w:color w:val="auto"/>
                <w:kern w:val="2"/>
                <w:sz w:val="21"/>
                <w:szCs w:val="21"/>
                <w:highlight w:val="none"/>
                <w:lang w:bidi="ar"/>
              </w:rPr>
              <w:t>12、▲单台可支持摄像机接入不小于3024 路；可同时支持视频存储不小于1024 路，视频转发不小于1024 路，录像下载不小于512 路</w:t>
            </w:r>
            <w:r>
              <w:rPr>
                <w:rStyle w:val="49"/>
                <w:rFonts w:hint="default" w:ascii="宋体" w:hAnsi="宋体" w:eastAsia="宋体" w:cs="宋体"/>
                <w:color w:val="auto"/>
                <w:kern w:val="2"/>
                <w:sz w:val="21"/>
                <w:szCs w:val="21"/>
                <w:highlight w:val="none"/>
                <w:lang w:bidi="ar"/>
              </w:rPr>
              <w:t>（提供第三方检测机构出具的检验报告复印件证明</w:t>
            </w:r>
            <w:r>
              <w:rPr>
                <w:rFonts w:hint="eastAsia" w:ascii="宋体" w:hAnsi="宋体" w:eastAsia="宋体" w:cs="宋体"/>
                <w:color w:val="auto"/>
                <w:kern w:val="2"/>
                <w:sz w:val="21"/>
                <w:szCs w:val="21"/>
                <w:highlight w:val="none"/>
                <w:lang w:bidi="ar"/>
              </w:rPr>
              <w:t>并加盖投标人公章</w:t>
            </w:r>
            <w:r>
              <w:rPr>
                <w:rStyle w:val="49"/>
                <w:rFonts w:hint="default" w:ascii="宋体" w:hAnsi="宋体" w:eastAsia="宋体" w:cs="宋体"/>
                <w:color w:val="auto"/>
                <w:kern w:val="2"/>
                <w:sz w:val="21"/>
                <w:szCs w:val="21"/>
                <w:highlight w:val="none"/>
                <w:lang w:bidi="ar"/>
              </w:rPr>
              <w:t>）</w:t>
            </w:r>
            <w:r>
              <w:rPr>
                <w:rStyle w:val="52"/>
                <w:rFonts w:hint="default" w:ascii="宋体" w:hAnsi="宋体" w:eastAsia="宋体" w:cs="宋体"/>
                <w:color w:val="auto"/>
                <w:kern w:val="2"/>
                <w:sz w:val="21"/>
                <w:szCs w:val="21"/>
                <w:highlight w:val="none"/>
                <w:lang w:bidi="ar"/>
              </w:rPr>
              <w:t>；</w:t>
            </w:r>
            <w:r>
              <w:rPr>
                <w:rStyle w:val="52"/>
                <w:rFonts w:hint="default" w:ascii="宋体" w:hAnsi="宋体" w:eastAsia="宋体" w:cs="宋体"/>
                <w:color w:val="auto"/>
                <w:kern w:val="2"/>
                <w:sz w:val="21"/>
                <w:szCs w:val="21"/>
                <w:highlight w:val="none"/>
                <w:lang w:bidi="ar"/>
              </w:rPr>
              <w:br w:type="textWrapping"/>
            </w:r>
            <w:r>
              <w:rPr>
                <w:rStyle w:val="52"/>
                <w:rFonts w:hint="default" w:ascii="宋体" w:hAnsi="宋体" w:eastAsia="宋体" w:cs="宋体"/>
                <w:color w:val="auto"/>
                <w:kern w:val="2"/>
                <w:sz w:val="21"/>
                <w:szCs w:val="21"/>
                <w:highlight w:val="none"/>
                <w:lang w:bidi="ar"/>
              </w:rPr>
              <w:t>13、▲单台可并发支持存储不小于2048Mbps，转发不小于2048Mbps，录像下载不小于1024Mbps</w:t>
            </w:r>
            <w:r>
              <w:rPr>
                <w:rStyle w:val="49"/>
                <w:rFonts w:hint="default" w:ascii="宋体" w:hAnsi="宋体" w:eastAsia="宋体" w:cs="宋体"/>
                <w:color w:val="auto"/>
                <w:kern w:val="2"/>
                <w:sz w:val="21"/>
                <w:szCs w:val="21"/>
                <w:highlight w:val="none"/>
                <w:lang w:bidi="ar"/>
              </w:rPr>
              <w:t>（提供第三方检测机构出具的检验报告复印件证明</w:t>
            </w:r>
            <w:r>
              <w:rPr>
                <w:rFonts w:hint="eastAsia" w:ascii="宋体" w:hAnsi="宋体" w:eastAsia="宋体" w:cs="宋体"/>
                <w:color w:val="auto"/>
                <w:kern w:val="2"/>
                <w:sz w:val="21"/>
                <w:szCs w:val="21"/>
                <w:highlight w:val="none"/>
                <w:lang w:bidi="ar"/>
              </w:rPr>
              <w:t>并加盖投标人公章</w:t>
            </w:r>
            <w:r>
              <w:rPr>
                <w:rStyle w:val="49"/>
                <w:rFonts w:hint="default" w:ascii="宋体" w:hAnsi="宋体" w:eastAsia="宋体" w:cs="宋体"/>
                <w:color w:val="auto"/>
                <w:kern w:val="2"/>
                <w:sz w:val="21"/>
                <w:szCs w:val="21"/>
                <w:highlight w:val="none"/>
                <w:lang w:bidi="ar"/>
              </w:rPr>
              <w:t>）</w:t>
            </w:r>
            <w:r>
              <w:rPr>
                <w:rStyle w:val="52"/>
                <w:rFonts w:hint="default" w:ascii="宋体" w:hAnsi="宋体" w:eastAsia="宋体" w:cs="宋体"/>
                <w:color w:val="auto"/>
                <w:kern w:val="2"/>
                <w:sz w:val="21"/>
                <w:szCs w:val="21"/>
                <w:highlight w:val="none"/>
                <w:lang w:bidi="ar"/>
              </w:rPr>
              <w:t>；</w:t>
            </w:r>
            <w:r>
              <w:rPr>
                <w:rStyle w:val="52"/>
                <w:rFonts w:hint="default" w:ascii="宋体" w:hAnsi="宋体" w:eastAsia="宋体" w:cs="宋体"/>
                <w:color w:val="auto"/>
                <w:kern w:val="2"/>
                <w:sz w:val="21"/>
                <w:szCs w:val="21"/>
                <w:highlight w:val="none"/>
                <w:lang w:bidi="ar"/>
              </w:rPr>
              <w:br w:type="textWrapping"/>
            </w:r>
            <w:r>
              <w:rPr>
                <w:rStyle w:val="52"/>
                <w:rFonts w:hint="default" w:ascii="宋体" w:hAnsi="宋体" w:eastAsia="宋体" w:cs="宋体"/>
                <w:color w:val="auto"/>
                <w:kern w:val="2"/>
                <w:sz w:val="21"/>
                <w:szCs w:val="21"/>
                <w:highlight w:val="none"/>
                <w:lang w:bidi="ar"/>
              </w:rPr>
              <w:t>14、▲图片性能：可同时支持图片存储带宽不小于2048Mbps，图片转发不小于3072Mbps，</w:t>
            </w:r>
            <w:r>
              <w:rPr>
                <w:rStyle w:val="49"/>
                <w:rFonts w:hint="default" w:ascii="宋体" w:hAnsi="宋体" w:eastAsia="宋体" w:cs="宋体"/>
                <w:color w:val="auto"/>
                <w:kern w:val="2"/>
                <w:sz w:val="21"/>
                <w:szCs w:val="21"/>
                <w:highlight w:val="none"/>
                <w:lang w:bidi="ar"/>
              </w:rPr>
              <w:t>（提供第三方检测机构出具的检验报告复印件证明</w:t>
            </w:r>
            <w:r>
              <w:rPr>
                <w:rFonts w:hint="eastAsia" w:ascii="宋体" w:hAnsi="宋体" w:eastAsia="宋体" w:cs="宋体"/>
                <w:color w:val="auto"/>
                <w:kern w:val="2"/>
                <w:sz w:val="21"/>
                <w:szCs w:val="21"/>
                <w:highlight w:val="none"/>
                <w:lang w:bidi="ar"/>
              </w:rPr>
              <w:t>并加盖投标人公章</w:t>
            </w:r>
            <w:r>
              <w:rPr>
                <w:rStyle w:val="49"/>
                <w:rFonts w:hint="default" w:ascii="宋体" w:hAnsi="宋体" w:eastAsia="宋体" w:cs="宋体"/>
                <w:color w:val="auto"/>
                <w:kern w:val="2"/>
                <w:sz w:val="21"/>
                <w:szCs w:val="21"/>
                <w:highlight w:val="none"/>
                <w:lang w:bidi="ar"/>
              </w:rPr>
              <w:t>）；</w:t>
            </w:r>
            <w:r>
              <w:rPr>
                <w:rStyle w:val="52"/>
                <w:rFonts w:hint="default" w:ascii="宋体" w:hAnsi="宋体" w:eastAsia="宋体" w:cs="宋体"/>
                <w:color w:val="auto"/>
                <w:kern w:val="2"/>
                <w:sz w:val="21"/>
                <w:szCs w:val="21"/>
                <w:highlight w:val="none"/>
                <w:lang w:bidi="ar"/>
              </w:rPr>
              <w:t xml:space="preserve"> </w:t>
            </w:r>
            <w:r>
              <w:rPr>
                <w:rStyle w:val="52"/>
                <w:rFonts w:hint="default" w:ascii="宋体" w:hAnsi="宋体" w:eastAsia="宋体" w:cs="宋体"/>
                <w:color w:val="auto"/>
                <w:kern w:val="2"/>
                <w:sz w:val="21"/>
                <w:szCs w:val="21"/>
                <w:highlight w:val="none"/>
                <w:lang w:bidi="ar"/>
              </w:rPr>
              <w:br w:type="textWrapping"/>
            </w:r>
            <w:r>
              <w:rPr>
                <w:rStyle w:val="52"/>
                <w:rFonts w:hint="default" w:ascii="宋体" w:hAnsi="宋体" w:eastAsia="宋体" w:cs="宋体"/>
                <w:color w:val="auto"/>
                <w:kern w:val="2"/>
                <w:sz w:val="21"/>
                <w:szCs w:val="21"/>
                <w:highlight w:val="none"/>
                <w:lang w:bidi="ar"/>
              </w:rPr>
              <w:t>15、单纯转发业务模式：支持媒体访问请求，向请求方分发流媒体数据。支持本域转发、外域转发和逐级转发功能；单台可支持摄像机接入不小于6000路；支持转发视频不小于1536 路；支持转发视频带宽不小于3072Mbps；支持转发图片带宽不小于3072Mbps</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10 </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台</w:t>
            </w:r>
          </w:p>
        </w:tc>
      </w:tr>
      <w:tr>
        <w:tblPrEx>
          <w:tblCellMar>
            <w:top w:w="0" w:type="dxa"/>
            <w:left w:w="108" w:type="dxa"/>
            <w:bottom w:w="0" w:type="dxa"/>
            <w:right w:w="108" w:type="dxa"/>
          </w:tblCellMar>
        </w:tblPrEx>
        <w:trPr>
          <w:trHeight w:val="95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13</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硬盘</w:t>
            </w:r>
          </w:p>
        </w:tc>
        <w:tc>
          <w:tcPr>
            <w:tcW w:w="58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16TB视频云平台专用硬盘,SATA 6Gb/s,7.2K rpm,3.5-Inch(3.5-Inch Drive Bay)</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358 </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台</w:t>
            </w:r>
          </w:p>
        </w:tc>
      </w:tr>
      <w:tr>
        <w:tblPrEx>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14</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IPSAN存储</w:t>
            </w:r>
          </w:p>
        </w:tc>
        <w:tc>
          <w:tcPr>
            <w:tcW w:w="58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Style w:val="49"/>
                <w:rFonts w:hint="default" w:ascii="宋体" w:hAnsi="宋体" w:eastAsia="宋体" w:cs="宋体"/>
                <w:color w:val="auto"/>
                <w:sz w:val="21"/>
                <w:szCs w:val="21"/>
                <w:highlight w:val="none"/>
                <w:lang w:bidi="ar"/>
              </w:rPr>
            </w:pPr>
            <w:r>
              <w:rPr>
                <w:rStyle w:val="49"/>
                <w:rFonts w:hint="default" w:ascii="宋体" w:hAnsi="宋体" w:eastAsia="宋体" w:cs="宋体"/>
                <w:color w:val="auto"/>
                <w:sz w:val="21"/>
                <w:szCs w:val="21"/>
                <w:highlight w:val="none"/>
                <w:lang w:bidi="ar"/>
              </w:rPr>
              <w:t>1、▲实配SAN和NAS统一存储，配置NAS协议（包括NFS和CIFS）、IP SAN和FC SAN协议，不需额外配置NAS网关，存储管理操作界面同时支持块存储和文件存储功能（提供功能截图证明并加盖投标人公章）；</w:t>
            </w:r>
          </w:p>
          <w:p>
            <w:pPr>
              <w:spacing w:after="0" w:line="360" w:lineRule="auto"/>
              <w:textAlignment w:val="center"/>
              <w:rPr>
                <w:rStyle w:val="49"/>
                <w:rFonts w:hint="default" w:ascii="宋体" w:hAnsi="宋体" w:eastAsia="宋体" w:cs="宋体"/>
                <w:color w:val="auto"/>
                <w:sz w:val="21"/>
                <w:szCs w:val="21"/>
                <w:highlight w:val="none"/>
                <w:lang w:bidi="ar"/>
              </w:rPr>
            </w:pPr>
            <w:r>
              <w:rPr>
                <w:rStyle w:val="49"/>
                <w:rFonts w:hint="default" w:ascii="宋体" w:hAnsi="宋体" w:eastAsia="宋体" w:cs="宋体"/>
                <w:color w:val="auto"/>
                <w:sz w:val="21"/>
                <w:szCs w:val="21"/>
                <w:highlight w:val="none"/>
                <w:lang w:bidi="ar"/>
              </w:rPr>
              <w:t>2、▲双控制器配置处理器总物理核心数≥48核（提供官网材料截图证明并加盖投标人公章）；</w:t>
            </w:r>
          </w:p>
          <w:p>
            <w:pPr>
              <w:spacing w:after="0" w:line="360" w:lineRule="auto"/>
              <w:textAlignment w:val="center"/>
              <w:rPr>
                <w:rStyle w:val="49"/>
                <w:rFonts w:hint="default" w:ascii="宋体" w:hAnsi="宋体" w:eastAsia="宋体" w:cs="宋体"/>
                <w:color w:val="auto"/>
                <w:sz w:val="21"/>
                <w:szCs w:val="21"/>
                <w:highlight w:val="none"/>
                <w:lang w:bidi="ar"/>
              </w:rPr>
            </w:pPr>
            <w:r>
              <w:rPr>
                <w:rStyle w:val="49"/>
                <w:rFonts w:hint="default" w:ascii="宋体" w:hAnsi="宋体" w:eastAsia="宋体" w:cs="宋体"/>
                <w:color w:val="auto"/>
                <w:sz w:val="21"/>
                <w:szCs w:val="21"/>
                <w:highlight w:val="none"/>
                <w:lang w:bidi="ar"/>
              </w:rPr>
              <w:t>3、缓存容量配置≥512GB，（不含任何性能加速模块、FlashCache、PAM卡，SSD Cache等）</w:t>
            </w:r>
          </w:p>
          <w:p>
            <w:pPr>
              <w:spacing w:after="0" w:line="360" w:lineRule="auto"/>
              <w:textAlignment w:val="center"/>
              <w:rPr>
                <w:rStyle w:val="49"/>
                <w:rFonts w:hint="default" w:ascii="宋体" w:hAnsi="宋体" w:eastAsia="宋体" w:cs="宋体"/>
                <w:color w:val="auto"/>
                <w:sz w:val="21"/>
                <w:szCs w:val="21"/>
                <w:highlight w:val="none"/>
                <w:lang w:bidi="ar"/>
              </w:rPr>
            </w:pPr>
            <w:r>
              <w:rPr>
                <w:rStyle w:val="49"/>
                <w:rFonts w:hint="default" w:ascii="宋体" w:hAnsi="宋体" w:eastAsia="宋体" w:cs="宋体"/>
                <w:color w:val="auto"/>
                <w:sz w:val="21"/>
                <w:szCs w:val="21"/>
                <w:highlight w:val="none"/>
                <w:lang w:bidi="ar"/>
              </w:rPr>
              <w:t>4、配置不少于2块4端口10Gbps Ethernet I/O模块，2块4端口 4*12Gb SAS I/O模块；</w:t>
            </w:r>
          </w:p>
          <w:p>
            <w:pPr>
              <w:spacing w:after="0" w:line="360" w:lineRule="auto"/>
              <w:textAlignment w:val="center"/>
              <w:rPr>
                <w:rStyle w:val="49"/>
                <w:rFonts w:hint="default" w:ascii="宋体" w:hAnsi="宋体" w:eastAsia="宋体" w:cs="宋体"/>
                <w:color w:val="auto"/>
                <w:sz w:val="21"/>
                <w:szCs w:val="21"/>
                <w:highlight w:val="none"/>
                <w:lang w:bidi="ar"/>
              </w:rPr>
            </w:pPr>
            <w:r>
              <w:rPr>
                <w:rStyle w:val="49"/>
                <w:rFonts w:hint="default" w:ascii="宋体" w:hAnsi="宋体" w:eastAsia="宋体" w:cs="宋体"/>
                <w:color w:val="auto"/>
                <w:sz w:val="21"/>
                <w:szCs w:val="21"/>
                <w:highlight w:val="none"/>
                <w:lang w:bidi="ar"/>
              </w:rPr>
              <w:t>5、配置不少于4块3.84TB SSD硬盘；不少于60块2.4TB  10K RPM SAS硬盘；不少于105块10TB 7.2K RPM NL SAS硬盘；匹配相应的硬盘框数量；</w:t>
            </w:r>
          </w:p>
          <w:p>
            <w:pPr>
              <w:spacing w:after="0" w:line="360" w:lineRule="auto"/>
              <w:textAlignment w:val="center"/>
              <w:rPr>
                <w:rStyle w:val="49"/>
                <w:rFonts w:hint="default" w:ascii="宋体" w:hAnsi="宋体" w:eastAsia="宋体" w:cs="宋体"/>
                <w:color w:val="auto"/>
                <w:sz w:val="21"/>
                <w:szCs w:val="21"/>
                <w:highlight w:val="none"/>
                <w:lang w:bidi="ar"/>
              </w:rPr>
            </w:pPr>
            <w:r>
              <w:rPr>
                <w:rStyle w:val="49"/>
                <w:rFonts w:hint="default" w:ascii="宋体" w:hAnsi="宋体" w:eastAsia="宋体" w:cs="宋体"/>
                <w:color w:val="auto"/>
                <w:sz w:val="21"/>
                <w:szCs w:val="21"/>
                <w:highlight w:val="none"/>
                <w:lang w:bidi="ar"/>
              </w:rPr>
              <w:t>6、提供相应的高级功能许可授权，包括但不限于：智能分级存储，智能缓存加速等功能许可；</w:t>
            </w:r>
          </w:p>
          <w:p>
            <w:pPr>
              <w:spacing w:after="0" w:line="360" w:lineRule="auto"/>
              <w:textAlignment w:val="center"/>
              <w:rPr>
                <w:rFonts w:ascii="宋体" w:hAnsi="宋体" w:eastAsia="宋体" w:cs="宋体"/>
                <w:color w:val="auto"/>
                <w:sz w:val="21"/>
                <w:szCs w:val="21"/>
                <w:highlight w:val="none"/>
              </w:rPr>
            </w:pPr>
            <w:r>
              <w:rPr>
                <w:rStyle w:val="49"/>
                <w:rFonts w:hint="default" w:ascii="宋体" w:hAnsi="宋体" w:eastAsia="宋体" w:cs="宋体"/>
                <w:color w:val="auto"/>
                <w:sz w:val="21"/>
                <w:szCs w:val="21"/>
                <w:highlight w:val="none"/>
                <w:lang w:bidi="ar"/>
              </w:rPr>
              <w:t>7、▲分级存储功能支持数据分级存储功能，能够进行自动分级调整，提供图形化的自动分层策略调整工具，对数据分层的时间窗口和分层方式进行调整，提高存储资源利用效率（提供功能截图证明并加盖投标人公章）；</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台</w:t>
            </w:r>
          </w:p>
        </w:tc>
      </w:tr>
      <w:tr>
        <w:tblPrEx>
          <w:tblCellMar>
            <w:top w:w="0" w:type="dxa"/>
            <w:left w:w="108" w:type="dxa"/>
            <w:bottom w:w="0" w:type="dxa"/>
            <w:right w:w="108" w:type="dxa"/>
          </w:tblCellMar>
        </w:tblPrEx>
        <w:trPr>
          <w:trHeight w:val="9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15</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视频及图片管理软件</w:t>
            </w:r>
          </w:p>
        </w:tc>
        <w:tc>
          <w:tcPr>
            <w:tcW w:w="58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软件基础包-含硬件管理，账号管理，权限管理，鉴权，存储管理，视频管理，录像管理，视频调阅，视频转发</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套</w:t>
            </w:r>
          </w:p>
        </w:tc>
      </w:tr>
      <w:tr>
        <w:tblPrEx>
          <w:tblCellMar>
            <w:top w:w="0" w:type="dxa"/>
            <w:left w:w="108" w:type="dxa"/>
            <w:bottom w:w="0" w:type="dxa"/>
            <w:right w:w="108" w:type="dxa"/>
          </w:tblCellMar>
        </w:tblPrEx>
        <w:trPr>
          <w:trHeight w:val="23"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（三）网络资源</w:t>
            </w:r>
          </w:p>
        </w:tc>
      </w:tr>
      <w:tr>
        <w:tblPrEx>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16</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业务区管理业务交换机</w:t>
            </w:r>
          </w:p>
        </w:tc>
        <w:tc>
          <w:tcPr>
            <w:tcW w:w="58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Style w:val="48"/>
                <w:rFonts w:hint="default" w:ascii="宋体" w:hAnsi="宋体" w:eastAsia="宋体" w:cs="宋体"/>
                <w:color w:val="auto"/>
                <w:sz w:val="21"/>
                <w:szCs w:val="21"/>
                <w:highlight w:val="none"/>
                <w:lang w:bidi="ar"/>
              </w:rPr>
              <w:t>1、交换容量≥4.8Tbps（以官网最小值为准），包转发率≥2000Mpps（以官网最小值为准）；万兆光口≥48个，40/100G光口≥6个；</w:t>
            </w:r>
            <w:r>
              <w:rPr>
                <w:rStyle w:val="48"/>
                <w:rFonts w:hint="default" w:ascii="宋体" w:hAnsi="宋体" w:eastAsia="宋体" w:cs="宋体"/>
                <w:color w:val="auto"/>
                <w:sz w:val="21"/>
                <w:szCs w:val="21"/>
                <w:highlight w:val="none"/>
                <w:lang w:bidi="ar"/>
              </w:rPr>
              <w:br w:type="textWrapping"/>
            </w:r>
            <w:r>
              <w:rPr>
                <w:rStyle w:val="48"/>
                <w:rFonts w:hint="default" w:ascii="宋体" w:hAnsi="宋体" w:eastAsia="宋体" w:cs="宋体"/>
                <w:color w:val="auto"/>
                <w:sz w:val="21"/>
                <w:szCs w:val="21"/>
                <w:highlight w:val="none"/>
                <w:lang w:bidi="ar"/>
              </w:rPr>
              <w:t>2、万兆多模光模块≥48个，40G多模光模块≥4个；</w:t>
            </w:r>
            <w:r>
              <w:rPr>
                <w:rStyle w:val="48"/>
                <w:rFonts w:hint="default" w:ascii="宋体" w:hAnsi="宋体" w:eastAsia="宋体" w:cs="宋体"/>
                <w:color w:val="auto"/>
                <w:sz w:val="21"/>
                <w:szCs w:val="21"/>
                <w:highlight w:val="none"/>
                <w:lang w:bidi="ar"/>
              </w:rPr>
              <w:br w:type="textWrapping"/>
            </w:r>
            <w:r>
              <w:rPr>
                <w:rStyle w:val="48"/>
                <w:rFonts w:hint="default" w:ascii="宋体" w:hAnsi="宋体" w:eastAsia="宋体" w:cs="宋体"/>
                <w:color w:val="auto"/>
                <w:sz w:val="21"/>
                <w:szCs w:val="21"/>
                <w:highlight w:val="none"/>
                <w:lang w:bidi="ar"/>
              </w:rPr>
              <w:t>3、支持端口隔离和端口组隔离；</w:t>
            </w:r>
            <w:r>
              <w:rPr>
                <w:rStyle w:val="48"/>
                <w:rFonts w:hint="default" w:ascii="宋体" w:hAnsi="宋体" w:eastAsia="宋体" w:cs="宋体"/>
                <w:color w:val="auto"/>
                <w:sz w:val="21"/>
                <w:szCs w:val="21"/>
                <w:highlight w:val="none"/>
                <w:lang w:bidi="ar"/>
              </w:rPr>
              <w:br w:type="textWrapping"/>
            </w:r>
            <w:r>
              <w:rPr>
                <w:rStyle w:val="48"/>
                <w:rFonts w:hint="default" w:ascii="宋体" w:hAnsi="宋体" w:eastAsia="宋体" w:cs="宋体"/>
                <w:color w:val="auto"/>
                <w:sz w:val="21"/>
                <w:szCs w:val="21"/>
                <w:highlight w:val="none"/>
                <w:lang w:bidi="ar"/>
              </w:rPr>
              <w:t>4、</w:t>
            </w:r>
            <w:r>
              <w:rPr>
                <w:rStyle w:val="49"/>
                <w:rFonts w:hint="default" w:ascii="宋体" w:hAnsi="宋体" w:eastAsia="宋体" w:cs="宋体"/>
                <w:color w:val="auto"/>
                <w:sz w:val="21"/>
                <w:szCs w:val="21"/>
                <w:highlight w:val="none"/>
                <w:lang w:bidi="ar"/>
              </w:rPr>
              <w:t>▲支持M-LAG技术（提供第三方测试报告复印件</w:t>
            </w:r>
            <w:r>
              <w:rPr>
                <w:rFonts w:hint="eastAsia" w:ascii="宋体" w:hAnsi="宋体" w:eastAsia="宋体" w:cs="宋体"/>
                <w:color w:val="auto"/>
                <w:sz w:val="21"/>
                <w:szCs w:val="21"/>
                <w:highlight w:val="none"/>
                <w:lang w:bidi="ar"/>
              </w:rPr>
              <w:t>并加盖投标人公章</w:t>
            </w:r>
            <w:r>
              <w:rPr>
                <w:rStyle w:val="49"/>
                <w:rFonts w:hint="default" w:ascii="宋体" w:hAnsi="宋体" w:eastAsia="宋体" w:cs="宋体"/>
                <w:color w:val="auto"/>
                <w:sz w:val="21"/>
                <w:szCs w:val="21"/>
                <w:highlight w:val="none"/>
                <w:lang w:bidi="ar"/>
              </w:rPr>
              <w:t>）；</w:t>
            </w:r>
            <w:r>
              <w:rPr>
                <w:rStyle w:val="48"/>
                <w:rFonts w:hint="default" w:ascii="宋体" w:hAnsi="宋体" w:eastAsia="宋体" w:cs="宋体"/>
                <w:color w:val="auto"/>
                <w:sz w:val="21"/>
                <w:szCs w:val="21"/>
                <w:highlight w:val="none"/>
                <w:lang w:bidi="ar"/>
              </w:rPr>
              <w:br w:type="textWrapping"/>
            </w:r>
            <w:r>
              <w:rPr>
                <w:rStyle w:val="48"/>
                <w:rFonts w:hint="default" w:ascii="宋体" w:hAnsi="宋体" w:eastAsia="宋体" w:cs="宋体"/>
                <w:color w:val="auto"/>
                <w:sz w:val="21"/>
                <w:szCs w:val="21"/>
                <w:highlight w:val="none"/>
                <w:lang w:bidi="ar"/>
              </w:rPr>
              <w:t>5、支持动态MAC、静态MAC和黑洞MAC表项；</w:t>
            </w:r>
            <w:r>
              <w:rPr>
                <w:rStyle w:val="48"/>
                <w:rFonts w:hint="default" w:ascii="宋体" w:hAnsi="宋体" w:eastAsia="宋体" w:cs="宋体"/>
                <w:color w:val="auto"/>
                <w:sz w:val="21"/>
                <w:szCs w:val="21"/>
                <w:highlight w:val="none"/>
                <w:lang w:bidi="ar"/>
              </w:rPr>
              <w:br w:type="textWrapping"/>
            </w:r>
            <w:r>
              <w:rPr>
                <w:rStyle w:val="48"/>
                <w:rFonts w:hint="default" w:ascii="宋体" w:hAnsi="宋体" w:eastAsia="宋体" w:cs="宋体"/>
                <w:color w:val="auto"/>
                <w:sz w:val="21"/>
                <w:szCs w:val="21"/>
                <w:highlight w:val="none"/>
                <w:lang w:bidi="ar"/>
              </w:rPr>
              <w:t>6、支持RIP、RIPng、OSPF、OSPFv3、ISIS、ISISv6、BGP、BGP4+等动态路由协议；</w:t>
            </w:r>
            <w:r>
              <w:rPr>
                <w:rStyle w:val="48"/>
                <w:rFonts w:hint="default" w:ascii="宋体" w:hAnsi="宋体" w:eastAsia="宋体" w:cs="宋体"/>
                <w:color w:val="auto"/>
                <w:sz w:val="21"/>
                <w:szCs w:val="21"/>
                <w:highlight w:val="none"/>
                <w:lang w:bidi="ar"/>
              </w:rPr>
              <w:br w:type="textWrapping"/>
            </w:r>
            <w:r>
              <w:rPr>
                <w:rStyle w:val="48"/>
                <w:rFonts w:hint="default" w:ascii="宋体" w:hAnsi="宋体" w:eastAsia="宋体" w:cs="宋体"/>
                <w:color w:val="auto"/>
                <w:sz w:val="21"/>
                <w:szCs w:val="21"/>
                <w:highlight w:val="none"/>
                <w:lang w:bidi="ar"/>
              </w:rPr>
              <w:t>7、支持BFD for OSPF/BGP/IS-IS/静态路由；</w:t>
            </w:r>
            <w:r>
              <w:rPr>
                <w:rStyle w:val="48"/>
                <w:rFonts w:hint="default" w:ascii="宋体" w:hAnsi="宋体" w:eastAsia="宋体" w:cs="宋体"/>
                <w:color w:val="auto"/>
                <w:sz w:val="21"/>
                <w:szCs w:val="21"/>
                <w:highlight w:val="none"/>
                <w:lang w:bidi="ar"/>
              </w:rPr>
              <w:br w:type="textWrapping"/>
            </w:r>
            <w:r>
              <w:rPr>
                <w:rStyle w:val="48"/>
                <w:rFonts w:hint="default" w:ascii="宋体" w:hAnsi="宋体" w:eastAsia="宋体" w:cs="宋体"/>
                <w:color w:val="auto"/>
                <w:sz w:val="21"/>
                <w:szCs w:val="21"/>
                <w:highlight w:val="none"/>
                <w:lang w:bidi="ar"/>
              </w:rPr>
              <w:t>8、支持Layer2协议头、Layer3协议和Layer4协议优先级等的组合流分类；</w:t>
            </w:r>
            <w:r>
              <w:rPr>
                <w:rStyle w:val="48"/>
                <w:rFonts w:hint="default" w:ascii="宋体" w:hAnsi="宋体" w:eastAsia="宋体" w:cs="宋体"/>
                <w:color w:val="auto"/>
                <w:sz w:val="21"/>
                <w:szCs w:val="21"/>
                <w:highlight w:val="none"/>
                <w:lang w:bidi="ar"/>
              </w:rPr>
              <w:br w:type="textWrapping"/>
            </w:r>
            <w:r>
              <w:rPr>
                <w:rStyle w:val="48"/>
                <w:rFonts w:hint="default" w:ascii="宋体" w:hAnsi="宋体" w:eastAsia="宋体" w:cs="宋体"/>
                <w:color w:val="auto"/>
                <w:sz w:val="21"/>
                <w:szCs w:val="21"/>
                <w:highlight w:val="none"/>
                <w:lang w:bidi="ar"/>
              </w:rPr>
              <w:t>9、支持PQ, DRR, PQ+WRR调度方式；</w:t>
            </w:r>
            <w:r>
              <w:rPr>
                <w:rStyle w:val="48"/>
                <w:rFonts w:hint="default" w:ascii="宋体" w:hAnsi="宋体" w:eastAsia="宋体" w:cs="宋体"/>
                <w:color w:val="auto"/>
                <w:sz w:val="21"/>
                <w:szCs w:val="21"/>
                <w:highlight w:val="none"/>
                <w:lang w:bidi="ar"/>
              </w:rPr>
              <w:br w:type="textWrapping"/>
            </w:r>
            <w:r>
              <w:rPr>
                <w:rStyle w:val="48"/>
                <w:rFonts w:hint="default" w:ascii="宋体" w:hAnsi="宋体" w:eastAsia="宋体" w:cs="宋体"/>
                <w:color w:val="auto"/>
                <w:sz w:val="21"/>
                <w:szCs w:val="21"/>
                <w:highlight w:val="none"/>
                <w:lang w:bidi="ar"/>
              </w:rPr>
              <w:t>10、</w:t>
            </w:r>
            <w:r>
              <w:rPr>
                <w:rStyle w:val="49"/>
                <w:rFonts w:hint="default" w:ascii="宋体" w:hAnsi="宋体" w:eastAsia="宋体" w:cs="宋体"/>
                <w:color w:val="auto"/>
                <w:sz w:val="21"/>
                <w:szCs w:val="21"/>
                <w:highlight w:val="none"/>
                <w:lang w:bidi="ar"/>
              </w:rPr>
              <w:t>▲支持BFD功能，BFD发包检测时间≤3.3ms（提供第三方测试报告复印件</w:t>
            </w:r>
            <w:r>
              <w:rPr>
                <w:rFonts w:hint="eastAsia" w:ascii="宋体" w:hAnsi="宋体" w:eastAsia="宋体" w:cs="宋体"/>
                <w:color w:val="auto"/>
                <w:sz w:val="21"/>
                <w:szCs w:val="21"/>
                <w:highlight w:val="none"/>
                <w:lang w:bidi="ar"/>
              </w:rPr>
              <w:t>并加盖投标人公章</w:t>
            </w:r>
            <w:r>
              <w:rPr>
                <w:rStyle w:val="49"/>
                <w:rFonts w:hint="default" w:ascii="宋体" w:hAnsi="宋体" w:eastAsia="宋体" w:cs="宋体"/>
                <w:color w:val="auto"/>
                <w:sz w:val="21"/>
                <w:szCs w:val="21"/>
                <w:highlight w:val="none"/>
                <w:lang w:bidi="ar"/>
              </w:rPr>
              <w:t>）</w:t>
            </w:r>
            <w:r>
              <w:rPr>
                <w:rStyle w:val="48"/>
                <w:rFonts w:hint="default" w:ascii="宋体" w:hAnsi="宋体" w:eastAsia="宋体" w:cs="宋体"/>
                <w:color w:val="auto"/>
                <w:sz w:val="21"/>
                <w:szCs w:val="21"/>
                <w:highlight w:val="none"/>
                <w:lang w:bidi="ar"/>
              </w:rPr>
              <w:t>；</w:t>
            </w:r>
            <w:r>
              <w:rPr>
                <w:rStyle w:val="48"/>
                <w:rFonts w:hint="default" w:ascii="宋体" w:hAnsi="宋体" w:eastAsia="宋体" w:cs="宋体"/>
                <w:color w:val="auto"/>
                <w:sz w:val="21"/>
                <w:szCs w:val="21"/>
                <w:highlight w:val="none"/>
                <w:lang w:bidi="ar"/>
              </w:rPr>
              <w:br w:type="textWrapping"/>
            </w:r>
            <w:r>
              <w:rPr>
                <w:rStyle w:val="48"/>
                <w:rFonts w:hint="default" w:ascii="宋体" w:hAnsi="宋体" w:eastAsia="宋体" w:cs="宋体"/>
                <w:color w:val="auto"/>
                <w:sz w:val="21"/>
                <w:szCs w:val="21"/>
                <w:highlight w:val="none"/>
                <w:lang w:bidi="ar"/>
              </w:rPr>
              <w:t>11、支持BGP-EVPN作为VxLAN的控制平面，简化DC内、DC间的VxLAN的配置；</w:t>
            </w:r>
            <w:r>
              <w:rPr>
                <w:rStyle w:val="48"/>
                <w:rFonts w:hint="default" w:ascii="宋体" w:hAnsi="宋体" w:eastAsia="宋体" w:cs="宋体"/>
                <w:color w:val="auto"/>
                <w:sz w:val="21"/>
                <w:szCs w:val="21"/>
                <w:highlight w:val="none"/>
                <w:lang w:bidi="ar"/>
              </w:rPr>
              <w:br w:type="textWrapping"/>
            </w:r>
            <w:r>
              <w:rPr>
                <w:rStyle w:val="48"/>
                <w:rFonts w:hint="default" w:ascii="宋体" w:hAnsi="宋体" w:eastAsia="宋体" w:cs="宋体"/>
                <w:color w:val="auto"/>
                <w:sz w:val="21"/>
                <w:szCs w:val="21"/>
                <w:highlight w:val="none"/>
                <w:lang w:bidi="ar"/>
              </w:rPr>
              <w:t>12、</w:t>
            </w:r>
            <w:r>
              <w:rPr>
                <w:rStyle w:val="49"/>
                <w:rFonts w:hint="default" w:ascii="宋体" w:hAnsi="宋体" w:eastAsia="宋体" w:cs="宋体"/>
                <w:color w:val="auto"/>
                <w:sz w:val="21"/>
                <w:szCs w:val="21"/>
                <w:highlight w:val="none"/>
                <w:lang w:bidi="ar"/>
              </w:rPr>
              <w:t>▲支持Telemetry、Netstream技术(提供第三方测试报告复印件</w:t>
            </w:r>
            <w:r>
              <w:rPr>
                <w:rFonts w:hint="eastAsia" w:ascii="宋体" w:hAnsi="宋体" w:eastAsia="宋体" w:cs="宋体"/>
                <w:color w:val="auto"/>
                <w:sz w:val="21"/>
                <w:szCs w:val="21"/>
                <w:highlight w:val="none"/>
                <w:lang w:bidi="ar"/>
              </w:rPr>
              <w:t>并加盖投标人公章）</w:t>
            </w:r>
            <w:r>
              <w:rPr>
                <w:rStyle w:val="49"/>
                <w:rFonts w:hint="default" w:ascii="宋体" w:hAnsi="宋体" w:eastAsia="宋体" w:cs="宋体"/>
                <w:color w:val="auto"/>
                <w:sz w:val="21"/>
                <w:szCs w:val="21"/>
                <w:highlight w:val="none"/>
                <w:lang w:bidi="ar"/>
              </w:rPr>
              <w:t>；</w:t>
            </w:r>
            <w:r>
              <w:rPr>
                <w:rStyle w:val="48"/>
                <w:rFonts w:hint="default" w:ascii="宋体" w:hAnsi="宋体" w:eastAsia="宋体" w:cs="宋体"/>
                <w:color w:val="auto"/>
                <w:sz w:val="21"/>
                <w:szCs w:val="21"/>
                <w:highlight w:val="none"/>
                <w:lang w:bidi="ar"/>
              </w:rPr>
              <w:br w:type="textWrapping"/>
            </w:r>
            <w:r>
              <w:rPr>
                <w:rStyle w:val="48"/>
                <w:rFonts w:hint="default" w:ascii="宋体" w:hAnsi="宋体" w:eastAsia="宋体" w:cs="宋体"/>
                <w:color w:val="auto"/>
                <w:sz w:val="21"/>
                <w:szCs w:val="21"/>
                <w:highlight w:val="none"/>
                <w:lang w:bidi="ar"/>
              </w:rPr>
              <w:t>13、支持SNMP V1/V2/V3、Telnet、RMON、SSH；</w:t>
            </w:r>
            <w:r>
              <w:rPr>
                <w:rStyle w:val="48"/>
                <w:rFonts w:hint="default" w:ascii="宋体" w:hAnsi="宋体" w:eastAsia="宋体" w:cs="宋体"/>
                <w:color w:val="auto"/>
                <w:sz w:val="21"/>
                <w:szCs w:val="21"/>
                <w:highlight w:val="none"/>
                <w:lang w:bidi="ar"/>
              </w:rPr>
              <w:br w:type="textWrapping"/>
            </w:r>
            <w:r>
              <w:rPr>
                <w:rStyle w:val="48"/>
                <w:rFonts w:hint="default" w:ascii="宋体" w:hAnsi="宋体" w:eastAsia="宋体" w:cs="宋体"/>
                <w:color w:val="auto"/>
                <w:sz w:val="21"/>
                <w:szCs w:val="21"/>
                <w:highlight w:val="none"/>
                <w:lang w:bidi="ar"/>
              </w:rPr>
              <w:t>14、支持通过命令行、中文图形化配置软件等方式进行配置和管理；</w:t>
            </w:r>
            <w:r>
              <w:rPr>
                <w:rStyle w:val="48"/>
                <w:rFonts w:hint="default" w:ascii="宋体" w:hAnsi="宋体" w:eastAsia="宋体" w:cs="宋体"/>
                <w:color w:val="auto"/>
                <w:sz w:val="21"/>
                <w:szCs w:val="21"/>
                <w:highlight w:val="none"/>
                <w:lang w:bidi="ar"/>
              </w:rPr>
              <w:br w:type="textWrapping"/>
            </w:r>
            <w:r>
              <w:rPr>
                <w:rStyle w:val="48"/>
                <w:rFonts w:hint="default" w:ascii="宋体" w:hAnsi="宋体" w:eastAsia="宋体" w:cs="宋体"/>
                <w:color w:val="auto"/>
                <w:sz w:val="21"/>
                <w:szCs w:val="21"/>
                <w:highlight w:val="none"/>
                <w:lang w:bidi="ar"/>
              </w:rPr>
              <w:t>15、支持端口镜像，流镜像、远程端口镜像（ERSPAN）；</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台</w:t>
            </w:r>
          </w:p>
        </w:tc>
      </w:tr>
      <w:tr>
        <w:tblPrEx>
          <w:tblCellMar>
            <w:top w:w="0" w:type="dxa"/>
            <w:left w:w="108" w:type="dxa"/>
            <w:bottom w:w="0" w:type="dxa"/>
            <w:right w:w="108" w:type="dxa"/>
          </w:tblCellMar>
        </w:tblPrEx>
        <w:trPr>
          <w:trHeight w:val="158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17</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全光交换机</w:t>
            </w:r>
          </w:p>
        </w:tc>
        <w:tc>
          <w:tcPr>
            <w:tcW w:w="58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Style w:val="48"/>
                <w:rFonts w:hint="default" w:ascii="宋体" w:hAnsi="宋体" w:eastAsia="宋体" w:cs="宋体"/>
                <w:color w:val="auto"/>
                <w:sz w:val="21"/>
                <w:szCs w:val="21"/>
                <w:highlight w:val="none"/>
                <w:lang w:bidi="ar"/>
              </w:rPr>
              <w:t>1、交换容量≥430Gbps（以官网最小值为准），包转发率≥140Mpps（以官网最小值为准）；</w:t>
            </w:r>
            <w:r>
              <w:rPr>
                <w:rStyle w:val="48"/>
                <w:rFonts w:hint="default" w:ascii="宋体" w:hAnsi="宋体" w:eastAsia="宋体" w:cs="宋体"/>
                <w:color w:val="auto"/>
                <w:sz w:val="21"/>
                <w:szCs w:val="21"/>
                <w:highlight w:val="none"/>
                <w:lang w:bidi="ar"/>
              </w:rPr>
              <w:br w:type="textWrapping"/>
            </w:r>
            <w:r>
              <w:rPr>
                <w:rStyle w:val="48"/>
                <w:rFonts w:hint="default" w:ascii="宋体" w:hAnsi="宋体" w:eastAsia="宋体" w:cs="宋体"/>
                <w:color w:val="auto"/>
                <w:sz w:val="21"/>
                <w:szCs w:val="21"/>
                <w:highlight w:val="none"/>
                <w:lang w:bidi="ar"/>
              </w:rPr>
              <w:t>2、千兆SFP≥48个，万兆SFP+≥4个；</w:t>
            </w:r>
            <w:r>
              <w:rPr>
                <w:rStyle w:val="48"/>
                <w:rFonts w:hint="default" w:ascii="宋体" w:hAnsi="宋体" w:eastAsia="宋体" w:cs="宋体"/>
                <w:color w:val="auto"/>
                <w:sz w:val="21"/>
                <w:szCs w:val="21"/>
                <w:highlight w:val="none"/>
                <w:lang w:bidi="ar"/>
              </w:rPr>
              <w:br w:type="textWrapping"/>
            </w:r>
            <w:r>
              <w:rPr>
                <w:rStyle w:val="48"/>
                <w:rFonts w:hint="default" w:ascii="宋体" w:hAnsi="宋体" w:eastAsia="宋体" w:cs="宋体"/>
                <w:color w:val="auto"/>
                <w:sz w:val="21"/>
                <w:szCs w:val="21"/>
                <w:highlight w:val="none"/>
                <w:lang w:bidi="ar"/>
              </w:rPr>
              <w:t>3、含千兆单模光模块≥48个，万兆多模光模块≥4个；</w:t>
            </w:r>
            <w:r>
              <w:rPr>
                <w:rStyle w:val="48"/>
                <w:rFonts w:hint="default" w:ascii="宋体" w:hAnsi="宋体" w:eastAsia="宋体" w:cs="宋体"/>
                <w:color w:val="auto"/>
                <w:sz w:val="21"/>
                <w:szCs w:val="21"/>
                <w:highlight w:val="none"/>
                <w:lang w:bidi="ar"/>
              </w:rPr>
              <w:br w:type="textWrapping"/>
            </w:r>
            <w:r>
              <w:rPr>
                <w:rStyle w:val="48"/>
                <w:rFonts w:hint="default" w:ascii="宋体" w:hAnsi="宋体" w:eastAsia="宋体" w:cs="宋体"/>
                <w:color w:val="auto"/>
                <w:sz w:val="21"/>
                <w:szCs w:val="21"/>
                <w:highlight w:val="none"/>
                <w:lang w:bidi="ar"/>
              </w:rPr>
              <w:t>4、支持双电源；</w:t>
            </w:r>
            <w:r>
              <w:rPr>
                <w:rStyle w:val="48"/>
                <w:rFonts w:hint="default" w:ascii="宋体" w:hAnsi="宋体" w:eastAsia="宋体" w:cs="宋体"/>
                <w:color w:val="auto"/>
                <w:sz w:val="21"/>
                <w:szCs w:val="21"/>
                <w:highlight w:val="none"/>
                <w:lang w:bidi="ar"/>
              </w:rPr>
              <w:br w:type="textWrapping"/>
            </w:r>
            <w:r>
              <w:rPr>
                <w:rStyle w:val="48"/>
                <w:rFonts w:hint="default" w:ascii="宋体" w:hAnsi="宋体" w:eastAsia="宋体" w:cs="宋体"/>
                <w:color w:val="auto"/>
                <w:sz w:val="21"/>
                <w:szCs w:val="21"/>
                <w:highlight w:val="none"/>
                <w:lang w:bidi="ar"/>
              </w:rPr>
              <w:t>5、支持4K个VLAN；</w:t>
            </w:r>
            <w:r>
              <w:rPr>
                <w:rStyle w:val="48"/>
                <w:rFonts w:hint="default" w:ascii="宋体" w:hAnsi="宋体" w:eastAsia="宋体" w:cs="宋体"/>
                <w:color w:val="auto"/>
                <w:sz w:val="21"/>
                <w:szCs w:val="21"/>
                <w:highlight w:val="none"/>
                <w:lang w:bidi="ar"/>
              </w:rPr>
              <w:br w:type="textWrapping"/>
            </w:r>
            <w:r>
              <w:rPr>
                <w:rStyle w:val="48"/>
                <w:rFonts w:hint="default" w:ascii="宋体" w:hAnsi="宋体" w:eastAsia="宋体" w:cs="宋体"/>
                <w:color w:val="auto"/>
                <w:sz w:val="21"/>
                <w:szCs w:val="21"/>
                <w:highlight w:val="none"/>
                <w:lang w:bidi="ar"/>
              </w:rPr>
              <w:t>6、支持静态、动态、黑洞MAC表项；</w:t>
            </w:r>
            <w:r>
              <w:rPr>
                <w:rStyle w:val="48"/>
                <w:rFonts w:hint="default" w:ascii="宋体" w:hAnsi="宋体" w:eastAsia="宋体" w:cs="宋体"/>
                <w:color w:val="auto"/>
                <w:sz w:val="21"/>
                <w:szCs w:val="21"/>
                <w:highlight w:val="none"/>
                <w:lang w:bidi="ar"/>
              </w:rPr>
              <w:br w:type="textWrapping"/>
            </w:r>
            <w:r>
              <w:rPr>
                <w:rStyle w:val="48"/>
                <w:rFonts w:hint="default" w:ascii="宋体" w:hAnsi="宋体" w:eastAsia="宋体" w:cs="宋体"/>
                <w:color w:val="auto"/>
                <w:sz w:val="21"/>
                <w:szCs w:val="21"/>
                <w:highlight w:val="none"/>
                <w:lang w:bidi="ar"/>
              </w:rPr>
              <w:t>7、</w:t>
            </w:r>
            <w:r>
              <w:rPr>
                <w:rStyle w:val="49"/>
                <w:rFonts w:hint="default" w:ascii="宋体" w:hAnsi="宋体" w:eastAsia="宋体" w:cs="宋体"/>
                <w:color w:val="auto"/>
                <w:sz w:val="21"/>
                <w:szCs w:val="21"/>
                <w:highlight w:val="none"/>
                <w:lang w:bidi="ar"/>
              </w:rPr>
              <w:t>▲支持RIP、RIPng、OSPF、OSPFv3、IS-IS、ISIS for IPv6、BGP、BGP4+等路由协议（提供第三方测试报告复印件</w:t>
            </w:r>
            <w:r>
              <w:rPr>
                <w:rFonts w:hint="eastAsia" w:ascii="宋体" w:hAnsi="宋体" w:eastAsia="宋体" w:cs="宋体"/>
                <w:color w:val="auto"/>
                <w:sz w:val="21"/>
                <w:szCs w:val="21"/>
                <w:highlight w:val="none"/>
                <w:lang w:bidi="ar"/>
              </w:rPr>
              <w:t>并加盖投标人公章</w:t>
            </w:r>
            <w:r>
              <w:rPr>
                <w:rStyle w:val="49"/>
                <w:rFonts w:hint="default" w:ascii="宋体" w:hAnsi="宋体" w:eastAsia="宋体" w:cs="宋体"/>
                <w:color w:val="auto"/>
                <w:sz w:val="21"/>
                <w:szCs w:val="21"/>
                <w:highlight w:val="none"/>
                <w:lang w:bidi="ar"/>
              </w:rPr>
              <w:t>）；</w:t>
            </w:r>
            <w:r>
              <w:rPr>
                <w:rStyle w:val="48"/>
                <w:rFonts w:hint="default" w:ascii="宋体" w:hAnsi="宋体" w:eastAsia="宋体" w:cs="宋体"/>
                <w:color w:val="auto"/>
                <w:sz w:val="21"/>
                <w:szCs w:val="21"/>
                <w:highlight w:val="none"/>
                <w:lang w:bidi="ar"/>
              </w:rPr>
              <w:br w:type="textWrapping"/>
            </w:r>
            <w:r>
              <w:rPr>
                <w:rStyle w:val="48"/>
                <w:rFonts w:hint="default" w:ascii="宋体" w:hAnsi="宋体" w:eastAsia="宋体" w:cs="宋体"/>
                <w:color w:val="auto"/>
                <w:sz w:val="21"/>
                <w:szCs w:val="21"/>
                <w:highlight w:val="none"/>
                <w:lang w:bidi="ar"/>
              </w:rPr>
              <w:t>8、支持对端口接收报文速率和发送报文速率进行限制，支持SP、WRR、SP+WRR等队列调度算法；</w:t>
            </w:r>
            <w:r>
              <w:rPr>
                <w:rStyle w:val="48"/>
                <w:rFonts w:hint="default" w:ascii="宋体" w:hAnsi="宋体" w:eastAsia="宋体" w:cs="宋体"/>
                <w:color w:val="auto"/>
                <w:sz w:val="21"/>
                <w:szCs w:val="21"/>
                <w:highlight w:val="none"/>
                <w:lang w:bidi="ar"/>
              </w:rPr>
              <w:br w:type="textWrapping"/>
            </w:r>
            <w:r>
              <w:rPr>
                <w:rStyle w:val="48"/>
                <w:rFonts w:hint="default" w:ascii="宋体" w:hAnsi="宋体" w:eastAsia="宋体" w:cs="宋体"/>
                <w:color w:val="auto"/>
                <w:sz w:val="21"/>
                <w:szCs w:val="21"/>
                <w:highlight w:val="none"/>
                <w:lang w:bidi="ar"/>
              </w:rPr>
              <w:t>9、支持报文的 802.1p 和 DSCP 优先级重新标记；</w:t>
            </w:r>
            <w:r>
              <w:rPr>
                <w:rStyle w:val="48"/>
                <w:rFonts w:hint="default" w:ascii="宋体" w:hAnsi="宋体" w:eastAsia="宋体" w:cs="宋体"/>
                <w:color w:val="auto"/>
                <w:sz w:val="21"/>
                <w:szCs w:val="21"/>
                <w:highlight w:val="none"/>
                <w:lang w:bidi="ar"/>
              </w:rPr>
              <w:br w:type="textWrapping"/>
            </w:r>
            <w:r>
              <w:rPr>
                <w:rStyle w:val="48"/>
                <w:rFonts w:hint="default" w:ascii="宋体" w:hAnsi="宋体" w:eastAsia="宋体" w:cs="宋体"/>
                <w:color w:val="auto"/>
                <w:sz w:val="21"/>
                <w:szCs w:val="21"/>
                <w:highlight w:val="none"/>
                <w:lang w:bidi="ar"/>
              </w:rPr>
              <w:t>10、支持电口堆叠；</w:t>
            </w:r>
            <w:r>
              <w:rPr>
                <w:rStyle w:val="48"/>
                <w:rFonts w:hint="default" w:ascii="宋体" w:hAnsi="宋体" w:eastAsia="宋体" w:cs="宋体"/>
                <w:color w:val="auto"/>
                <w:sz w:val="21"/>
                <w:szCs w:val="21"/>
                <w:highlight w:val="none"/>
                <w:lang w:bidi="ar"/>
              </w:rPr>
              <w:br w:type="textWrapping"/>
            </w:r>
            <w:r>
              <w:rPr>
                <w:rStyle w:val="48"/>
                <w:rFonts w:hint="default" w:ascii="宋体" w:hAnsi="宋体" w:eastAsia="宋体" w:cs="宋体"/>
                <w:color w:val="auto"/>
                <w:sz w:val="21"/>
                <w:szCs w:val="21"/>
                <w:highlight w:val="none"/>
                <w:lang w:bidi="ar"/>
              </w:rPr>
              <w:t>11、</w:t>
            </w:r>
            <w:r>
              <w:rPr>
                <w:rStyle w:val="49"/>
                <w:rFonts w:hint="default" w:ascii="宋体" w:hAnsi="宋体" w:eastAsia="宋体" w:cs="宋体"/>
                <w:color w:val="auto"/>
                <w:sz w:val="21"/>
                <w:szCs w:val="21"/>
                <w:highlight w:val="none"/>
                <w:lang w:bidi="ar"/>
              </w:rPr>
              <w:t>▲支持以太网环网保护交换（ERPS）协议，故障倒换收敛时间小于50毫秒(提供第三方测试报告复印件</w:t>
            </w:r>
            <w:r>
              <w:rPr>
                <w:rFonts w:hint="eastAsia" w:ascii="宋体" w:hAnsi="宋体" w:eastAsia="宋体" w:cs="宋体"/>
                <w:color w:val="auto"/>
                <w:sz w:val="21"/>
                <w:szCs w:val="21"/>
                <w:highlight w:val="none"/>
                <w:lang w:bidi="ar"/>
              </w:rPr>
              <w:t>并加盖投标人公章)</w:t>
            </w:r>
            <w:r>
              <w:rPr>
                <w:rStyle w:val="49"/>
                <w:rFonts w:hint="default" w:ascii="宋体" w:hAnsi="宋体" w:eastAsia="宋体" w:cs="宋体"/>
                <w:color w:val="auto"/>
                <w:sz w:val="21"/>
                <w:szCs w:val="21"/>
                <w:highlight w:val="none"/>
                <w:lang w:bidi="ar"/>
              </w:rPr>
              <w:t>；</w:t>
            </w:r>
            <w:r>
              <w:rPr>
                <w:rStyle w:val="48"/>
                <w:rFonts w:hint="default" w:ascii="宋体" w:hAnsi="宋体" w:eastAsia="宋体" w:cs="宋体"/>
                <w:color w:val="auto"/>
                <w:sz w:val="21"/>
                <w:szCs w:val="21"/>
                <w:highlight w:val="none"/>
                <w:lang w:bidi="ar"/>
              </w:rPr>
              <w:br w:type="textWrapping"/>
            </w:r>
            <w:r>
              <w:rPr>
                <w:rStyle w:val="48"/>
                <w:rFonts w:hint="default" w:ascii="宋体" w:hAnsi="宋体" w:eastAsia="宋体" w:cs="宋体"/>
                <w:color w:val="auto"/>
                <w:sz w:val="21"/>
                <w:szCs w:val="21"/>
                <w:highlight w:val="none"/>
                <w:lang w:bidi="ar"/>
              </w:rPr>
              <w:t>12、支持防止DOS、ARP攻击功能、ICMP防攻击；</w:t>
            </w:r>
            <w:r>
              <w:rPr>
                <w:rStyle w:val="48"/>
                <w:rFonts w:hint="default" w:ascii="宋体" w:hAnsi="宋体" w:eastAsia="宋体" w:cs="宋体"/>
                <w:color w:val="auto"/>
                <w:sz w:val="21"/>
                <w:szCs w:val="21"/>
                <w:highlight w:val="none"/>
                <w:lang w:bidi="ar"/>
              </w:rPr>
              <w:br w:type="textWrapping"/>
            </w:r>
            <w:r>
              <w:rPr>
                <w:rStyle w:val="48"/>
                <w:rFonts w:hint="default" w:ascii="宋体" w:hAnsi="宋体" w:eastAsia="宋体" w:cs="宋体"/>
                <w:color w:val="auto"/>
                <w:sz w:val="21"/>
                <w:szCs w:val="21"/>
                <w:highlight w:val="none"/>
                <w:lang w:bidi="ar"/>
              </w:rPr>
              <w:t>13、支持端口隔离、端口安全、Sticky MAC；</w:t>
            </w:r>
            <w:r>
              <w:rPr>
                <w:rStyle w:val="48"/>
                <w:rFonts w:hint="default" w:ascii="宋体" w:hAnsi="宋体" w:eastAsia="宋体" w:cs="宋体"/>
                <w:color w:val="auto"/>
                <w:sz w:val="21"/>
                <w:szCs w:val="21"/>
                <w:highlight w:val="none"/>
                <w:lang w:bidi="ar"/>
              </w:rPr>
              <w:br w:type="textWrapping"/>
            </w:r>
            <w:r>
              <w:rPr>
                <w:rStyle w:val="48"/>
                <w:rFonts w:hint="default" w:ascii="宋体" w:hAnsi="宋体" w:eastAsia="宋体" w:cs="宋体"/>
                <w:color w:val="auto"/>
                <w:sz w:val="21"/>
                <w:szCs w:val="21"/>
                <w:highlight w:val="none"/>
                <w:lang w:bidi="ar"/>
              </w:rPr>
              <w:t>14、支持 IPv6 Ping、IPv6 Tracert、IPv6 Telnet；</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台</w:t>
            </w:r>
          </w:p>
        </w:tc>
      </w:tr>
      <w:tr>
        <w:tblPrEx>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18</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BMC接入交换机</w:t>
            </w:r>
          </w:p>
        </w:tc>
        <w:tc>
          <w:tcPr>
            <w:tcW w:w="58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Style w:val="52"/>
                <w:rFonts w:hint="default" w:ascii="宋体" w:hAnsi="宋体" w:eastAsia="宋体" w:cs="宋体"/>
                <w:color w:val="auto"/>
                <w:sz w:val="21"/>
                <w:szCs w:val="21"/>
                <w:highlight w:val="none"/>
                <w:lang w:bidi="ar"/>
              </w:rPr>
              <w:t>1、交换容量≥430Gbps（以官网最小值为准），包转发率≥140Mpps（以官网最小值为准）；</w:t>
            </w:r>
            <w:r>
              <w:rPr>
                <w:rStyle w:val="52"/>
                <w:rFonts w:hint="default" w:ascii="宋体" w:hAnsi="宋体" w:eastAsia="宋体" w:cs="宋体"/>
                <w:color w:val="auto"/>
                <w:sz w:val="21"/>
                <w:szCs w:val="21"/>
                <w:highlight w:val="none"/>
                <w:lang w:bidi="ar"/>
              </w:rPr>
              <w:br w:type="textWrapping"/>
            </w:r>
            <w:r>
              <w:rPr>
                <w:rStyle w:val="52"/>
                <w:rFonts w:hint="default" w:ascii="宋体" w:hAnsi="宋体" w:eastAsia="宋体" w:cs="宋体"/>
                <w:color w:val="auto"/>
                <w:sz w:val="21"/>
                <w:szCs w:val="21"/>
                <w:highlight w:val="none"/>
                <w:lang w:bidi="ar"/>
              </w:rPr>
              <w:t>2、10/100/1000BASE-T以太网端口≥48个，万兆SFP+≥4个；</w:t>
            </w:r>
            <w:r>
              <w:rPr>
                <w:rStyle w:val="52"/>
                <w:rFonts w:hint="default" w:ascii="宋体" w:hAnsi="宋体" w:eastAsia="宋体" w:cs="宋体"/>
                <w:color w:val="auto"/>
                <w:sz w:val="21"/>
                <w:szCs w:val="21"/>
                <w:highlight w:val="none"/>
                <w:lang w:bidi="ar"/>
              </w:rPr>
              <w:br w:type="textWrapping"/>
            </w:r>
            <w:r>
              <w:rPr>
                <w:rStyle w:val="52"/>
                <w:rFonts w:hint="default" w:ascii="宋体" w:hAnsi="宋体" w:eastAsia="宋体" w:cs="宋体"/>
                <w:color w:val="auto"/>
                <w:sz w:val="21"/>
                <w:szCs w:val="21"/>
                <w:highlight w:val="none"/>
                <w:lang w:bidi="ar"/>
              </w:rPr>
              <w:t>3、支持4K个VLAN；</w:t>
            </w:r>
            <w:r>
              <w:rPr>
                <w:rStyle w:val="52"/>
                <w:rFonts w:hint="default" w:ascii="宋体" w:hAnsi="宋体" w:eastAsia="宋体" w:cs="宋体"/>
                <w:color w:val="auto"/>
                <w:sz w:val="21"/>
                <w:szCs w:val="21"/>
                <w:highlight w:val="none"/>
                <w:lang w:bidi="ar"/>
              </w:rPr>
              <w:br w:type="textWrapping"/>
            </w:r>
            <w:r>
              <w:rPr>
                <w:rStyle w:val="52"/>
                <w:rFonts w:hint="default" w:ascii="宋体" w:hAnsi="宋体" w:eastAsia="宋体" w:cs="宋体"/>
                <w:color w:val="auto"/>
                <w:sz w:val="21"/>
                <w:szCs w:val="21"/>
                <w:highlight w:val="none"/>
                <w:lang w:bidi="ar"/>
              </w:rPr>
              <w:t>4、支持静态、动态、黑洞MAC表项；</w:t>
            </w:r>
            <w:r>
              <w:rPr>
                <w:rStyle w:val="52"/>
                <w:rFonts w:hint="default" w:ascii="宋体" w:hAnsi="宋体" w:eastAsia="宋体" w:cs="宋体"/>
                <w:color w:val="auto"/>
                <w:sz w:val="21"/>
                <w:szCs w:val="21"/>
                <w:highlight w:val="none"/>
                <w:lang w:bidi="ar"/>
              </w:rPr>
              <w:br w:type="textWrapping"/>
            </w:r>
            <w:r>
              <w:rPr>
                <w:rStyle w:val="52"/>
                <w:rFonts w:hint="default" w:ascii="宋体" w:hAnsi="宋体" w:eastAsia="宋体" w:cs="宋体"/>
                <w:color w:val="auto"/>
                <w:sz w:val="21"/>
                <w:szCs w:val="21"/>
                <w:highlight w:val="none"/>
                <w:lang w:bidi="ar"/>
              </w:rPr>
              <w:t>5、</w:t>
            </w:r>
            <w:r>
              <w:rPr>
                <w:rStyle w:val="49"/>
                <w:rFonts w:hint="default" w:ascii="宋体" w:hAnsi="宋体" w:eastAsia="宋体" w:cs="宋体"/>
                <w:color w:val="auto"/>
                <w:sz w:val="21"/>
                <w:szCs w:val="21"/>
                <w:highlight w:val="none"/>
                <w:lang w:bidi="ar"/>
              </w:rPr>
              <w:t>▲支持RIP、RIPng、OSPF、OSPFv3路由协议(提供第三方测试报告复印件</w:t>
            </w:r>
            <w:r>
              <w:rPr>
                <w:rFonts w:hint="eastAsia" w:ascii="宋体" w:hAnsi="宋体" w:eastAsia="宋体" w:cs="宋体"/>
                <w:color w:val="auto"/>
                <w:sz w:val="21"/>
                <w:szCs w:val="21"/>
                <w:highlight w:val="none"/>
                <w:lang w:bidi="ar"/>
              </w:rPr>
              <w:t>并加盖投标人公章)</w:t>
            </w:r>
            <w:r>
              <w:rPr>
                <w:rStyle w:val="49"/>
                <w:rFonts w:hint="default" w:ascii="宋体" w:hAnsi="宋体" w:eastAsia="宋体" w:cs="宋体"/>
                <w:color w:val="auto"/>
                <w:sz w:val="21"/>
                <w:szCs w:val="21"/>
                <w:highlight w:val="none"/>
                <w:lang w:bidi="ar"/>
              </w:rPr>
              <w:t>；</w:t>
            </w:r>
            <w:r>
              <w:rPr>
                <w:rStyle w:val="52"/>
                <w:rFonts w:hint="default" w:ascii="宋体" w:hAnsi="宋体" w:eastAsia="宋体" w:cs="宋体"/>
                <w:color w:val="auto"/>
                <w:sz w:val="21"/>
                <w:szCs w:val="21"/>
                <w:highlight w:val="none"/>
                <w:lang w:bidi="ar"/>
              </w:rPr>
              <w:br w:type="textWrapping"/>
            </w:r>
            <w:r>
              <w:rPr>
                <w:rStyle w:val="52"/>
                <w:rFonts w:hint="default" w:ascii="宋体" w:hAnsi="宋体" w:eastAsia="宋体" w:cs="宋体"/>
                <w:color w:val="auto"/>
                <w:sz w:val="21"/>
                <w:szCs w:val="21"/>
                <w:highlight w:val="none"/>
                <w:lang w:bidi="ar"/>
              </w:rPr>
              <w:t>6、支持电口堆叠；</w:t>
            </w:r>
            <w:r>
              <w:rPr>
                <w:rStyle w:val="52"/>
                <w:rFonts w:hint="default" w:ascii="宋体" w:hAnsi="宋体" w:eastAsia="宋体" w:cs="宋体"/>
                <w:color w:val="auto"/>
                <w:sz w:val="21"/>
                <w:szCs w:val="21"/>
                <w:highlight w:val="none"/>
                <w:lang w:bidi="ar"/>
              </w:rPr>
              <w:br w:type="textWrapping"/>
            </w:r>
            <w:r>
              <w:rPr>
                <w:rStyle w:val="52"/>
                <w:rFonts w:hint="default" w:ascii="宋体" w:hAnsi="宋体" w:eastAsia="宋体" w:cs="宋体"/>
                <w:color w:val="auto"/>
                <w:sz w:val="21"/>
                <w:szCs w:val="21"/>
                <w:highlight w:val="none"/>
                <w:lang w:bidi="ar"/>
              </w:rPr>
              <w:t>7、支持防止 DOS、ARP 攻击功能、ICMP 防攻击；</w:t>
            </w:r>
            <w:r>
              <w:rPr>
                <w:rStyle w:val="52"/>
                <w:rFonts w:hint="default" w:ascii="宋体" w:hAnsi="宋体" w:eastAsia="宋体" w:cs="宋体"/>
                <w:color w:val="auto"/>
                <w:sz w:val="21"/>
                <w:szCs w:val="21"/>
                <w:highlight w:val="none"/>
                <w:lang w:bidi="ar"/>
              </w:rPr>
              <w:br w:type="textWrapping"/>
            </w:r>
            <w:r>
              <w:rPr>
                <w:rStyle w:val="52"/>
                <w:rFonts w:hint="default" w:ascii="宋体" w:hAnsi="宋体" w:eastAsia="宋体" w:cs="宋体"/>
                <w:color w:val="auto"/>
                <w:sz w:val="21"/>
                <w:szCs w:val="21"/>
                <w:highlight w:val="none"/>
                <w:lang w:bidi="ar"/>
              </w:rPr>
              <w:t>8、支持端口隔离、端口安全、Sticky MAC；</w:t>
            </w:r>
            <w:r>
              <w:rPr>
                <w:rStyle w:val="52"/>
                <w:rFonts w:hint="default" w:ascii="宋体" w:hAnsi="宋体" w:eastAsia="宋体" w:cs="宋体"/>
                <w:color w:val="auto"/>
                <w:sz w:val="21"/>
                <w:szCs w:val="21"/>
                <w:highlight w:val="none"/>
                <w:lang w:bidi="ar"/>
              </w:rPr>
              <w:br w:type="textWrapping"/>
            </w:r>
            <w:r>
              <w:rPr>
                <w:rStyle w:val="52"/>
                <w:rFonts w:hint="default" w:ascii="宋体" w:hAnsi="宋体" w:eastAsia="宋体" w:cs="宋体"/>
                <w:color w:val="auto"/>
                <w:sz w:val="21"/>
                <w:szCs w:val="21"/>
                <w:highlight w:val="none"/>
                <w:lang w:bidi="ar"/>
              </w:rPr>
              <w:t>9、支持 IPv6 Ping、IPv6 Tracert、IPv6 Telnet；</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台</w:t>
            </w:r>
          </w:p>
        </w:tc>
      </w:tr>
      <w:tr>
        <w:tblPrEx>
          <w:tblCellMar>
            <w:top w:w="0" w:type="dxa"/>
            <w:left w:w="108" w:type="dxa"/>
            <w:bottom w:w="0" w:type="dxa"/>
            <w:right w:w="108" w:type="dxa"/>
          </w:tblCellMar>
        </w:tblPrEx>
        <w:trPr>
          <w:trHeight w:val="23"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二、机房基能</w:t>
            </w:r>
          </w:p>
        </w:tc>
      </w:tr>
      <w:tr>
        <w:tblPrEx>
          <w:tblCellMar>
            <w:top w:w="0" w:type="dxa"/>
            <w:left w:w="108" w:type="dxa"/>
            <w:bottom w:w="0" w:type="dxa"/>
            <w:right w:w="108" w:type="dxa"/>
          </w:tblCellMar>
        </w:tblPrEx>
        <w:trPr>
          <w:trHeight w:val="293" w:hRule="atLeast"/>
        </w:trPr>
        <w:tc>
          <w:tcPr>
            <w:tcW w:w="73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（一）电气</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rPr>
                <w:rFonts w:ascii="宋体" w:hAnsi="宋体" w:eastAsia="宋体" w:cs="宋体"/>
                <w:color w:val="auto"/>
                <w:sz w:val="21"/>
                <w:szCs w:val="21"/>
                <w:highlight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rPr>
                <w:rFonts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UPS输入输出配电柜</w:t>
            </w:r>
          </w:p>
        </w:tc>
        <w:tc>
          <w:tcPr>
            <w:tcW w:w="58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含UPS输入开关1个，旁路输入1个，UPS输出开关1个，市电维修旁路开关1个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台</w:t>
            </w:r>
          </w:p>
        </w:tc>
      </w:tr>
      <w:tr>
        <w:tblPrEx>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模块化UPS主机</w:t>
            </w:r>
          </w:p>
        </w:tc>
        <w:tc>
          <w:tcPr>
            <w:tcW w:w="58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模块化UPS，120KVA主机框，最大可扩容至120KVA，尺寸：600*850*2000（宽*深*高）</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台</w:t>
            </w:r>
          </w:p>
        </w:tc>
      </w:tr>
      <w:tr>
        <w:tblPrEx>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UPS功率模块</w:t>
            </w:r>
          </w:p>
        </w:tc>
        <w:tc>
          <w:tcPr>
            <w:tcW w:w="58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功率模块-30kVA功率模块-2U-UPS5000-E（1+1冗余）</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2 </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个</w:t>
            </w:r>
          </w:p>
        </w:tc>
      </w:tr>
      <w:tr>
        <w:tblPrEx>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锂电池</w:t>
            </w:r>
          </w:p>
        </w:tc>
        <w:tc>
          <w:tcPr>
            <w:tcW w:w="58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磷酸铁锂电池，40Ah，64V（备电时间30分钟）</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8 </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个</w:t>
            </w:r>
          </w:p>
        </w:tc>
      </w:tr>
      <w:tr>
        <w:tblPrEx>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锂电池柜</w:t>
            </w:r>
          </w:p>
        </w:tc>
        <w:tc>
          <w:tcPr>
            <w:tcW w:w="58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配套锂电池柜，尺寸：600*850*2000（宽*深*高）</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1 </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台</w:t>
            </w:r>
          </w:p>
        </w:tc>
      </w:tr>
      <w:tr>
        <w:tblPrEx>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6</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IT配电箱</w:t>
            </w:r>
          </w:p>
        </w:tc>
        <w:tc>
          <w:tcPr>
            <w:tcW w:w="58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100A开关（断路器）2个，32A开关6个。</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1 </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台</w:t>
            </w:r>
          </w:p>
        </w:tc>
      </w:tr>
      <w:tr>
        <w:tblPrEx>
          <w:tblCellMar>
            <w:top w:w="0" w:type="dxa"/>
            <w:left w:w="108" w:type="dxa"/>
            <w:bottom w:w="0" w:type="dxa"/>
            <w:right w:w="108" w:type="dxa"/>
          </w:tblCellMar>
        </w:tblPrEx>
        <w:trPr>
          <w:trHeight w:val="23" w:hRule="atLeast"/>
        </w:trPr>
        <w:tc>
          <w:tcPr>
            <w:tcW w:w="73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线缆</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rPr>
                <w:rFonts w:ascii="宋体" w:hAnsi="宋体" w:eastAsia="宋体" w:cs="宋体"/>
                <w:color w:val="auto"/>
                <w:sz w:val="21"/>
                <w:szCs w:val="21"/>
                <w:highlight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10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电力电缆</w:t>
            </w:r>
          </w:p>
        </w:tc>
        <w:tc>
          <w:tcPr>
            <w:tcW w:w="58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YJV-(4x95+1x50)mm^2-黑(4+1芯:黄,绿,红,蓝,黑)</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1000</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m</w:t>
            </w:r>
          </w:p>
        </w:tc>
      </w:tr>
      <w:tr>
        <w:tblPrEx>
          <w:tblCellMar>
            <w:top w:w="0" w:type="dxa"/>
            <w:left w:w="108" w:type="dxa"/>
            <w:bottom w:w="0" w:type="dxa"/>
            <w:right w:w="108"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电力电缆</w:t>
            </w:r>
          </w:p>
        </w:tc>
        <w:tc>
          <w:tcPr>
            <w:tcW w:w="58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YJV-(3x120+1x70)mm^2-黑(3+1芯:黄,绿,红,黑)</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1000</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m</w:t>
            </w:r>
          </w:p>
        </w:tc>
      </w:tr>
      <w:tr>
        <w:tblPrEx>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3</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电力电缆</w:t>
            </w:r>
          </w:p>
        </w:tc>
        <w:tc>
          <w:tcPr>
            <w:tcW w:w="58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YJV-(4x50+1x35)mm^2-黑(4+1芯:黄,绿,红,蓝,黑)</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1000</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m</w:t>
            </w:r>
          </w:p>
        </w:tc>
      </w:tr>
      <w:tr>
        <w:tblPrEx>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4</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电力电缆</w:t>
            </w:r>
          </w:p>
        </w:tc>
        <w:tc>
          <w:tcPr>
            <w:tcW w:w="58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YJV-3x6mm^2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500</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m</w:t>
            </w:r>
          </w:p>
        </w:tc>
      </w:tr>
      <w:tr>
        <w:tblPrEx>
          <w:tblCellMar>
            <w:top w:w="0" w:type="dxa"/>
            <w:left w:w="108" w:type="dxa"/>
            <w:bottom w:w="0" w:type="dxa"/>
            <w:right w:w="108" w:type="dxa"/>
          </w:tblCellMar>
        </w:tblPrEx>
        <w:trPr>
          <w:trHeight w:val="23" w:hRule="atLeast"/>
        </w:trPr>
        <w:tc>
          <w:tcPr>
            <w:tcW w:w="73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（二）机柜系统</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rPr>
                <w:rFonts w:ascii="宋体" w:hAnsi="宋体" w:eastAsia="宋体" w:cs="宋体"/>
                <w:color w:val="auto"/>
                <w:sz w:val="21"/>
                <w:szCs w:val="21"/>
                <w:highlight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23" w:hRule="atLeast"/>
        </w:trPr>
        <w:tc>
          <w:tcPr>
            <w:tcW w:w="73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机柜</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rPr>
                <w:rFonts w:ascii="宋体" w:hAnsi="宋体" w:eastAsia="宋体" w:cs="宋体"/>
                <w:color w:val="auto"/>
                <w:sz w:val="21"/>
                <w:szCs w:val="21"/>
                <w:highlight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机柜</w:t>
            </w:r>
          </w:p>
        </w:tc>
        <w:tc>
          <w:tcPr>
            <w:tcW w:w="58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M型机架-600mm(W)*1200mm(D)*2000mm(H)-42U-无滚轮、含2pcs侧板、典配附件，标配2条PDU：20*10A+4*16A</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 xml:space="preserve">4 </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台</w:t>
            </w:r>
          </w:p>
        </w:tc>
      </w:tr>
      <w:tr>
        <w:tblPrEx>
          <w:tblCellMar>
            <w:top w:w="0" w:type="dxa"/>
            <w:left w:w="108" w:type="dxa"/>
            <w:bottom w:w="0" w:type="dxa"/>
            <w:right w:w="108" w:type="dxa"/>
          </w:tblCellMar>
        </w:tblPrEx>
        <w:trPr>
          <w:trHeight w:val="23" w:hRule="atLeast"/>
        </w:trPr>
        <w:tc>
          <w:tcPr>
            <w:tcW w:w="73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659264"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207" name="Text_Box_1"/>
                  <wp:cNvGraphicFramePr/>
                  <a:graphic xmlns:a="http://schemas.openxmlformats.org/drawingml/2006/main">
                    <a:graphicData uri="http://schemas.openxmlformats.org/drawingml/2006/picture">
                      <pic:pic xmlns:pic="http://schemas.openxmlformats.org/drawingml/2006/picture">
                        <pic:nvPicPr>
                          <pic:cNvPr id="207" name="Text_Box_1"/>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660288"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212" name="Text_Box_4"/>
                  <wp:cNvGraphicFramePr/>
                  <a:graphic xmlns:a="http://schemas.openxmlformats.org/drawingml/2006/main">
                    <a:graphicData uri="http://schemas.openxmlformats.org/drawingml/2006/picture">
                      <pic:pic xmlns:pic="http://schemas.openxmlformats.org/drawingml/2006/picture">
                        <pic:nvPicPr>
                          <pic:cNvPr id="212" name="Text_Box_4"/>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661312"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208" name="Text_Box_1_SpCnt_1"/>
                  <wp:cNvGraphicFramePr/>
                  <a:graphic xmlns:a="http://schemas.openxmlformats.org/drawingml/2006/main">
                    <a:graphicData uri="http://schemas.openxmlformats.org/drawingml/2006/picture">
                      <pic:pic xmlns:pic="http://schemas.openxmlformats.org/drawingml/2006/picture">
                        <pic:nvPicPr>
                          <pic:cNvPr id="208" name="Text_Box_1_SpCnt_1"/>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662336"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214" name="Text_Box_4_SpCnt_1"/>
                  <wp:cNvGraphicFramePr/>
                  <a:graphic xmlns:a="http://schemas.openxmlformats.org/drawingml/2006/main">
                    <a:graphicData uri="http://schemas.openxmlformats.org/drawingml/2006/picture">
                      <pic:pic xmlns:pic="http://schemas.openxmlformats.org/drawingml/2006/picture">
                        <pic:nvPicPr>
                          <pic:cNvPr id="214" name="Text_Box_4_SpCnt_1"/>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663360"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213" name="Text_Box_2"/>
                  <wp:cNvGraphicFramePr/>
                  <a:graphic xmlns:a="http://schemas.openxmlformats.org/drawingml/2006/main">
                    <a:graphicData uri="http://schemas.openxmlformats.org/drawingml/2006/picture">
                      <pic:pic xmlns:pic="http://schemas.openxmlformats.org/drawingml/2006/picture">
                        <pic:nvPicPr>
                          <pic:cNvPr id="213" name="Text_Box_2"/>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664384"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211" name="Text_Box_1_SpCnt_2"/>
                  <wp:cNvGraphicFramePr/>
                  <a:graphic xmlns:a="http://schemas.openxmlformats.org/drawingml/2006/main">
                    <a:graphicData uri="http://schemas.openxmlformats.org/drawingml/2006/picture">
                      <pic:pic xmlns:pic="http://schemas.openxmlformats.org/drawingml/2006/picture">
                        <pic:nvPicPr>
                          <pic:cNvPr id="211" name="Text_Box_1_SpCnt_2"/>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665408"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206" name="Text_Box_2_SpCnt_1"/>
                  <wp:cNvGraphicFramePr/>
                  <a:graphic xmlns:a="http://schemas.openxmlformats.org/drawingml/2006/main">
                    <a:graphicData uri="http://schemas.openxmlformats.org/drawingml/2006/picture">
                      <pic:pic xmlns:pic="http://schemas.openxmlformats.org/drawingml/2006/picture">
                        <pic:nvPicPr>
                          <pic:cNvPr id="206" name="Text_Box_2_SpCnt_1"/>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666432"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209" name="Text_Box_7"/>
                  <wp:cNvGraphicFramePr/>
                  <a:graphic xmlns:a="http://schemas.openxmlformats.org/drawingml/2006/main">
                    <a:graphicData uri="http://schemas.openxmlformats.org/drawingml/2006/picture">
                      <pic:pic xmlns:pic="http://schemas.openxmlformats.org/drawingml/2006/picture">
                        <pic:nvPicPr>
                          <pic:cNvPr id="209" name="Text_Box_7"/>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667456"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210" name="Text_Box_6"/>
                  <wp:cNvGraphicFramePr/>
                  <a:graphic xmlns:a="http://schemas.openxmlformats.org/drawingml/2006/main">
                    <a:graphicData uri="http://schemas.openxmlformats.org/drawingml/2006/picture">
                      <pic:pic xmlns:pic="http://schemas.openxmlformats.org/drawingml/2006/picture">
                        <pic:nvPicPr>
                          <pic:cNvPr id="210" name="Text_Box_6"/>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668480"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215" name="Text_Box_7_SpCnt_1"/>
                  <wp:cNvGraphicFramePr/>
                  <a:graphic xmlns:a="http://schemas.openxmlformats.org/drawingml/2006/main">
                    <a:graphicData uri="http://schemas.openxmlformats.org/drawingml/2006/picture">
                      <pic:pic xmlns:pic="http://schemas.openxmlformats.org/drawingml/2006/picture">
                        <pic:nvPicPr>
                          <pic:cNvPr id="215" name="Text_Box_7_SpCnt_1"/>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669504"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217" name="Text_Box_1_SpCnt_3"/>
                  <wp:cNvGraphicFramePr/>
                  <a:graphic xmlns:a="http://schemas.openxmlformats.org/drawingml/2006/main">
                    <a:graphicData uri="http://schemas.openxmlformats.org/drawingml/2006/picture">
                      <pic:pic xmlns:pic="http://schemas.openxmlformats.org/drawingml/2006/picture">
                        <pic:nvPicPr>
                          <pic:cNvPr id="217" name="Text_Box_1_SpCnt_3"/>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670528"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230" name="Text_Box_5"/>
                  <wp:cNvGraphicFramePr/>
                  <a:graphic xmlns:a="http://schemas.openxmlformats.org/drawingml/2006/main">
                    <a:graphicData uri="http://schemas.openxmlformats.org/drawingml/2006/picture">
                      <pic:pic xmlns:pic="http://schemas.openxmlformats.org/drawingml/2006/picture">
                        <pic:nvPicPr>
                          <pic:cNvPr id="230" name="Text_Box_5"/>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671552"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216" name="Text_Box_4_SpCnt_2"/>
                  <wp:cNvGraphicFramePr/>
                  <a:graphic xmlns:a="http://schemas.openxmlformats.org/drawingml/2006/main">
                    <a:graphicData uri="http://schemas.openxmlformats.org/drawingml/2006/picture">
                      <pic:pic xmlns:pic="http://schemas.openxmlformats.org/drawingml/2006/picture">
                        <pic:nvPicPr>
                          <pic:cNvPr id="216" name="Text_Box_4_SpCnt_2"/>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672576"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219" name="Text_Box_7_SpCnt_2"/>
                  <wp:cNvGraphicFramePr/>
                  <a:graphic xmlns:a="http://schemas.openxmlformats.org/drawingml/2006/main">
                    <a:graphicData uri="http://schemas.openxmlformats.org/drawingml/2006/picture">
                      <pic:pic xmlns:pic="http://schemas.openxmlformats.org/drawingml/2006/picture">
                        <pic:nvPicPr>
                          <pic:cNvPr id="219" name="Text_Box_7_SpCnt_2"/>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673600"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218" name="Text_Box_2_SpCnt_2"/>
                  <wp:cNvGraphicFramePr/>
                  <a:graphic xmlns:a="http://schemas.openxmlformats.org/drawingml/2006/main">
                    <a:graphicData uri="http://schemas.openxmlformats.org/drawingml/2006/picture">
                      <pic:pic xmlns:pic="http://schemas.openxmlformats.org/drawingml/2006/picture">
                        <pic:nvPicPr>
                          <pic:cNvPr id="218" name="Text_Box_2_SpCnt_2"/>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674624"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233" name="Text_Box_3"/>
                  <wp:cNvGraphicFramePr/>
                  <a:graphic xmlns:a="http://schemas.openxmlformats.org/drawingml/2006/main">
                    <a:graphicData uri="http://schemas.openxmlformats.org/drawingml/2006/picture">
                      <pic:pic xmlns:pic="http://schemas.openxmlformats.org/drawingml/2006/picture">
                        <pic:nvPicPr>
                          <pic:cNvPr id="233" name="Text_Box_3"/>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675648"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220" name="Text_Box_7_SpCnt_3"/>
                  <wp:cNvGraphicFramePr/>
                  <a:graphic xmlns:a="http://schemas.openxmlformats.org/drawingml/2006/main">
                    <a:graphicData uri="http://schemas.openxmlformats.org/drawingml/2006/picture">
                      <pic:pic xmlns:pic="http://schemas.openxmlformats.org/drawingml/2006/picture">
                        <pic:nvPicPr>
                          <pic:cNvPr id="220" name="Text_Box_7_SpCnt_3"/>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676672"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237" name="Text_Box_7_SpCnt_4"/>
                  <wp:cNvGraphicFramePr/>
                  <a:graphic xmlns:a="http://schemas.openxmlformats.org/drawingml/2006/main">
                    <a:graphicData uri="http://schemas.openxmlformats.org/drawingml/2006/picture">
                      <pic:pic xmlns:pic="http://schemas.openxmlformats.org/drawingml/2006/picture">
                        <pic:nvPicPr>
                          <pic:cNvPr id="237" name="Text_Box_7_SpCnt_4"/>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677696"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235" name="Text_Box_6_SpCnt_1"/>
                  <wp:cNvGraphicFramePr/>
                  <a:graphic xmlns:a="http://schemas.openxmlformats.org/drawingml/2006/main">
                    <a:graphicData uri="http://schemas.openxmlformats.org/drawingml/2006/picture">
                      <pic:pic xmlns:pic="http://schemas.openxmlformats.org/drawingml/2006/picture">
                        <pic:nvPicPr>
                          <pic:cNvPr id="235" name="Text_Box_6_SpCnt_1"/>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678720"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236" name="Text_Box_2_SpCnt_3"/>
                  <wp:cNvGraphicFramePr/>
                  <a:graphic xmlns:a="http://schemas.openxmlformats.org/drawingml/2006/main">
                    <a:graphicData uri="http://schemas.openxmlformats.org/drawingml/2006/picture">
                      <pic:pic xmlns:pic="http://schemas.openxmlformats.org/drawingml/2006/picture">
                        <pic:nvPicPr>
                          <pic:cNvPr id="236" name="Text_Box_2_SpCnt_3"/>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679744"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221" name="Text_Box_6_SpCnt_2"/>
                  <wp:cNvGraphicFramePr/>
                  <a:graphic xmlns:a="http://schemas.openxmlformats.org/drawingml/2006/main">
                    <a:graphicData uri="http://schemas.openxmlformats.org/drawingml/2006/picture">
                      <pic:pic xmlns:pic="http://schemas.openxmlformats.org/drawingml/2006/picture">
                        <pic:nvPicPr>
                          <pic:cNvPr id="221" name="Text_Box_6_SpCnt_2"/>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680768"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224" name="Text_Box_6_SpCnt_3"/>
                  <wp:cNvGraphicFramePr/>
                  <a:graphic xmlns:a="http://schemas.openxmlformats.org/drawingml/2006/main">
                    <a:graphicData uri="http://schemas.openxmlformats.org/drawingml/2006/picture">
                      <pic:pic xmlns:pic="http://schemas.openxmlformats.org/drawingml/2006/picture">
                        <pic:nvPicPr>
                          <pic:cNvPr id="224" name="Text_Box_6_SpCnt_3"/>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681792"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222" name="Text_Box_6_SpCnt_4"/>
                  <wp:cNvGraphicFramePr/>
                  <a:graphic xmlns:a="http://schemas.openxmlformats.org/drawingml/2006/main">
                    <a:graphicData uri="http://schemas.openxmlformats.org/drawingml/2006/picture">
                      <pic:pic xmlns:pic="http://schemas.openxmlformats.org/drawingml/2006/picture">
                        <pic:nvPicPr>
                          <pic:cNvPr id="222" name="Text_Box_6_SpCnt_4"/>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682816"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223" name="Text_Box_5_SpCnt_1"/>
                  <wp:cNvGraphicFramePr/>
                  <a:graphic xmlns:a="http://schemas.openxmlformats.org/drawingml/2006/main">
                    <a:graphicData uri="http://schemas.openxmlformats.org/drawingml/2006/picture">
                      <pic:pic xmlns:pic="http://schemas.openxmlformats.org/drawingml/2006/picture">
                        <pic:nvPicPr>
                          <pic:cNvPr id="223" name="Text_Box_5_SpCnt_1"/>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683840"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225" name="Text_Box_4_SpCnt_3"/>
                  <wp:cNvGraphicFramePr/>
                  <a:graphic xmlns:a="http://schemas.openxmlformats.org/drawingml/2006/main">
                    <a:graphicData uri="http://schemas.openxmlformats.org/drawingml/2006/picture">
                      <pic:pic xmlns:pic="http://schemas.openxmlformats.org/drawingml/2006/picture">
                        <pic:nvPicPr>
                          <pic:cNvPr id="225" name="Text_Box_4_SpCnt_3"/>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684864"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227" name="Text_Box_5_SpCnt_2"/>
                  <wp:cNvGraphicFramePr/>
                  <a:graphic xmlns:a="http://schemas.openxmlformats.org/drawingml/2006/main">
                    <a:graphicData uri="http://schemas.openxmlformats.org/drawingml/2006/picture">
                      <pic:pic xmlns:pic="http://schemas.openxmlformats.org/drawingml/2006/picture">
                        <pic:nvPicPr>
                          <pic:cNvPr id="227" name="Text_Box_5_SpCnt_2"/>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685888"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226" name="Text_Box_5_SpCnt_3"/>
                  <wp:cNvGraphicFramePr/>
                  <a:graphic xmlns:a="http://schemas.openxmlformats.org/drawingml/2006/main">
                    <a:graphicData uri="http://schemas.openxmlformats.org/drawingml/2006/picture">
                      <pic:pic xmlns:pic="http://schemas.openxmlformats.org/drawingml/2006/picture">
                        <pic:nvPicPr>
                          <pic:cNvPr id="226" name="Text_Box_5_SpCnt_3"/>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686912"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228" name="Text_Box_6_SpCnt_5"/>
                  <wp:cNvGraphicFramePr/>
                  <a:graphic xmlns:a="http://schemas.openxmlformats.org/drawingml/2006/main">
                    <a:graphicData uri="http://schemas.openxmlformats.org/drawingml/2006/picture">
                      <pic:pic xmlns:pic="http://schemas.openxmlformats.org/drawingml/2006/picture">
                        <pic:nvPicPr>
                          <pic:cNvPr id="228" name="Text_Box_6_SpCnt_5"/>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687936"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229" name="Text_Box_2_SpCnt_4"/>
                  <wp:cNvGraphicFramePr/>
                  <a:graphic xmlns:a="http://schemas.openxmlformats.org/drawingml/2006/main">
                    <a:graphicData uri="http://schemas.openxmlformats.org/drawingml/2006/picture">
                      <pic:pic xmlns:pic="http://schemas.openxmlformats.org/drawingml/2006/picture">
                        <pic:nvPicPr>
                          <pic:cNvPr id="229" name="Text_Box_2_SpCnt_4"/>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688960"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231" name="Text_Box_4_SpCnt_4"/>
                  <wp:cNvGraphicFramePr/>
                  <a:graphic xmlns:a="http://schemas.openxmlformats.org/drawingml/2006/main">
                    <a:graphicData uri="http://schemas.openxmlformats.org/drawingml/2006/picture">
                      <pic:pic xmlns:pic="http://schemas.openxmlformats.org/drawingml/2006/picture">
                        <pic:nvPicPr>
                          <pic:cNvPr id="231" name="Text_Box_4_SpCnt_4"/>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689984"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232" name="Text_Box_1_SpCnt_4"/>
                  <wp:cNvGraphicFramePr/>
                  <a:graphic xmlns:a="http://schemas.openxmlformats.org/drawingml/2006/main">
                    <a:graphicData uri="http://schemas.openxmlformats.org/drawingml/2006/picture">
                      <pic:pic xmlns:pic="http://schemas.openxmlformats.org/drawingml/2006/picture">
                        <pic:nvPicPr>
                          <pic:cNvPr id="232" name="Text_Box_1_SpCnt_4"/>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691008"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234" name="Text_Box_2_SpCnt_5"/>
                  <wp:cNvGraphicFramePr/>
                  <a:graphic xmlns:a="http://schemas.openxmlformats.org/drawingml/2006/main">
                    <a:graphicData uri="http://schemas.openxmlformats.org/drawingml/2006/picture">
                      <pic:pic xmlns:pic="http://schemas.openxmlformats.org/drawingml/2006/picture">
                        <pic:nvPicPr>
                          <pic:cNvPr id="234" name="Text_Box_2_SpCnt_5"/>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692032"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243" name="Text_Box_5_SpCnt_4"/>
                  <wp:cNvGraphicFramePr/>
                  <a:graphic xmlns:a="http://schemas.openxmlformats.org/drawingml/2006/main">
                    <a:graphicData uri="http://schemas.openxmlformats.org/drawingml/2006/picture">
                      <pic:pic xmlns:pic="http://schemas.openxmlformats.org/drawingml/2006/picture">
                        <pic:nvPicPr>
                          <pic:cNvPr id="243" name="Text_Box_5_SpCnt_4"/>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693056"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241" name="Text_Box_4_SpCnt_5"/>
                  <wp:cNvGraphicFramePr/>
                  <a:graphic xmlns:a="http://schemas.openxmlformats.org/drawingml/2006/main">
                    <a:graphicData uri="http://schemas.openxmlformats.org/drawingml/2006/picture">
                      <pic:pic xmlns:pic="http://schemas.openxmlformats.org/drawingml/2006/picture">
                        <pic:nvPicPr>
                          <pic:cNvPr id="241" name="Text_Box_4_SpCnt_5"/>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694080"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242" name="Text_Box_1_SpCnt_5"/>
                  <wp:cNvGraphicFramePr/>
                  <a:graphic xmlns:a="http://schemas.openxmlformats.org/drawingml/2006/main">
                    <a:graphicData uri="http://schemas.openxmlformats.org/drawingml/2006/picture">
                      <pic:pic xmlns:pic="http://schemas.openxmlformats.org/drawingml/2006/picture">
                        <pic:nvPicPr>
                          <pic:cNvPr id="242" name="Text_Box_1_SpCnt_5"/>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695104"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244" name="Text_Box_6_SpCnt_6"/>
                  <wp:cNvGraphicFramePr/>
                  <a:graphic xmlns:a="http://schemas.openxmlformats.org/drawingml/2006/main">
                    <a:graphicData uri="http://schemas.openxmlformats.org/drawingml/2006/picture">
                      <pic:pic xmlns:pic="http://schemas.openxmlformats.org/drawingml/2006/picture">
                        <pic:nvPicPr>
                          <pic:cNvPr id="244" name="Text_Box_6_SpCnt_6"/>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696128"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238" name="Text_Box_7_SpCnt_5"/>
                  <wp:cNvGraphicFramePr/>
                  <a:graphic xmlns:a="http://schemas.openxmlformats.org/drawingml/2006/main">
                    <a:graphicData uri="http://schemas.openxmlformats.org/drawingml/2006/picture">
                      <pic:pic xmlns:pic="http://schemas.openxmlformats.org/drawingml/2006/picture">
                        <pic:nvPicPr>
                          <pic:cNvPr id="238" name="Text_Box_7_SpCnt_5"/>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697152"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239" name="Text_Box_4_SpCnt_6"/>
                  <wp:cNvGraphicFramePr/>
                  <a:graphic xmlns:a="http://schemas.openxmlformats.org/drawingml/2006/main">
                    <a:graphicData uri="http://schemas.openxmlformats.org/drawingml/2006/picture">
                      <pic:pic xmlns:pic="http://schemas.openxmlformats.org/drawingml/2006/picture">
                        <pic:nvPicPr>
                          <pic:cNvPr id="239" name="Text_Box_4_SpCnt_6"/>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698176"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240" name="Text_Box_5_SpCnt_5"/>
                  <wp:cNvGraphicFramePr/>
                  <a:graphic xmlns:a="http://schemas.openxmlformats.org/drawingml/2006/main">
                    <a:graphicData uri="http://schemas.openxmlformats.org/drawingml/2006/picture">
                      <pic:pic xmlns:pic="http://schemas.openxmlformats.org/drawingml/2006/picture">
                        <pic:nvPicPr>
                          <pic:cNvPr id="240" name="Text_Box_5_SpCnt_5"/>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699200"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92" name="Text_Box_7_SpCnt_6"/>
                  <wp:cNvGraphicFramePr/>
                  <a:graphic xmlns:a="http://schemas.openxmlformats.org/drawingml/2006/main">
                    <a:graphicData uri="http://schemas.openxmlformats.org/drawingml/2006/picture">
                      <pic:pic xmlns:pic="http://schemas.openxmlformats.org/drawingml/2006/picture">
                        <pic:nvPicPr>
                          <pic:cNvPr id="92" name="Text_Box_7_SpCnt_6"/>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00224"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98" name="Text_Box_2_SpCnt_6"/>
                  <wp:cNvGraphicFramePr/>
                  <a:graphic xmlns:a="http://schemas.openxmlformats.org/drawingml/2006/main">
                    <a:graphicData uri="http://schemas.openxmlformats.org/drawingml/2006/picture">
                      <pic:pic xmlns:pic="http://schemas.openxmlformats.org/drawingml/2006/picture">
                        <pic:nvPicPr>
                          <pic:cNvPr id="98" name="Text_Box_2_SpCnt_6"/>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01248"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81" name="Text_Box_7_SpCnt_7"/>
                  <wp:cNvGraphicFramePr/>
                  <a:graphic xmlns:a="http://schemas.openxmlformats.org/drawingml/2006/main">
                    <a:graphicData uri="http://schemas.openxmlformats.org/drawingml/2006/picture">
                      <pic:pic xmlns:pic="http://schemas.openxmlformats.org/drawingml/2006/picture">
                        <pic:nvPicPr>
                          <pic:cNvPr id="81" name="Text_Box_7_SpCnt_7"/>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02272"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80" name="Text_Box_1_SpCnt_6"/>
                  <wp:cNvGraphicFramePr/>
                  <a:graphic xmlns:a="http://schemas.openxmlformats.org/drawingml/2006/main">
                    <a:graphicData uri="http://schemas.openxmlformats.org/drawingml/2006/picture">
                      <pic:pic xmlns:pic="http://schemas.openxmlformats.org/drawingml/2006/picture">
                        <pic:nvPicPr>
                          <pic:cNvPr id="80" name="Text_Box_1_SpCnt_6"/>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03296"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100" name="Text_Box_2_SpCnt_7"/>
                  <wp:cNvGraphicFramePr/>
                  <a:graphic xmlns:a="http://schemas.openxmlformats.org/drawingml/2006/main">
                    <a:graphicData uri="http://schemas.openxmlformats.org/drawingml/2006/picture">
                      <pic:pic xmlns:pic="http://schemas.openxmlformats.org/drawingml/2006/picture">
                        <pic:nvPicPr>
                          <pic:cNvPr id="100" name="Text_Box_2_SpCnt_7"/>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04320"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87" name="Text_Box_6_SpCnt_7"/>
                  <wp:cNvGraphicFramePr/>
                  <a:graphic xmlns:a="http://schemas.openxmlformats.org/drawingml/2006/main">
                    <a:graphicData uri="http://schemas.openxmlformats.org/drawingml/2006/picture">
                      <pic:pic xmlns:pic="http://schemas.openxmlformats.org/drawingml/2006/picture">
                        <pic:nvPicPr>
                          <pic:cNvPr id="87" name="Text_Box_6_SpCnt_7"/>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05344"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94" name="Text_Box_5_SpCnt_6"/>
                  <wp:cNvGraphicFramePr/>
                  <a:graphic xmlns:a="http://schemas.openxmlformats.org/drawingml/2006/main">
                    <a:graphicData uri="http://schemas.openxmlformats.org/drawingml/2006/picture">
                      <pic:pic xmlns:pic="http://schemas.openxmlformats.org/drawingml/2006/picture">
                        <pic:nvPicPr>
                          <pic:cNvPr id="94" name="Text_Box_5_SpCnt_6"/>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06368"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104" name="Text_Box_6_SpCnt_8"/>
                  <wp:cNvGraphicFramePr/>
                  <a:graphic xmlns:a="http://schemas.openxmlformats.org/drawingml/2006/main">
                    <a:graphicData uri="http://schemas.openxmlformats.org/drawingml/2006/picture">
                      <pic:pic xmlns:pic="http://schemas.openxmlformats.org/drawingml/2006/picture">
                        <pic:nvPicPr>
                          <pic:cNvPr id="104" name="Text_Box_6_SpCnt_8"/>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07392"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96" name="Text_Box_4_SpCnt_7"/>
                  <wp:cNvGraphicFramePr/>
                  <a:graphic xmlns:a="http://schemas.openxmlformats.org/drawingml/2006/main">
                    <a:graphicData uri="http://schemas.openxmlformats.org/drawingml/2006/picture">
                      <pic:pic xmlns:pic="http://schemas.openxmlformats.org/drawingml/2006/picture">
                        <pic:nvPicPr>
                          <pic:cNvPr id="96" name="Text_Box_4_SpCnt_7"/>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08416"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97" name="Text_Box_5_SpCnt_7"/>
                  <wp:cNvGraphicFramePr/>
                  <a:graphic xmlns:a="http://schemas.openxmlformats.org/drawingml/2006/main">
                    <a:graphicData uri="http://schemas.openxmlformats.org/drawingml/2006/picture">
                      <pic:pic xmlns:pic="http://schemas.openxmlformats.org/drawingml/2006/picture">
                        <pic:nvPicPr>
                          <pic:cNvPr id="97" name="Text_Box_5_SpCnt_7"/>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09440"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101" name="Text_Box_1_SpCnt_7"/>
                  <wp:cNvGraphicFramePr/>
                  <a:graphic xmlns:a="http://schemas.openxmlformats.org/drawingml/2006/main">
                    <a:graphicData uri="http://schemas.openxmlformats.org/drawingml/2006/picture">
                      <pic:pic xmlns:pic="http://schemas.openxmlformats.org/drawingml/2006/picture">
                        <pic:nvPicPr>
                          <pic:cNvPr id="101" name="Text_Box_1_SpCnt_7"/>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10464"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93" name="Text_Box_2_SpCnt_8"/>
                  <wp:cNvGraphicFramePr/>
                  <a:graphic xmlns:a="http://schemas.openxmlformats.org/drawingml/2006/main">
                    <a:graphicData uri="http://schemas.openxmlformats.org/drawingml/2006/picture">
                      <pic:pic xmlns:pic="http://schemas.openxmlformats.org/drawingml/2006/picture">
                        <pic:nvPicPr>
                          <pic:cNvPr id="93" name="Text_Box_2_SpCnt_8"/>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11488"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85" name="Text_Box_6_SpCnt_9"/>
                  <wp:cNvGraphicFramePr/>
                  <a:graphic xmlns:a="http://schemas.openxmlformats.org/drawingml/2006/main">
                    <a:graphicData uri="http://schemas.openxmlformats.org/drawingml/2006/picture">
                      <pic:pic xmlns:pic="http://schemas.openxmlformats.org/drawingml/2006/picture">
                        <pic:nvPicPr>
                          <pic:cNvPr id="85" name="Text_Box_6_SpCnt_9"/>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12512"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91" name="Text_Box_7_SpCnt_8"/>
                  <wp:cNvGraphicFramePr/>
                  <a:graphic xmlns:a="http://schemas.openxmlformats.org/drawingml/2006/main">
                    <a:graphicData uri="http://schemas.openxmlformats.org/drawingml/2006/picture">
                      <pic:pic xmlns:pic="http://schemas.openxmlformats.org/drawingml/2006/picture">
                        <pic:nvPicPr>
                          <pic:cNvPr id="91" name="Text_Box_7_SpCnt_8"/>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13536"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102" name="Text_Box_5_SpCnt_8"/>
                  <wp:cNvGraphicFramePr/>
                  <a:graphic xmlns:a="http://schemas.openxmlformats.org/drawingml/2006/main">
                    <a:graphicData uri="http://schemas.openxmlformats.org/drawingml/2006/picture">
                      <pic:pic xmlns:pic="http://schemas.openxmlformats.org/drawingml/2006/picture">
                        <pic:nvPicPr>
                          <pic:cNvPr id="102" name="Text_Box_5_SpCnt_8"/>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14560"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86" name="Text_Box_4_SpCnt_8"/>
                  <wp:cNvGraphicFramePr/>
                  <a:graphic xmlns:a="http://schemas.openxmlformats.org/drawingml/2006/main">
                    <a:graphicData uri="http://schemas.openxmlformats.org/drawingml/2006/picture">
                      <pic:pic xmlns:pic="http://schemas.openxmlformats.org/drawingml/2006/picture">
                        <pic:nvPicPr>
                          <pic:cNvPr id="86" name="Text_Box_4_SpCnt_8"/>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15584"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95" name="Text_Box_1_SpCnt_8"/>
                  <wp:cNvGraphicFramePr/>
                  <a:graphic xmlns:a="http://schemas.openxmlformats.org/drawingml/2006/main">
                    <a:graphicData uri="http://schemas.openxmlformats.org/drawingml/2006/picture">
                      <pic:pic xmlns:pic="http://schemas.openxmlformats.org/drawingml/2006/picture">
                        <pic:nvPicPr>
                          <pic:cNvPr id="95" name="Text_Box_1_SpCnt_8"/>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16608"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88" name="Text_Box_4_SpCnt_9"/>
                  <wp:cNvGraphicFramePr/>
                  <a:graphic xmlns:a="http://schemas.openxmlformats.org/drawingml/2006/main">
                    <a:graphicData uri="http://schemas.openxmlformats.org/drawingml/2006/picture">
                      <pic:pic xmlns:pic="http://schemas.openxmlformats.org/drawingml/2006/picture">
                        <pic:nvPicPr>
                          <pic:cNvPr id="88" name="Text_Box_4_SpCnt_9"/>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17632"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99" name="Text_Box_4_SpCnt_10"/>
                  <wp:cNvGraphicFramePr/>
                  <a:graphic xmlns:a="http://schemas.openxmlformats.org/drawingml/2006/main">
                    <a:graphicData uri="http://schemas.openxmlformats.org/drawingml/2006/picture">
                      <pic:pic xmlns:pic="http://schemas.openxmlformats.org/drawingml/2006/picture">
                        <pic:nvPicPr>
                          <pic:cNvPr id="99" name="Text_Box_4_SpCnt_10"/>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18656"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105" name="Text_Box_5_SpCnt_9"/>
                  <wp:cNvGraphicFramePr/>
                  <a:graphic xmlns:a="http://schemas.openxmlformats.org/drawingml/2006/main">
                    <a:graphicData uri="http://schemas.openxmlformats.org/drawingml/2006/picture">
                      <pic:pic xmlns:pic="http://schemas.openxmlformats.org/drawingml/2006/picture">
                        <pic:nvPicPr>
                          <pic:cNvPr id="105" name="Text_Box_5_SpCnt_9"/>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19680"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103" name="Text_Box_2_SpCnt_9"/>
                  <wp:cNvGraphicFramePr/>
                  <a:graphic xmlns:a="http://schemas.openxmlformats.org/drawingml/2006/main">
                    <a:graphicData uri="http://schemas.openxmlformats.org/drawingml/2006/picture">
                      <pic:pic xmlns:pic="http://schemas.openxmlformats.org/drawingml/2006/picture">
                        <pic:nvPicPr>
                          <pic:cNvPr id="103" name="Text_Box_2_SpCnt_9"/>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20704"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106" name="Text_Box_5_SpCnt_10"/>
                  <wp:cNvGraphicFramePr/>
                  <a:graphic xmlns:a="http://schemas.openxmlformats.org/drawingml/2006/main">
                    <a:graphicData uri="http://schemas.openxmlformats.org/drawingml/2006/picture">
                      <pic:pic xmlns:pic="http://schemas.openxmlformats.org/drawingml/2006/picture">
                        <pic:nvPicPr>
                          <pic:cNvPr id="106" name="Text_Box_5_SpCnt_10"/>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21728"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89" name="Text_Box_7_SpCnt_9"/>
                  <wp:cNvGraphicFramePr/>
                  <a:graphic xmlns:a="http://schemas.openxmlformats.org/drawingml/2006/main">
                    <a:graphicData uri="http://schemas.openxmlformats.org/drawingml/2006/picture">
                      <pic:pic xmlns:pic="http://schemas.openxmlformats.org/drawingml/2006/picture">
                        <pic:nvPicPr>
                          <pic:cNvPr id="89" name="Text_Box_7_SpCnt_9"/>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22752"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83" name="Text_Box_1_SpCnt_9"/>
                  <wp:cNvGraphicFramePr/>
                  <a:graphic xmlns:a="http://schemas.openxmlformats.org/drawingml/2006/main">
                    <a:graphicData uri="http://schemas.openxmlformats.org/drawingml/2006/picture">
                      <pic:pic xmlns:pic="http://schemas.openxmlformats.org/drawingml/2006/picture">
                        <pic:nvPicPr>
                          <pic:cNvPr id="83" name="Text_Box_1_SpCnt_9"/>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23776"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90" name="Text_Box_6_SpCnt_10"/>
                  <wp:cNvGraphicFramePr/>
                  <a:graphic xmlns:a="http://schemas.openxmlformats.org/drawingml/2006/main">
                    <a:graphicData uri="http://schemas.openxmlformats.org/drawingml/2006/picture">
                      <pic:pic xmlns:pic="http://schemas.openxmlformats.org/drawingml/2006/picture">
                        <pic:nvPicPr>
                          <pic:cNvPr id="90" name="Text_Box_6_SpCnt_10"/>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24800"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107" name="Text_Box_7_SpCnt_10"/>
                  <wp:cNvGraphicFramePr/>
                  <a:graphic xmlns:a="http://schemas.openxmlformats.org/drawingml/2006/main">
                    <a:graphicData uri="http://schemas.openxmlformats.org/drawingml/2006/picture">
                      <pic:pic xmlns:pic="http://schemas.openxmlformats.org/drawingml/2006/picture">
                        <pic:nvPicPr>
                          <pic:cNvPr id="107" name="Text_Box_7_SpCnt_10"/>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25824"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82" name="Text_Box_2_SpCnt_10"/>
                  <wp:cNvGraphicFramePr/>
                  <a:graphic xmlns:a="http://schemas.openxmlformats.org/drawingml/2006/main">
                    <a:graphicData uri="http://schemas.openxmlformats.org/drawingml/2006/picture">
                      <pic:pic xmlns:pic="http://schemas.openxmlformats.org/drawingml/2006/picture">
                        <pic:nvPicPr>
                          <pic:cNvPr id="82" name="Text_Box_2_SpCnt_10"/>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26848"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84" name="Text_Box_2_SpCnt_11"/>
                  <wp:cNvGraphicFramePr/>
                  <a:graphic xmlns:a="http://schemas.openxmlformats.org/drawingml/2006/main">
                    <a:graphicData uri="http://schemas.openxmlformats.org/drawingml/2006/picture">
                      <pic:pic xmlns:pic="http://schemas.openxmlformats.org/drawingml/2006/picture">
                        <pic:nvPicPr>
                          <pic:cNvPr id="84" name="Text_Box_2_SpCnt_11"/>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27872"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122" name="Text_Box_4_SpCnt_11"/>
                  <wp:cNvGraphicFramePr/>
                  <a:graphic xmlns:a="http://schemas.openxmlformats.org/drawingml/2006/main">
                    <a:graphicData uri="http://schemas.openxmlformats.org/drawingml/2006/picture">
                      <pic:pic xmlns:pic="http://schemas.openxmlformats.org/drawingml/2006/picture">
                        <pic:nvPicPr>
                          <pic:cNvPr id="122" name="Text_Box_4_SpCnt_11"/>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28896"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116" name="Text_Box_7_SpCnt_11"/>
                  <wp:cNvGraphicFramePr/>
                  <a:graphic xmlns:a="http://schemas.openxmlformats.org/drawingml/2006/main">
                    <a:graphicData uri="http://schemas.openxmlformats.org/drawingml/2006/picture">
                      <pic:pic xmlns:pic="http://schemas.openxmlformats.org/drawingml/2006/picture">
                        <pic:nvPicPr>
                          <pic:cNvPr id="116" name="Text_Box_7_SpCnt_11"/>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29920"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113" name="Text_Box_1_SpCnt_10"/>
                  <wp:cNvGraphicFramePr/>
                  <a:graphic xmlns:a="http://schemas.openxmlformats.org/drawingml/2006/main">
                    <a:graphicData uri="http://schemas.openxmlformats.org/drawingml/2006/picture">
                      <pic:pic xmlns:pic="http://schemas.openxmlformats.org/drawingml/2006/picture">
                        <pic:nvPicPr>
                          <pic:cNvPr id="113" name="Text_Box_1_SpCnt_10"/>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30944"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111" name="Text_Box_1_SpCnt_11"/>
                  <wp:cNvGraphicFramePr/>
                  <a:graphic xmlns:a="http://schemas.openxmlformats.org/drawingml/2006/main">
                    <a:graphicData uri="http://schemas.openxmlformats.org/drawingml/2006/picture">
                      <pic:pic xmlns:pic="http://schemas.openxmlformats.org/drawingml/2006/picture">
                        <pic:nvPicPr>
                          <pic:cNvPr id="111" name="Text_Box_1_SpCnt_11"/>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31968"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108" name="Text_Box_5_SpCnt_11"/>
                  <wp:cNvGraphicFramePr/>
                  <a:graphic xmlns:a="http://schemas.openxmlformats.org/drawingml/2006/main">
                    <a:graphicData uri="http://schemas.openxmlformats.org/drawingml/2006/picture">
                      <pic:pic xmlns:pic="http://schemas.openxmlformats.org/drawingml/2006/picture">
                        <pic:nvPicPr>
                          <pic:cNvPr id="108" name="Text_Box_5_SpCnt_11"/>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32992"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117" name="Text_Box_6_SpCnt_11"/>
                  <wp:cNvGraphicFramePr/>
                  <a:graphic xmlns:a="http://schemas.openxmlformats.org/drawingml/2006/main">
                    <a:graphicData uri="http://schemas.openxmlformats.org/drawingml/2006/picture">
                      <pic:pic xmlns:pic="http://schemas.openxmlformats.org/drawingml/2006/picture">
                        <pic:nvPicPr>
                          <pic:cNvPr id="117" name="Text_Box_6_SpCnt_11"/>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34016"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114" name="Text_Box_2_SpCnt_12"/>
                  <wp:cNvGraphicFramePr/>
                  <a:graphic xmlns:a="http://schemas.openxmlformats.org/drawingml/2006/main">
                    <a:graphicData uri="http://schemas.openxmlformats.org/drawingml/2006/picture">
                      <pic:pic xmlns:pic="http://schemas.openxmlformats.org/drawingml/2006/picture">
                        <pic:nvPicPr>
                          <pic:cNvPr id="114" name="Text_Box_2_SpCnt_12"/>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35040"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119" name="Text_Box_4_SpCnt_12"/>
                  <wp:cNvGraphicFramePr/>
                  <a:graphic xmlns:a="http://schemas.openxmlformats.org/drawingml/2006/main">
                    <a:graphicData uri="http://schemas.openxmlformats.org/drawingml/2006/picture">
                      <pic:pic xmlns:pic="http://schemas.openxmlformats.org/drawingml/2006/picture">
                        <pic:nvPicPr>
                          <pic:cNvPr id="119" name="Text_Box_4_SpCnt_12"/>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36064"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118" name="Text_Box_2_SpCnt_13"/>
                  <wp:cNvGraphicFramePr/>
                  <a:graphic xmlns:a="http://schemas.openxmlformats.org/drawingml/2006/main">
                    <a:graphicData uri="http://schemas.openxmlformats.org/drawingml/2006/picture">
                      <pic:pic xmlns:pic="http://schemas.openxmlformats.org/drawingml/2006/picture">
                        <pic:nvPicPr>
                          <pic:cNvPr id="118" name="Text_Box_2_SpCnt_13"/>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37088"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123" name="Text_Box_6_SpCnt_12"/>
                  <wp:cNvGraphicFramePr/>
                  <a:graphic xmlns:a="http://schemas.openxmlformats.org/drawingml/2006/main">
                    <a:graphicData uri="http://schemas.openxmlformats.org/drawingml/2006/picture">
                      <pic:pic xmlns:pic="http://schemas.openxmlformats.org/drawingml/2006/picture">
                        <pic:nvPicPr>
                          <pic:cNvPr id="123" name="Text_Box_6_SpCnt_12"/>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38112"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124" name="Text_Box_7_SpCnt_12"/>
                  <wp:cNvGraphicFramePr/>
                  <a:graphic xmlns:a="http://schemas.openxmlformats.org/drawingml/2006/main">
                    <a:graphicData uri="http://schemas.openxmlformats.org/drawingml/2006/picture">
                      <pic:pic xmlns:pic="http://schemas.openxmlformats.org/drawingml/2006/picture">
                        <pic:nvPicPr>
                          <pic:cNvPr id="124" name="Text_Box_7_SpCnt_12"/>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39136"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120" name="Text_Box_7_SpCnt_13"/>
                  <wp:cNvGraphicFramePr/>
                  <a:graphic xmlns:a="http://schemas.openxmlformats.org/drawingml/2006/main">
                    <a:graphicData uri="http://schemas.openxmlformats.org/drawingml/2006/picture">
                      <pic:pic xmlns:pic="http://schemas.openxmlformats.org/drawingml/2006/picture">
                        <pic:nvPicPr>
                          <pic:cNvPr id="120" name="Text_Box_7_SpCnt_13"/>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40160"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109" name="Text_Box_1_SpCnt_12"/>
                  <wp:cNvGraphicFramePr/>
                  <a:graphic xmlns:a="http://schemas.openxmlformats.org/drawingml/2006/main">
                    <a:graphicData uri="http://schemas.openxmlformats.org/drawingml/2006/picture">
                      <pic:pic xmlns:pic="http://schemas.openxmlformats.org/drawingml/2006/picture">
                        <pic:nvPicPr>
                          <pic:cNvPr id="109" name="Text_Box_1_SpCnt_12"/>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41184"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110" name="Text_Box_5_SpCnt_12"/>
                  <wp:cNvGraphicFramePr/>
                  <a:graphic xmlns:a="http://schemas.openxmlformats.org/drawingml/2006/main">
                    <a:graphicData uri="http://schemas.openxmlformats.org/drawingml/2006/picture">
                      <pic:pic xmlns:pic="http://schemas.openxmlformats.org/drawingml/2006/picture">
                        <pic:nvPicPr>
                          <pic:cNvPr id="110" name="Text_Box_5_SpCnt_12"/>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42208"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112" name="Text_Box_6_SpCnt_13"/>
                  <wp:cNvGraphicFramePr/>
                  <a:graphic xmlns:a="http://schemas.openxmlformats.org/drawingml/2006/main">
                    <a:graphicData uri="http://schemas.openxmlformats.org/drawingml/2006/picture">
                      <pic:pic xmlns:pic="http://schemas.openxmlformats.org/drawingml/2006/picture">
                        <pic:nvPicPr>
                          <pic:cNvPr id="112" name="Text_Box_6_SpCnt_13"/>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43232"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115" name="Text_Box_6_SpCnt_14"/>
                  <wp:cNvGraphicFramePr/>
                  <a:graphic xmlns:a="http://schemas.openxmlformats.org/drawingml/2006/main">
                    <a:graphicData uri="http://schemas.openxmlformats.org/drawingml/2006/picture">
                      <pic:pic xmlns:pic="http://schemas.openxmlformats.org/drawingml/2006/picture">
                        <pic:nvPicPr>
                          <pic:cNvPr id="115" name="Text_Box_6_SpCnt_14"/>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44256"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121" name="Text_Box_2_SpCnt_14"/>
                  <wp:cNvGraphicFramePr/>
                  <a:graphic xmlns:a="http://schemas.openxmlformats.org/drawingml/2006/main">
                    <a:graphicData uri="http://schemas.openxmlformats.org/drawingml/2006/picture">
                      <pic:pic xmlns:pic="http://schemas.openxmlformats.org/drawingml/2006/picture">
                        <pic:nvPicPr>
                          <pic:cNvPr id="121" name="Text_Box_2_SpCnt_14"/>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45280"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77" name="Text_Box_4_SpCnt_13"/>
                  <wp:cNvGraphicFramePr/>
                  <a:graphic xmlns:a="http://schemas.openxmlformats.org/drawingml/2006/main">
                    <a:graphicData uri="http://schemas.openxmlformats.org/drawingml/2006/picture">
                      <pic:pic xmlns:pic="http://schemas.openxmlformats.org/drawingml/2006/picture">
                        <pic:nvPicPr>
                          <pic:cNvPr id="77" name="Text_Box_4_SpCnt_13"/>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46304"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78" name="Text_Box_7_SpCnt_14"/>
                  <wp:cNvGraphicFramePr/>
                  <a:graphic xmlns:a="http://schemas.openxmlformats.org/drawingml/2006/main">
                    <a:graphicData uri="http://schemas.openxmlformats.org/drawingml/2006/picture">
                      <pic:pic xmlns:pic="http://schemas.openxmlformats.org/drawingml/2006/picture">
                        <pic:nvPicPr>
                          <pic:cNvPr id="78" name="Text_Box_7_SpCnt_14"/>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47328"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79" name="Text_Box_1_SpCnt_13"/>
                  <wp:cNvGraphicFramePr/>
                  <a:graphic xmlns:a="http://schemas.openxmlformats.org/drawingml/2006/main">
                    <a:graphicData uri="http://schemas.openxmlformats.org/drawingml/2006/picture">
                      <pic:pic xmlns:pic="http://schemas.openxmlformats.org/drawingml/2006/picture">
                        <pic:nvPicPr>
                          <pic:cNvPr id="79" name="Text_Box_1_SpCnt_13"/>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48352"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30" name="Text_Box_5_SpCnt_13"/>
                  <wp:cNvGraphicFramePr/>
                  <a:graphic xmlns:a="http://schemas.openxmlformats.org/drawingml/2006/main">
                    <a:graphicData uri="http://schemas.openxmlformats.org/drawingml/2006/picture">
                      <pic:pic xmlns:pic="http://schemas.openxmlformats.org/drawingml/2006/picture">
                        <pic:nvPicPr>
                          <pic:cNvPr id="30" name="Text_Box_5_SpCnt_13"/>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49376"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28" name="Text_Box_5_SpCnt_14"/>
                  <wp:cNvGraphicFramePr/>
                  <a:graphic xmlns:a="http://schemas.openxmlformats.org/drawingml/2006/main">
                    <a:graphicData uri="http://schemas.openxmlformats.org/drawingml/2006/picture">
                      <pic:pic xmlns:pic="http://schemas.openxmlformats.org/drawingml/2006/picture">
                        <pic:nvPicPr>
                          <pic:cNvPr id="28" name="Text_Box_5_SpCnt_14"/>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50400"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23" name="Text_Box_5_SpCnt_15"/>
                  <wp:cNvGraphicFramePr/>
                  <a:graphic xmlns:a="http://schemas.openxmlformats.org/drawingml/2006/main">
                    <a:graphicData uri="http://schemas.openxmlformats.org/drawingml/2006/picture">
                      <pic:pic xmlns:pic="http://schemas.openxmlformats.org/drawingml/2006/picture">
                        <pic:nvPicPr>
                          <pic:cNvPr id="23" name="Text_Box_5_SpCnt_15"/>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51424"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27" name="Text_Box_6_SpCnt_15"/>
                  <wp:cNvGraphicFramePr/>
                  <a:graphic xmlns:a="http://schemas.openxmlformats.org/drawingml/2006/main">
                    <a:graphicData uri="http://schemas.openxmlformats.org/drawingml/2006/picture">
                      <pic:pic xmlns:pic="http://schemas.openxmlformats.org/drawingml/2006/picture">
                        <pic:nvPicPr>
                          <pic:cNvPr id="27" name="Text_Box_6_SpCnt_15"/>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52448"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29" name="Text_Box_2_SpCnt_15"/>
                  <wp:cNvGraphicFramePr/>
                  <a:graphic xmlns:a="http://schemas.openxmlformats.org/drawingml/2006/main">
                    <a:graphicData uri="http://schemas.openxmlformats.org/drawingml/2006/picture">
                      <pic:pic xmlns:pic="http://schemas.openxmlformats.org/drawingml/2006/picture">
                        <pic:nvPicPr>
                          <pic:cNvPr id="29" name="Text_Box_2_SpCnt_15"/>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53472"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24" name="Text_Box_4_SpCnt_14"/>
                  <wp:cNvGraphicFramePr/>
                  <a:graphic xmlns:a="http://schemas.openxmlformats.org/drawingml/2006/main">
                    <a:graphicData uri="http://schemas.openxmlformats.org/drawingml/2006/picture">
                      <pic:pic xmlns:pic="http://schemas.openxmlformats.org/drawingml/2006/picture">
                        <pic:nvPicPr>
                          <pic:cNvPr id="24" name="Text_Box_4_SpCnt_14"/>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54496"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25" name="Text_Box_4_SpCnt_15"/>
                  <wp:cNvGraphicFramePr/>
                  <a:graphic xmlns:a="http://schemas.openxmlformats.org/drawingml/2006/main">
                    <a:graphicData uri="http://schemas.openxmlformats.org/drawingml/2006/picture">
                      <pic:pic xmlns:pic="http://schemas.openxmlformats.org/drawingml/2006/picture">
                        <pic:nvPicPr>
                          <pic:cNvPr id="25" name="Text_Box_4_SpCnt_15"/>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55520" behindDoc="0" locked="0" layoutInCell="1" allowOverlap="1">
                  <wp:simplePos x="0" y="0"/>
                  <wp:positionH relativeFrom="column">
                    <wp:posOffset>371475</wp:posOffset>
                  </wp:positionH>
                  <wp:positionV relativeFrom="paragraph">
                    <wp:posOffset>0</wp:posOffset>
                  </wp:positionV>
                  <wp:extent cx="85725" cy="215265"/>
                  <wp:effectExtent l="0" t="0" r="0" b="0"/>
                  <wp:wrapNone/>
                  <wp:docPr id="26" name="Text_Box_1_SpCnt_14"/>
                  <wp:cNvGraphicFramePr/>
                  <a:graphic xmlns:a="http://schemas.openxmlformats.org/drawingml/2006/main">
                    <a:graphicData uri="http://schemas.openxmlformats.org/drawingml/2006/picture">
                      <pic:pic xmlns:pic="http://schemas.openxmlformats.org/drawingml/2006/picture">
                        <pic:nvPicPr>
                          <pic:cNvPr id="26" name="Text_Box_1_SpCnt_14"/>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56544" behindDoc="0" locked="0" layoutInCell="1" allowOverlap="1">
                  <wp:simplePos x="0" y="0"/>
                  <wp:positionH relativeFrom="column">
                    <wp:posOffset>485775</wp:posOffset>
                  </wp:positionH>
                  <wp:positionV relativeFrom="paragraph">
                    <wp:posOffset>0</wp:posOffset>
                  </wp:positionV>
                  <wp:extent cx="85725" cy="215265"/>
                  <wp:effectExtent l="0" t="0" r="0" b="0"/>
                  <wp:wrapNone/>
                  <wp:docPr id="19" name="Text_Box_3_SpCnt_1"/>
                  <wp:cNvGraphicFramePr/>
                  <a:graphic xmlns:a="http://schemas.openxmlformats.org/drawingml/2006/main">
                    <a:graphicData uri="http://schemas.openxmlformats.org/drawingml/2006/picture">
                      <pic:pic xmlns:pic="http://schemas.openxmlformats.org/drawingml/2006/picture">
                        <pic:nvPicPr>
                          <pic:cNvPr id="19" name="Text_Box_3_SpCnt_1"/>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57568" behindDoc="0" locked="0" layoutInCell="1" allowOverlap="1">
                  <wp:simplePos x="0" y="0"/>
                  <wp:positionH relativeFrom="column">
                    <wp:posOffset>485775</wp:posOffset>
                  </wp:positionH>
                  <wp:positionV relativeFrom="paragraph">
                    <wp:posOffset>0</wp:posOffset>
                  </wp:positionV>
                  <wp:extent cx="85725" cy="215265"/>
                  <wp:effectExtent l="0" t="0" r="0" b="0"/>
                  <wp:wrapNone/>
                  <wp:docPr id="13" name="Text_Box_3_SpCnt_2"/>
                  <wp:cNvGraphicFramePr/>
                  <a:graphic xmlns:a="http://schemas.openxmlformats.org/drawingml/2006/main">
                    <a:graphicData uri="http://schemas.openxmlformats.org/drawingml/2006/picture">
                      <pic:pic xmlns:pic="http://schemas.openxmlformats.org/drawingml/2006/picture">
                        <pic:nvPicPr>
                          <pic:cNvPr id="13" name="Text_Box_3_SpCnt_2"/>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58592" behindDoc="0" locked="0" layoutInCell="1" allowOverlap="1">
                  <wp:simplePos x="0" y="0"/>
                  <wp:positionH relativeFrom="column">
                    <wp:posOffset>495300</wp:posOffset>
                  </wp:positionH>
                  <wp:positionV relativeFrom="paragraph">
                    <wp:posOffset>0</wp:posOffset>
                  </wp:positionV>
                  <wp:extent cx="85725" cy="215265"/>
                  <wp:effectExtent l="0" t="0" r="0" b="0"/>
                  <wp:wrapNone/>
                  <wp:docPr id="20" name="Text_Box_3_SpCnt_3"/>
                  <wp:cNvGraphicFramePr/>
                  <a:graphic xmlns:a="http://schemas.openxmlformats.org/drawingml/2006/main">
                    <a:graphicData uri="http://schemas.openxmlformats.org/drawingml/2006/picture">
                      <pic:pic xmlns:pic="http://schemas.openxmlformats.org/drawingml/2006/picture">
                        <pic:nvPicPr>
                          <pic:cNvPr id="20" name="Text_Box_3_SpCnt_3"/>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59616" behindDoc="0" locked="0" layoutInCell="1" allowOverlap="1">
                  <wp:simplePos x="0" y="0"/>
                  <wp:positionH relativeFrom="column">
                    <wp:posOffset>495300</wp:posOffset>
                  </wp:positionH>
                  <wp:positionV relativeFrom="paragraph">
                    <wp:posOffset>0</wp:posOffset>
                  </wp:positionV>
                  <wp:extent cx="85725" cy="215265"/>
                  <wp:effectExtent l="0" t="0" r="0" b="0"/>
                  <wp:wrapNone/>
                  <wp:docPr id="1" name="Text_Box_3_SpCnt_4"/>
                  <wp:cNvGraphicFramePr/>
                  <a:graphic xmlns:a="http://schemas.openxmlformats.org/drawingml/2006/main">
                    <a:graphicData uri="http://schemas.openxmlformats.org/drawingml/2006/picture">
                      <pic:pic xmlns:pic="http://schemas.openxmlformats.org/drawingml/2006/picture">
                        <pic:nvPicPr>
                          <pic:cNvPr id="1" name="Text_Box_3_SpCnt_4"/>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60640" behindDoc="0" locked="0" layoutInCell="1" allowOverlap="1">
                  <wp:simplePos x="0" y="0"/>
                  <wp:positionH relativeFrom="column">
                    <wp:posOffset>495300</wp:posOffset>
                  </wp:positionH>
                  <wp:positionV relativeFrom="paragraph">
                    <wp:posOffset>0</wp:posOffset>
                  </wp:positionV>
                  <wp:extent cx="85725" cy="215265"/>
                  <wp:effectExtent l="0" t="0" r="0" b="0"/>
                  <wp:wrapNone/>
                  <wp:docPr id="6" name="Text_Box_3_SpCnt_5"/>
                  <wp:cNvGraphicFramePr/>
                  <a:graphic xmlns:a="http://schemas.openxmlformats.org/drawingml/2006/main">
                    <a:graphicData uri="http://schemas.openxmlformats.org/drawingml/2006/picture">
                      <pic:pic xmlns:pic="http://schemas.openxmlformats.org/drawingml/2006/picture">
                        <pic:nvPicPr>
                          <pic:cNvPr id="6" name="Text_Box_3_SpCnt_5"/>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61664" behindDoc="0" locked="0" layoutInCell="1" allowOverlap="1">
                  <wp:simplePos x="0" y="0"/>
                  <wp:positionH relativeFrom="column">
                    <wp:posOffset>495300</wp:posOffset>
                  </wp:positionH>
                  <wp:positionV relativeFrom="paragraph">
                    <wp:posOffset>0</wp:posOffset>
                  </wp:positionV>
                  <wp:extent cx="85725" cy="215265"/>
                  <wp:effectExtent l="0" t="0" r="0" b="0"/>
                  <wp:wrapNone/>
                  <wp:docPr id="7" name="Text_Box_3_SpCnt_6"/>
                  <wp:cNvGraphicFramePr/>
                  <a:graphic xmlns:a="http://schemas.openxmlformats.org/drawingml/2006/main">
                    <a:graphicData uri="http://schemas.openxmlformats.org/drawingml/2006/picture">
                      <pic:pic xmlns:pic="http://schemas.openxmlformats.org/drawingml/2006/picture">
                        <pic:nvPicPr>
                          <pic:cNvPr id="7" name="Text_Box_3_SpCnt_6"/>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62688" behindDoc="0" locked="0" layoutInCell="1" allowOverlap="1">
                  <wp:simplePos x="0" y="0"/>
                  <wp:positionH relativeFrom="column">
                    <wp:posOffset>495300</wp:posOffset>
                  </wp:positionH>
                  <wp:positionV relativeFrom="paragraph">
                    <wp:posOffset>0</wp:posOffset>
                  </wp:positionV>
                  <wp:extent cx="85725" cy="215265"/>
                  <wp:effectExtent l="0" t="0" r="0" b="0"/>
                  <wp:wrapNone/>
                  <wp:docPr id="22" name="Text_Box_3_SpCnt_7"/>
                  <wp:cNvGraphicFramePr/>
                  <a:graphic xmlns:a="http://schemas.openxmlformats.org/drawingml/2006/main">
                    <a:graphicData uri="http://schemas.openxmlformats.org/drawingml/2006/picture">
                      <pic:pic xmlns:pic="http://schemas.openxmlformats.org/drawingml/2006/picture">
                        <pic:nvPicPr>
                          <pic:cNvPr id="22" name="Text_Box_3_SpCnt_7"/>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63712" behindDoc="0" locked="0" layoutInCell="1" allowOverlap="1">
                  <wp:simplePos x="0" y="0"/>
                  <wp:positionH relativeFrom="column">
                    <wp:posOffset>495300</wp:posOffset>
                  </wp:positionH>
                  <wp:positionV relativeFrom="paragraph">
                    <wp:posOffset>0</wp:posOffset>
                  </wp:positionV>
                  <wp:extent cx="85725" cy="215265"/>
                  <wp:effectExtent l="0" t="0" r="0" b="0"/>
                  <wp:wrapNone/>
                  <wp:docPr id="11" name="Text_Box_3_SpCnt_8"/>
                  <wp:cNvGraphicFramePr/>
                  <a:graphic xmlns:a="http://schemas.openxmlformats.org/drawingml/2006/main">
                    <a:graphicData uri="http://schemas.openxmlformats.org/drawingml/2006/picture">
                      <pic:pic xmlns:pic="http://schemas.openxmlformats.org/drawingml/2006/picture">
                        <pic:nvPicPr>
                          <pic:cNvPr id="11" name="Text_Box_3_SpCnt_8"/>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64736" behindDoc="0" locked="0" layoutInCell="1" allowOverlap="1">
                  <wp:simplePos x="0" y="0"/>
                  <wp:positionH relativeFrom="column">
                    <wp:posOffset>495300</wp:posOffset>
                  </wp:positionH>
                  <wp:positionV relativeFrom="paragraph">
                    <wp:posOffset>0</wp:posOffset>
                  </wp:positionV>
                  <wp:extent cx="85725" cy="215265"/>
                  <wp:effectExtent l="0" t="0" r="0" b="0"/>
                  <wp:wrapNone/>
                  <wp:docPr id="8" name="Text_Box_3_SpCnt_9"/>
                  <wp:cNvGraphicFramePr/>
                  <a:graphic xmlns:a="http://schemas.openxmlformats.org/drawingml/2006/main">
                    <a:graphicData uri="http://schemas.openxmlformats.org/drawingml/2006/picture">
                      <pic:pic xmlns:pic="http://schemas.openxmlformats.org/drawingml/2006/picture">
                        <pic:nvPicPr>
                          <pic:cNvPr id="8" name="Text_Box_3_SpCnt_9"/>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65760" behindDoc="0" locked="0" layoutInCell="1" allowOverlap="1">
                  <wp:simplePos x="0" y="0"/>
                  <wp:positionH relativeFrom="column">
                    <wp:posOffset>495300</wp:posOffset>
                  </wp:positionH>
                  <wp:positionV relativeFrom="paragraph">
                    <wp:posOffset>0</wp:posOffset>
                  </wp:positionV>
                  <wp:extent cx="85725" cy="215265"/>
                  <wp:effectExtent l="0" t="0" r="0" b="0"/>
                  <wp:wrapNone/>
                  <wp:docPr id="18" name="Text_Box_3_SpCnt_10"/>
                  <wp:cNvGraphicFramePr/>
                  <a:graphic xmlns:a="http://schemas.openxmlformats.org/drawingml/2006/main">
                    <a:graphicData uri="http://schemas.openxmlformats.org/drawingml/2006/picture">
                      <pic:pic xmlns:pic="http://schemas.openxmlformats.org/drawingml/2006/picture">
                        <pic:nvPicPr>
                          <pic:cNvPr id="18" name="Text_Box_3_SpCnt_10"/>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66784" behindDoc="0" locked="0" layoutInCell="1" allowOverlap="1">
                  <wp:simplePos x="0" y="0"/>
                  <wp:positionH relativeFrom="column">
                    <wp:posOffset>495300</wp:posOffset>
                  </wp:positionH>
                  <wp:positionV relativeFrom="paragraph">
                    <wp:posOffset>0</wp:posOffset>
                  </wp:positionV>
                  <wp:extent cx="85725" cy="215265"/>
                  <wp:effectExtent l="0" t="0" r="0" b="0"/>
                  <wp:wrapNone/>
                  <wp:docPr id="15" name="Text_Box_3_SpCnt_11"/>
                  <wp:cNvGraphicFramePr/>
                  <a:graphic xmlns:a="http://schemas.openxmlformats.org/drawingml/2006/main">
                    <a:graphicData uri="http://schemas.openxmlformats.org/drawingml/2006/picture">
                      <pic:pic xmlns:pic="http://schemas.openxmlformats.org/drawingml/2006/picture">
                        <pic:nvPicPr>
                          <pic:cNvPr id="15" name="Text_Box_3_SpCnt_11"/>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67808" behindDoc="0" locked="0" layoutInCell="1" allowOverlap="1">
                  <wp:simplePos x="0" y="0"/>
                  <wp:positionH relativeFrom="column">
                    <wp:posOffset>495300</wp:posOffset>
                  </wp:positionH>
                  <wp:positionV relativeFrom="paragraph">
                    <wp:posOffset>0</wp:posOffset>
                  </wp:positionV>
                  <wp:extent cx="85725" cy="215265"/>
                  <wp:effectExtent l="0" t="0" r="0" b="0"/>
                  <wp:wrapNone/>
                  <wp:docPr id="12" name="Text_Box_3_SpCnt_12"/>
                  <wp:cNvGraphicFramePr/>
                  <a:graphic xmlns:a="http://schemas.openxmlformats.org/drawingml/2006/main">
                    <a:graphicData uri="http://schemas.openxmlformats.org/drawingml/2006/picture">
                      <pic:pic xmlns:pic="http://schemas.openxmlformats.org/drawingml/2006/picture">
                        <pic:nvPicPr>
                          <pic:cNvPr id="12" name="Text_Box_3_SpCnt_12"/>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68832" behindDoc="0" locked="0" layoutInCell="1" allowOverlap="1">
                  <wp:simplePos x="0" y="0"/>
                  <wp:positionH relativeFrom="column">
                    <wp:posOffset>495300</wp:posOffset>
                  </wp:positionH>
                  <wp:positionV relativeFrom="paragraph">
                    <wp:posOffset>0</wp:posOffset>
                  </wp:positionV>
                  <wp:extent cx="85725" cy="215265"/>
                  <wp:effectExtent l="0" t="0" r="0" b="0"/>
                  <wp:wrapNone/>
                  <wp:docPr id="17" name="Text_Box_3_SpCnt_13"/>
                  <wp:cNvGraphicFramePr/>
                  <a:graphic xmlns:a="http://schemas.openxmlformats.org/drawingml/2006/main">
                    <a:graphicData uri="http://schemas.openxmlformats.org/drawingml/2006/picture">
                      <pic:pic xmlns:pic="http://schemas.openxmlformats.org/drawingml/2006/picture">
                        <pic:nvPicPr>
                          <pic:cNvPr id="17" name="Text_Box_3_SpCnt_13"/>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69856" behindDoc="0" locked="0" layoutInCell="1" allowOverlap="1">
                  <wp:simplePos x="0" y="0"/>
                  <wp:positionH relativeFrom="column">
                    <wp:posOffset>495300</wp:posOffset>
                  </wp:positionH>
                  <wp:positionV relativeFrom="paragraph">
                    <wp:posOffset>0</wp:posOffset>
                  </wp:positionV>
                  <wp:extent cx="85725" cy="215265"/>
                  <wp:effectExtent l="0" t="0" r="0" b="0"/>
                  <wp:wrapNone/>
                  <wp:docPr id="21" name="Text_Box_3_SpCnt_14"/>
                  <wp:cNvGraphicFramePr/>
                  <a:graphic xmlns:a="http://schemas.openxmlformats.org/drawingml/2006/main">
                    <a:graphicData uri="http://schemas.openxmlformats.org/drawingml/2006/picture">
                      <pic:pic xmlns:pic="http://schemas.openxmlformats.org/drawingml/2006/picture">
                        <pic:nvPicPr>
                          <pic:cNvPr id="21" name="Text_Box_3_SpCnt_14"/>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70880" behindDoc="0" locked="0" layoutInCell="1" allowOverlap="1">
                  <wp:simplePos x="0" y="0"/>
                  <wp:positionH relativeFrom="column">
                    <wp:posOffset>495300</wp:posOffset>
                  </wp:positionH>
                  <wp:positionV relativeFrom="paragraph">
                    <wp:posOffset>0</wp:posOffset>
                  </wp:positionV>
                  <wp:extent cx="85725" cy="215265"/>
                  <wp:effectExtent l="0" t="0" r="0" b="0"/>
                  <wp:wrapNone/>
                  <wp:docPr id="2" name="Text_Box_3_SpCnt_15"/>
                  <wp:cNvGraphicFramePr/>
                  <a:graphic xmlns:a="http://schemas.openxmlformats.org/drawingml/2006/main">
                    <a:graphicData uri="http://schemas.openxmlformats.org/drawingml/2006/picture">
                      <pic:pic xmlns:pic="http://schemas.openxmlformats.org/drawingml/2006/picture">
                        <pic:nvPicPr>
                          <pic:cNvPr id="2" name="Text_Box_3_SpCnt_15"/>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71904" behindDoc="0" locked="0" layoutInCell="1" allowOverlap="1">
                  <wp:simplePos x="0" y="0"/>
                  <wp:positionH relativeFrom="column">
                    <wp:posOffset>495300</wp:posOffset>
                  </wp:positionH>
                  <wp:positionV relativeFrom="paragraph">
                    <wp:posOffset>0</wp:posOffset>
                  </wp:positionV>
                  <wp:extent cx="85725" cy="215265"/>
                  <wp:effectExtent l="0" t="0" r="0" b="0"/>
                  <wp:wrapNone/>
                  <wp:docPr id="16" name="Text_Box_3_SpCnt_16"/>
                  <wp:cNvGraphicFramePr/>
                  <a:graphic xmlns:a="http://schemas.openxmlformats.org/drawingml/2006/main">
                    <a:graphicData uri="http://schemas.openxmlformats.org/drawingml/2006/picture">
                      <pic:pic xmlns:pic="http://schemas.openxmlformats.org/drawingml/2006/picture">
                        <pic:nvPicPr>
                          <pic:cNvPr id="16" name="Text_Box_3_SpCnt_16"/>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72928" behindDoc="0" locked="0" layoutInCell="1" allowOverlap="1">
                  <wp:simplePos x="0" y="0"/>
                  <wp:positionH relativeFrom="column">
                    <wp:posOffset>495300</wp:posOffset>
                  </wp:positionH>
                  <wp:positionV relativeFrom="paragraph">
                    <wp:posOffset>0</wp:posOffset>
                  </wp:positionV>
                  <wp:extent cx="85725" cy="215265"/>
                  <wp:effectExtent l="0" t="0" r="0" b="0"/>
                  <wp:wrapNone/>
                  <wp:docPr id="10" name="Text_Box_3_SpCnt_17"/>
                  <wp:cNvGraphicFramePr/>
                  <a:graphic xmlns:a="http://schemas.openxmlformats.org/drawingml/2006/main">
                    <a:graphicData uri="http://schemas.openxmlformats.org/drawingml/2006/picture">
                      <pic:pic xmlns:pic="http://schemas.openxmlformats.org/drawingml/2006/picture">
                        <pic:nvPicPr>
                          <pic:cNvPr id="10" name="Text_Box_3_SpCnt_17"/>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73952"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44" name="Text_Box_4_SpCnt_16"/>
                  <wp:cNvGraphicFramePr/>
                  <a:graphic xmlns:a="http://schemas.openxmlformats.org/drawingml/2006/main">
                    <a:graphicData uri="http://schemas.openxmlformats.org/drawingml/2006/picture">
                      <pic:pic xmlns:pic="http://schemas.openxmlformats.org/drawingml/2006/picture">
                        <pic:nvPicPr>
                          <pic:cNvPr id="44" name="Text_Box_4_SpCnt_16"/>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74976"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46" name="Text_Box_2_SpCnt_16"/>
                  <wp:cNvGraphicFramePr/>
                  <a:graphic xmlns:a="http://schemas.openxmlformats.org/drawingml/2006/main">
                    <a:graphicData uri="http://schemas.openxmlformats.org/drawingml/2006/picture">
                      <pic:pic xmlns:pic="http://schemas.openxmlformats.org/drawingml/2006/picture">
                        <pic:nvPicPr>
                          <pic:cNvPr id="46" name="Text_Box_2_SpCnt_16"/>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76000"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49" name="Text_Box_1_SpCnt_15"/>
                  <wp:cNvGraphicFramePr/>
                  <a:graphic xmlns:a="http://schemas.openxmlformats.org/drawingml/2006/main">
                    <a:graphicData uri="http://schemas.openxmlformats.org/drawingml/2006/picture">
                      <pic:pic xmlns:pic="http://schemas.openxmlformats.org/drawingml/2006/picture">
                        <pic:nvPicPr>
                          <pic:cNvPr id="49" name="Text_Box_1_SpCnt_15"/>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77024"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53" name="Text_Box_2_SpCnt_17"/>
                  <wp:cNvGraphicFramePr/>
                  <a:graphic xmlns:a="http://schemas.openxmlformats.org/drawingml/2006/main">
                    <a:graphicData uri="http://schemas.openxmlformats.org/drawingml/2006/picture">
                      <pic:pic xmlns:pic="http://schemas.openxmlformats.org/drawingml/2006/picture">
                        <pic:nvPicPr>
                          <pic:cNvPr id="53" name="Text_Box_2_SpCnt_17"/>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78048"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33" name="Text_Box_1_SpCnt_16"/>
                  <wp:cNvGraphicFramePr/>
                  <a:graphic xmlns:a="http://schemas.openxmlformats.org/drawingml/2006/main">
                    <a:graphicData uri="http://schemas.openxmlformats.org/drawingml/2006/picture">
                      <pic:pic xmlns:pic="http://schemas.openxmlformats.org/drawingml/2006/picture">
                        <pic:nvPicPr>
                          <pic:cNvPr id="33" name="Text_Box_1_SpCnt_16"/>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79072"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37" name="Text_Box_7_SpCnt_15"/>
                  <wp:cNvGraphicFramePr/>
                  <a:graphic xmlns:a="http://schemas.openxmlformats.org/drawingml/2006/main">
                    <a:graphicData uri="http://schemas.openxmlformats.org/drawingml/2006/picture">
                      <pic:pic xmlns:pic="http://schemas.openxmlformats.org/drawingml/2006/picture">
                        <pic:nvPicPr>
                          <pic:cNvPr id="37" name="Text_Box_7_SpCnt_15"/>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80096"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32" name="Text_Box_7_SpCnt_16"/>
                  <wp:cNvGraphicFramePr/>
                  <a:graphic xmlns:a="http://schemas.openxmlformats.org/drawingml/2006/main">
                    <a:graphicData uri="http://schemas.openxmlformats.org/drawingml/2006/picture">
                      <pic:pic xmlns:pic="http://schemas.openxmlformats.org/drawingml/2006/picture">
                        <pic:nvPicPr>
                          <pic:cNvPr id="32" name="Text_Box_7_SpCnt_16"/>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81120"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45" name="Text_Box_6_SpCnt_16"/>
                  <wp:cNvGraphicFramePr/>
                  <a:graphic xmlns:a="http://schemas.openxmlformats.org/drawingml/2006/main">
                    <a:graphicData uri="http://schemas.openxmlformats.org/drawingml/2006/picture">
                      <pic:pic xmlns:pic="http://schemas.openxmlformats.org/drawingml/2006/picture">
                        <pic:nvPicPr>
                          <pic:cNvPr id="45" name="Text_Box_6_SpCnt_16"/>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82144"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50" name="Text_Box_6_SpCnt_17"/>
                  <wp:cNvGraphicFramePr/>
                  <a:graphic xmlns:a="http://schemas.openxmlformats.org/drawingml/2006/main">
                    <a:graphicData uri="http://schemas.openxmlformats.org/drawingml/2006/picture">
                      <pic:pic xmlns:pic="http://schemas.openxmlformats.org/drawingml/2006/picture">
                        <pic:nvPicPr>
                          <pic:cNvPr id="50" name="Text_Box_6_SpCnt_17"/>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83168"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51" name="Text_Box_5_SpCnt_16"/>
                  <wp:cNvGraphicFramePr/>
                  <a:graphic xmlns:a="http://schemas.openxmlformats.org/drawingml/2006/main">
                    <a:graphicData uri="http://schemas.openxmlformats.org/drawingml/2006/picture">
                      <pic:pic xmlns:pic="http://schemas.openxmlformats.org/drawingml/2006/picture">
                        <pic:nvPicPr>
                          <pic:cNvPr id="51" name="Text_Box_5_SpCnt_16"/>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84192"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35" name="Text_Box_4_SpCnt_17"/>
                  <wp:cNvGraphicFramePr/>
                  <a:graphic xmlns:a="http://schemas.openxmlformats.org/drawingml/2006/main">
                    <a:graphicData uri="http://schemas.openxmlformats.org/drawingml/2006/picture">
                      <pic:pic xmlns:pic="http://schemas.openxmlformats.org/drawingml/2006/picture">
                        <pic:nvPicPr>
                          <pic:cNvPr id="35" name="Text_Box_4_SpCnt_17"/>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85216"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41" name="Text_Box_5_SpCnt_17"/>
                  <wp:cNvGraphicFramePr/>
                  <a:graphic xmlns:a="http://schemas.openxmlformats.org/drawingml/2006/main">
                    <a:graphicData uri="http://schemas.openxmlformats.org/drawingml/2006/picture">
                      <pic:pic xmlns:pic="http://schemas.openxmlformats.org/drawingml/2006/picture">
                        <pic:nvPicPr>
                          <pic:cNvPr id="41" name="Text_Box_5_SpCnt_17"/>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86240"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42" name="Text_Box_2_SpCnt_18"/>
                  <wp:cNvGraphicFramePr/>
                  <a:graphic xmlns:a="http://schemas.openxmlformats.org/drawingml/2006/main">
                    <a:graphicData uri="http://schemas.openxmlformats.org/drawingml/2006/picture">
                      <pic:pic xmlns:pic="http://schemas.openxmlformats.org/drawingml/2006/picture">
                        <pic:nvPicPr>
                          <pic:cNvPr id="42" name="Text_Box_2_SpCnt_18"/>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87264"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39" name="Text_Box_4_SpCnt_18"/>
                  <wp:cNvGraphicFramePr/>
                  <a:graphic xmlns:a="http://schemas.openxmlformats.org/drawingml/2006/main">
                    <a:graphicData uri="http://schemas.openxmlformats.org/drawingml/2006/picture">
                      <pic:pic xmlns:pic="http://schemas.openxmlformats.org/drawingml/2006/picture">
                        <pic:nvPicPr>
                          <pic:cNvPr id="39" name="Text_Box_4_SpCnt_18"/>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88288"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54" name="Text_Box_1_SpCnt_17"/>
                  <wp:cNvGraphicFramePr/>
                  <a:graphic xmlns:a="http://schemas.openxmlformats.org/drawingml/2006/main">
                    <a:graphicData uri="http://schemas.openxmlformats.org/drawingml/2006/picture">
                      <pic:pic xmlns:pic="http://schemas.openxmlformats.org/drawingml/2006/picture">
                        <pic:nvPicPr>
                          <pic:cNvPr id="54" name="Text_Box_1_SpCnt_17"/>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89312"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34" name="Text_Box_7_SpCnt_17"/>
                  <wp:cNvGraphicFramePr/>
                  <a:graphic xmlns:a="http://schemas.openxmlformats.org/drawingml/2006/main">
                    <a:graphicData uri="http://schemas.openxmlformats.org/drawingml/2006/picture">
                      <pic:pic xmlns:pic="http://schemas.openxmlformats.org/drawingml/2006/picture">
                        <pic:nvPicPr>
                          <pic:cNvPr id="34" name="Text_Box_7_SpCnt_17"/>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90336"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36" name="Text_Box_6_SpCnt_18"/>
                  <wp:cNvGraphicFramePr/>
                  <a:graphic xmlns:a="http://schemas.openxmlformats.org/drawingml/2006/main">
                    <a:graphicData uri="http://schemas.openxmlformats.org/drawingml/2006/picture">
                      <pic:pic xmlns:pic="http://schemas.openxmlformats.org/drawingml/2006/picture">
                        <pic:nvPicPr>
                          <pic:cNvPr id="36" name="Text_Box_6_SpCnt_18"/>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91360"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47" name="Text_Box_5_SpCnt_18"/>
                  <wp:cNvGraphicFramePr/>
                  <a:graphic xmlns:a="http://schemas.openxmlformats.org/drawingml/2006/main">
                    <a:graphicData uri="http://schemas.openxmlformats.org/drawingml/2006/picture">
                      <pic:pic xmlns:pic="http://schemas.openxmlformats.org/drawingml/2006/picture">
                        <pic:nvPicPr>
                          <pic:cNvPr id="47" name="Text_Box_5_SpCnt_18"/>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92384"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48" name="Text_Box_4_SpCnt_19"/>
                  <wp:cNvGraphicFramePr/>
                  <a:graphic xmlns:a="http://schemas.openxmlformats.org/drawingml/2006/main">
                    <a:graphicData uri="http://schemas.openxmlformats.org/drawingml/2006/picture">
                      <pic:pic xmlns:pic="http://schemas.openxmlformats.org/drawingml/2006/picture">
                        <pic:nvPicPr>
                          <pic:cNvPr id="48" name="Text_Box_4_SpCnt_19"/>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93408"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40" name="Text_Box_2_SpCnt_19"/>
                  <wp:cNvGraphicFramePr/>
                  <a:graphic xmlns:a="http://schemas.openxmlformats.org/drawingml/2006/main">
                    <a:graphicData uri="http://schemas.openxmlformats.org/drawingml/2006/picture">
                      <pic:pic xmlns:pic="http://schemas.openxmlformats.org/drawingml/2006/picture">
                        <pic:nvPicPr>
                          <pic:cNvPr id="40" name="Text_Box_2_SpCnt_19"/>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94432"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38" name="Text_Box_1_SpCnt_18"/>
                  <wp:cNvGraphicFramePr/>
                  <a:graphic xmlns:a="http://schemas.openxmlformats.org/drawingml/2006/main">
                    <a:graphicData uri="http://schemas.openxmlformats.org/drawingml/2006/picture">
                      <pic:pic xmlns:pic="http://schemas.openxmlformats.org/drawingml/2006/picture">
                        <pic:nvPicPr>
                          <pic:cNvPr id="38" name="Text_Box_1_SpCnt_18"/>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95456"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52" name="Text_Box_2_SpCnt_20"/>
                  <wp:cNvGraphicFramePr/>
                  <a:graphic xmlns:a="http://schemas.openxmlformats.org/drawingml/2006/main">
                    <a:graphicData uri="http://schemas.openxmlformats.org/drawingml/2006/picture">
                      <pic:pic xmlns:pic="http://schemas.openxmlformats.org/drawingml/2006/picture">
                        <pic:nvPicPr>
                          <pic:cNvPr id="52" name="Text_Box_2_SpCnt_20"/>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96480"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43" name="Text_Box_1_SpCnt_19"/>
                  <wp:cNvGraphicFramePr/>
                  <a:graphic xmlns:a="http://schemas.openxmlformats.org/drawingml/2006/main">
                    <a:graphicData uri="http://schemas.openxmlformats.org/drawingml/2006/picture">
                      <pic:pic xmlns:pic="http://schemas.openxmlformats.org/drawingml/2006/picture">
                        <pic:nvPicPr>
                          <pic:cNvPr id="43" name="Text_Box_1_SpCnt_19"/>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97504"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31" name="Text_Box_7_SpCnt_18"/>
                  <wp:cNvGraphicFramePr/>
                  <a:graphic xmlns:a="http://schemas.openxmlformats.org/drawingml/2006/main">
                    <a:graphicData uri="http://schemas.openxmlformats.org/drawingml/2006/picture">
                      <pic:pic xmlns:pic="http://schemas.openxmlformats.org/drawingml/2006/picture">
                        <pic:nvPicPr>
                          <pic:cNvPr id="31" name="Text_Box_7_SpCnt_18"/>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98528"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196" name="Text_Box_7_SpCnt_19"/>
                  <wp:cNvGraphicFramePr/>
                  <a:graphic xmlns:a="http://schemas.openxmlformats.org/drawingml/2006/main">
                    <a:graphicData uri="http://schemas.openxmlformats.org/drawingml/2006/picture">
                      <pic:pic xmlns:pic="http://schemas.openxmlformats.org/drawingml/2006/picture">
                        <pic:nvPicPr>
                          <pic:cNvPr id="196" name="Text_Box_7_SpCnt_19"/>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799552"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193" name="Text_Box_6_SpCnt_19"/>
                  <wp:cNvGraphicFramePr/>
                  <a:graphic xmlns:a="http://schemas.openxmlformats.org/drawingml/2006/main">
                    <a:graphicData uri="http://schemas.openxmlformats.org/drawingml/2006/picture">
                      <pic:pic xmlns:pic="http://schemas.openxmlformats.org/drawingml/2006/picture">
                        <pic:nvPicPr>
                          <pic:cNvPr id="193" name="Text_Box_6_SpCnt_19"/>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00576"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195" name="Text_Box_6_SpCnt_20"/>
                  <wp:cNvGraphicFramePr/>
                  <a:graphic xmlns:a="http://schemas.openxmlformats.org/drawingml/2006/main">
                    <a:graphicData uri="http://schemas.openxmlformats.org/drawingml/2006/picture">
                      <pic:pic xmlns:pic="http://schemas.openxmlformats.org/drawingml/2006/picture">
                        <pic:nvPicPr>
                          <pic:cNvPr id="195" name="Text_Box_6_SpCnt_20"/>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01600"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197" name="Text_Box_5_SpCnt_19"/>
                  <wp:cNvGraphicFramePr/>
                  <a:graphic xmlns:a="http://schemas.openxmlformats.org/drawingml/2006/main">
                    <a:graphicData uri="http://schemas.openxmlformats.org/drawingml/2006/picture">
                      <pic:pic xmlns:pic="http://schemas.openxmlformats.org/drawingml/2006/picture">
                        <pic:nvPicPr>
                          <pic:cNvPr id="197" name="Text_Box_5_SpCnt_19"/>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02624"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198" name="Text_Box_4_SpCnt_20"/>
                  <wp:cNvGraphicFramePr/>
                  <a:graphic xmlns:a="http://schemas.openxmlformats.org/drawingml/2006/main">
                    <a:graphicData uri="http://schemas.openxmlformats.org/drawingml/2006/picture">
                      <pic:pic xmlns:pic="http://schemas.openxmlformats.org/drawingml/2006/picture">
                        <pic:nvPicPr>
                          <pic:cNvPr id="198" name="Text_Box_4_SpCnt_20"/>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03648"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199" name="Text_Box_5_SpCnt_20"/>
                  <wp:cNvGraphicFramePr/>
                  <a:graphic xmlns:a="http://schemas.openxmlformats.org/drawingml/2006/main">
                    <a:graphicData uri="http://schemas.openxmlformats.org/drawingml/2006/picture">
                      <pic:pic xmlns:pic="http://schemas.openxmlformats.org/drawingml/2006/picture">
                        <pic:nvPicPr>
                          <pic:cNvPr id="199" name="Text_Box_5_SpCnt_20"/>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04672"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204" name="Text_Box_2_SpCnt_21"/>
                  <wp:cNvGraphicFramePr/>
                  <a:graphic xmlns:a="http://schemas.openxmlformats.org/drawingml/2006/main">
                    <a:graphicData uri="http://schemas.openxmlformats.org/drawingml/2006/picture">
                      <pic:pic xmlns:pic="http://schemas.openxmlformats.org/drawingml/2006/picture">
                        <pic:nvPicPr>
                          <pic:cNvPr id="204" name="Text_Box_2_SpCnt_21"/>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05696"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203" name="Text_Box_4_SpCnt_21"/>
                  <wp:cNvGraphicFramePr/>
                  <a:graphic xmlns:a="http://schemas.openxmlformats.org/drawingml/2006/main">
                    <a:graphicData uri="http://schemas.openxmlformats.org/drawingml/2006/picture">
                      <pic:pic xmlns:pic="http://schemas.openxmlformats.org/drawingml/2006/picture">
                        <pic:nvPicPr>
                          <pic:cNvPr id="203" name="Text_Box_4_SpCnt_21"/>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06720"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200" name="Text_Box_1_SpCnt_20"/>
                  <wp:cNvGraphicFramePr/>
                  <a:graphic xmlns:a="http://schemas.openxmlformats.org/drawingml/2006/main">
                    <a:graphicData uri="http://schemas.openxmlformats.org/drawingml/2006/picture">
                      <pic:pic xmlns:pic="http://schemas.openxmlformats.org/drawingml/2006/picture">
                        <pic:nvPicPr>
                          <pic:cNvPr id="200" name="Text_Box_1_SpCnt_20"/>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07744"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189" name="Text_Box_6_SpCnt_21"/>
                  <wp:cNvGraphicFramePr/>
                  <a:graphic xmlns:a="http://schemas.openxmlformats.org/drawingml/2006/main">
                    <a:graphicData uri="http://schemas.openxmlformats.org/drawingml/2006/picture">
                      <pic:pic xmlns:pic="http://schemas.openxmlformats.org/drawingml/2006/picture">
                        <pic:nvPicPr>
                          <pic:cNvPr id="189" name="Text_Box_6_SpCnt_21"/>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08768"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201" name="Text_Box_5_SpCnt_21"/>
                  <wp:cNvGraphicFramePr/>
                  <a:graphic xmlns:a="http://schemas.openxmlformats.org/drawingml/2006/main">
                    <a:graphicData uri="http://schemas.openxmlformats.org/drawingml/2006/picture">
                      <pic:pic xmlns:pic="http://schemas.openxmlformats.org/drawingml/2006/picture">
                        <pic:nvPicPr>
                          <pic:cNvPr id="201" name="Text_Box_5_SpCnt_21"/>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09792"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194" name="Text_Box_4_SpCnt_22"/>
                  <wp:cNvGraphicFramePr/>
                  <a:graphic xmlns:a="http://schemas.openxmlformats.org/drawingml/2006/main">
                    <a:graphicData uri="http://schemas.openxmlformats.org/drawingml/2006/picture">
                      <pic:pic xmlns:pic="http://schemas.openxmlformats.org/drawingml/2006/picture">
                        <pic:nvPicPr>
                          <pic:cNvPr id="194" name="Text_Box_4_SpCnt_22"/>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10816"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202" name="Text_Box_2_SpCnt_22"/>
                  <wp:cNvGraphicFramePr/>
                  <a:graphic xmlns:a="http://schemas.openxmlformats.org/drawingml/2006/main">
                    <a:graphicData uri="http://schemas.openxmlformats.org/drawingml/2006/picture">
                      <pic:pic xmlns:pic="http://schemas.openxmlformats.org/drawingml/2006/picture">
                        <pic:nvPicPr>
                          <pic:cNvPr id="202" name="Text_Box_2_SpCnt_22"/>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11840"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205" name="Text_Box_1_SpCnt_21"/>
                  <wp:cNvGraphicFramePr/>
                  <a:graphic xmlns:a="http://schemas.openxmlformats.org/drawingml/2006/main">
                    <a:graphicData uri="http://schemas.openxmlformats.org/drawingml/2006/picture">
                      <pic:pic xmlns:pic="http://schemas.openxmlformats.org/drawingml/2006/picture">
                        <pic:nvPicPr>
                          <pic:cNvPr id="205" name="Text_Box_1_SpCnt_21"/>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12864"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188" name="Text_Box_7_SpCnt_20"/>
                  <wp:cNvGraphicFramePr/>
                  <a:graphic xmlns:a="http://schemas.openxmlformats.org/drawingml/2006/main">
                    <a:graphicData uri="http://schemas.openxmlformats.org/drawingml/2006/picture">
                      <pic:pic xmlns:pic="http://schemas.openxmlformats.org/drawingml/2006/picture">
                        <pic:nvPicPr>
                          <pic:cNvPr id="188" name="Text_Box_7_SpCnt_20"/>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13888"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190" name="Text_Box_6_SpCnt_22"/>
                  <wp:cNvGraphicFramePr/>
                  <a:graphic xmlns:a="http://schemas.openxmlformats.org/drawingml/2006/main">
                    <a:graphicData uri="http://schemas.openxmlformats.org/drawingml/2006/picture">
                      <pic:pic xmlns:pic="http://schemas.openxmlformats.org/drawingml/2006/picture">
                        <pic:nvPicPr>
                          <pic:cNvPr id="190" name="Text_Box_6_SpCnt_22"/>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14912"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191" name="Text_Box_5_SpCnt_22"/>
                  <wp:cNvGraphicFramePr/>
                  <a:graphic xmlns:a="http://schemas.openxmlformats.org/drawingml/2006/main">
                    <a:graphicData uri="http://schemas.openxmlformats.org/drawingml/2006/picture">
                      <pic:pic xmlns:pic="http://schemas.openxmlformats.org/drawingml/2006/picture">
                        <pic:nvPicPr>
                          <pic:cNvPr id="191" name="Text_Box_5_SpCnt_22"/>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15936"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192" name="Text_Box_4_SpCnt_23"/>
                  <wp:cNvGraphicFramePr/>
                  <a:graphic xmlns:a="http://schemas.openxmlformats.org/drawingml/2006/main">
                    <a:graphicData uri="http://schemas.openxmlformats.org/drawingml/2006/picture">
                      <pic:pic xmlns:pic="http://schemas.openxmlformats.org/drawingml/2006/picture">
                        <pic:nvPicPr>
                          <pic:cNvPr id="192" name="Text_Box_4_SpCnt_23"/>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16960"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171" name="Text_Box_2_SpCnt_23"/>
                  <wp:cNvGraphicFramePr/>
                  <a:graphic xmlns:a="http://schemas.openxmlformats.org/drawingml/2006/main">
                    <a:graphicData uri="http://schemas.openxmlformats.org/drawingml/2006/picture">
                      <pic:pic xmlns:pic="http://schemas.openxmlformats.org/drawingml/2006/picture">
                        <pic:nvPicPr>
                          <pic:cNvPr id="171" name="Text_Box_2_SpCnt_23"/>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17984"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172" name="Text_Box_1_SpCnt_22"/>
                  <wp:cNvGraphicFramePr/>
                  <a:graphic xmlns:a="http://schemas.openxmlformats.org/drawingml/2006/main">
                    <a:graphicData uri="http://schemas.openxmlformats.org/drawingml/2006/picture">
                      <pic:pic xmlns:pic="http://schemas.openxmlformats.org/drawingml/2006/picture">
                        <pic:nvPicPr>
                          <pic:cNvPr id="172" name="Text_Box_1_SpCnt_22"/>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19008"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176" name="Text_Box_7_SpCnt_21"/>
                  <wp:cNvGraphicFramePr/>
                  <a:graphic xmlns:a="http://schemas.openxmlformats.org/drawingml/2006/main">
                    <a:graphicData uri="http://schemas.openxmlformats.org/drawingml/2006/picture">
                      <pic:pic xmlns:pic="http://schemas.openxmlformats.org/drawingml/2006/picture">
                        <pic:nvPicPr>
                          <pic:cNvPr id="176" name="Text_Box_7_SpCnt_21"/>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20032"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173" name="Text_Box_6_SpCnt_23"/>
                  <wp:cNvGraphicFramePr/>
                  <a:graphic xmlns:a="http://schemas.openxmlformats.org/drawingml/2006/main">
                    <a:graphicData uri="http://schemas.openxmlformats.org/drawingml/2006/picture">
                      <pic:pic xmlns:pic="http://schemas.openxmlformats.org/drawingml/2006/picture">
                        <pic:nvPicPr>
                          <pic:cNvPr id="173" name="Text_Box_6_SpCnt_23"/>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21056"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177" name="Text_Box_5_SpCnt_23"/>
                  <wp:cNvGraphicFramePr/>
                  <a:graphic xmlns:a="http://schemas.openxmlformats.org/drawingml/2006/main">
                    <a:graphicData uri="http://schemas.openxmlformats.org/drawingml/2006/picture">
                      <pic:pic xmlns:pic="http://schemas.openxmlformats.org/drawingml/2006/picture">
                        <pic:nvPicPr>
                          <pic:cNvPr id="177" name="Text_Box_5_SpCnt_23"/>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22080"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178" name="Text_Box_4_SpCnt_24"/>
                  <wp:cNvGraphicFramePr/>
                  <a:graphic xmlns:a="http://schemas.openxmlformats.org/drawingml/2006/main">
                    <a:graphicData uri="http://schemas.openxmlformats.org/drawingml/2006/picture">
                      <pic:pic xmlns:pic="http://schemas.openxmlformats.org/drawingml/2006/picture">
                        <pic:nvPicPr>
                          <pic:cNvPr id="178" name="Text_Box_4_SpCnt_24"/>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23104"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179" name="Text_Box_2_SpCnt_24"/>
                  <wp:cNvGraphicFramePr/>
                  <a:graphic xmlns:a="http://schemas.openxmlformats.org/drawingml/2006/main">
                    <a:graphicData uri="http://schemas.openxmlformats.org/drawingml/2006/picture">
                      <pic:pic xmlns:pic="http://schemas.openxmlformats.org/drawingml/2006/picture">
                        <pic:nvPicPr>
                          <pic:cNvPr id="179" name="Text_Box_2_SpCnt_24"/>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24128"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174" name="Text_Box_1_SpCnt_23"/>
                  <wp:cNvGraphicFramePr/>
                  <a:graphic xmlns:a="http://schemas.openxmlformats.org/drawingml/2006/main">
                    <a:graphicData uri="http://schemas.openxmlformats.org/drawingml/2006/picture">
                      <pic:pic xmlns:pic="http://schemas.openxmlformats.org/drawingml/2006/picture">
                        <pic:nvPicPr>
                          <pic:cNvPr id="174" name="Text_Box_1_SpCnt_23"/>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25152"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175" name="Text_Box_7_SpCnt_22"/>
                  <wp:cNvGraphicFramePr/>
                  <a:graphic xmlns:a="http://schemas.openxmlformats.org/drawingml/2006/main">
                    <a:graphicData uri="http://schemas.openxmlformats.org/drawingml/2006/picture">
                      <pic:pic xmlns:pic="http://schemas.openxmlformats.org/drawingml/2006/picture">
                        <pic:nvPicPr>
                          <pic:cNvPr id="175" name="Text_Box_7_SpCnt_22"/>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26176"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181" name="Text_Box_6_SpCnt_24"/>
                  <wp:cNvGraphicFramePr/>
                  <a:graphic xmlns:a="http://schemas.openxmlformats.org/drawingml/2006/main">
                    <a:graphicData uri="http://schemas.openxmlformats.org/drawingml/2006/picture">
                      <pic:pic xmlns:pic="http://schemas.openxmlformats.org/drawingml/2006/picture">
                        <pic:nvPicPr>
                          <pic:cNvPr id="181" name="Text_Box_6_SpCnt_24"/>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27200"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187" name="Text_Box_5_SpCnt_24"/>
                  <wp:cNvGraphicFramePr/>
                  <a:graphic xmlns:a="http://schemas.openxmlformats.org/drawingml/2006/main">
                    <a:graphicData uri="http://schemas.openxmlformats.org/drawingml/2006/picture">
                      <pic:pic xmlns:pic="http://schemas.openxmlformats.org/drawingml/2006/picture">
                        <pic:nvPicPr>
                          <pic:cNvPr id="187" name="Text_Box_5_SpCnt_24"/>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28224"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180" name="Text_Box_4_SpCnt_25"/>
                  <wp:cNvGraphicFramePr/>
                  <a:graphic xmlns:a="http://schemas.openxmlformats.org/drawingml/2006/main">
                    <a:graphicData uri="http://schemas.openxmlformats.org/drawingml/2006/picture">
                      <pic:pic xmlns:pic="http://schemas.openxmlformats.org/drawingml/2006/picture">
                        <pic:nvPicPr>
                          <pic:cNvPr id="180" name="Text_Box_4_SpCnt_25"/>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29248"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182" name="Text_Box_2_SpCnt_25"/>
                  <wp:cNvGraphicFramePr/>
                  <a:graphic xmlns:a="http://schemas.openxmlformats.org/drawingml/2006/main">
                    <a:graphicData uri="http://schemas.openxmlformats.org/drawingml/2006/picture">
                      <pic:pic xmlns:pic="http://schemas.openxmlformats.org/drawingml/2006/picture">
                        <pic:nvPicPr>
                          <pic:cNvPr id="182" name="Text_Box_2_SpCnt_25"/>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30272"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183" name="Text_Box_1_SpCnt_24"/>
                  <wp:cNvGraphicFramePr/>
                  <a:graphic xmlns:a="http://schemas.openxmlformats.org/drawingml/2006/main">
                    <a:graphicData uri="http://schemas.openxmlformats.org/drawingml/2006/picture">
                      <pic:pic xmlns:pic="http://schemas.openxmlformats.org/drawingml/2006/picture">
                        <pic:nvPicPr>
                          <pic:cNvPr id="183" name="Text_Box_1_SpCnt_24"/>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31296"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185" name="Text_Box_7_SpCnt_23"/>
                  <wp:cNvGraphicFramePr/>
                  <a:graphic xmlns:a="http://schemas.openxmlformats.org/drawingml/2006/main">
                    <a:graphicData uri="http://schemas.openxmlformats.org/drawingml/2006/picture">
                      <pic:pic xmlns:pic="http://schemas.openxmlformats.org/drawingml/2006/picture">
                        <pic:nvPicPr>
                          <pic:cNvPr id="185" name="Text_Box_7_SpCnt_23"/>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32320"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186" name="Text_Box_6_SpCnt_25"/>
                  <wp:cNvGraphicFramePr/>
                  <a:graphic xmlns:a="http://schemas.openxmlformats.org/drawingml/2006/main">
                    <a:graphicData uri="http://schemas.openxmlformats.org/drawingml/2006/picture">
                      <pic:pic xmlns:pic="http://schemas.openxmlformats.org/drawingml/2006/picture">
                        <pic:nvPicPr>
                          <pic:cNvPr id="186" name="Text_Box_6_SpCnt_25"/>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33344"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184" name="Text_Box_5_SpCnt_25"/>
                  <wp:cNvGraphicFramePr/>
                  <a:graphic xmlns:a="http://schemas.openxmlformats.org/drawingml/2006/main">
                    <a:graphicData uri="http://schemas.openxmlformats.org/drawingml/2006/picture">
                      <pic:pic xmlns:pic="http://schemas.openxmlformats.org/drawingml/2006/picture">
                        <pic:nvPicPr>
                          <pic:cNvPr id="184" name="Text_Box_5_SpCnt_25"/>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34368"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65" name="Text_Box_4_SpCnt_26"/>
                  <wp:cNvGraphicFramePr/>
                  <a:graphic xmlns:a="http://schemas.openxmlformats.org/drawingml/2006/main">
                    <a:graphicData uri="http://schemas.openxmlformats.org/drawingml/2006/picture">
                      <pic:pic xmlns:pic="http://schemas.openxmlformats.org/drawingml/2006/picture">
                        <pic:nvPicPr>
                          <pic:cNvPr id="65" name="Text_Box_4_SpCnt_26"/>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35392"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66" name="Text_Box_2_SpCnt_26"/>
                  <wp:cNvGraphicFramePr/>
                  <a:graphic xmlns:a="http://schemas.openxmlformats.org/drawingml/2006/main">
                    <a:graphicData uri="http://schemas.openxmlformats.org/drawingml/2006/picture">
                      <pic:pic xmlns:pic="http://schemas.openxmlformats.org/drawingml/2006/picture">
                        <pic:nvPicPr>
                          <pic:cNvPr id="66" name="Text_Box_2_SpCnt_26"/>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36416"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62" name="Text_Box_1_SpCnt_25"/>
                  <wp:cNvGraphicFramePr/>
                  <a:graphic xmlns:a="http://schemas.openxmlformats.org/drawingml/2006/main">
                    <a:graphicData uri="http://schemas.openxmlformats.org/drawingml/2006/picture">
                      <pic:pic xmlns:pic="http://schemas.openxmlformats.org/drawingml/2006/picture">
                        <pic:nvPicPr>
                          <pic:cNvPr id="62" name="Text_Box_1_SpCnt_25"/>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37440"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63" name="Text_Box_7_SpCnt_24"/>
                  <wp:cNvGraphicFramePr/>
                  <a:graphic xmlns:a="http://schemas.openxmlformats.org/drawingml/2006/main">
                    <a:graphicData uri="http://schemas.openxmlformats.org/drawingml/2006/picture">
                      <pic:pic xmlns:pic="http://schemas.openxmlformats.org/drawingml/2006/picture">
                        <pic:nvPicPr>
                          <pic:cNvPr id="63" name="Text_Box_7_SpCnt_24"/>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38464"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64" name="Text_Box_6_SpCnt_26"/>
                  <wp:cNvGraphicFramePr/>
                  <a:graphic xmlns:a="http://schemas.openxmlformats.org/drawingml/2006/main">
                    <a:graphicData uri="http://schemas.openxmlformats.org/drawingml/2006/picture">
                      <pic:pic xmlns:pic="http://schemas.openxmlformats.org/drawingml/2006/picture">
                        <pic:nvPicPr>
                          <pic:cNvPr id="64" name="Text_Box_6_SpCnt_26"/>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39488"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59" name="Text_Box_5_SpCnt_26"/>
                  <wp:cNvGraphicFramePr/>
                  <a:graphic xmlns:a="http://schemas.openxmlformats.org/drawingml/2006/main">
                    <a:graphicData uri="http://schemas.openxmlformats.org/drawingml/2006/picture">
                      <pic:pic xmlns:pic="http://schemas.openxmlformats.org/drawingml/2006/picture">
                        <pic:nvPicPr>
                          <pic:cNvPr id="59" name="Text_Box_5_SpCnt_26"/>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40512"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61" name="Text_Box_4_SpCnt_27"/>
                  <wp:cNvGraphicFramePr/>
                  <a:graphic xmlns:a="http://schemas.openxmlformats.org/drawingml/2006/main">
                    <a:graphicData uri="http://schemas.openxmlformats.org/drawingml/2006/picture">
                      <pic:pic xmlns:pic="http://schemas.openxmlformats.org/drawingml/2006/picture">
                        <pic:nvPicPr>
                          <pic:cNvPr id="61" name="Text_Box_4_SpCnt_27"/>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41536"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60" name="Text_Box_7_SpCnt_25"/>
                  <wp:cNvGraphicFramePr/>
                  <a:graphic xmlns:a="http://schemas.openxmlformats.org/drawingml/2006/main">
                    <a:graphicData uri="http://schemas.openxmlformats.org/drawingml/2006/picture">
                      <pic:pic xmlns:pic="http://schemas.openxmlformats.org/drawingml/2006/picture">
                        <pic:nvPicPr>
                          <pic:cNvPr id="60" name="Text_Box_7_SpCnt_25"/>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42560"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72" name="Text_Box_6_SpCnt_27"/>
                  <wp:cNvGraphicFramePr/>
                  <a:graphic xmlns:a="http://schemas.openxmlformats.org/drawingml/2006/main">
                    <a:graphicData uri="http://schemas.openxmlformats.org/drawingml/2006/picture">
                      <pic:pic xmlns:pic="http://schemas.openxmlformats.org/drawingml/2006/picture">
                        <pic:nvPicPr>
                          <pic:cNvPr id="72" name="Text_Box_6_SpCnt_27"/>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43584" behindDoc="0" locked="0" layoutInCell="1" allowOverlap="1">
                  <wp:simplePos x="0" y="0"/>
                  <wp:positionH relativeFrom="column">
                    <wp:posOffset>885825</wp:posOffset>
                  </wp:positionH>
                  <wp:positionV relativeFrom="paragraph">
                    <wp:posOffset>0</wp:posOffset>
                  </wp:positionV>
                  <wp:extent cx="85725" cy="215265"/>
                  <wp:effectExtent l="0" t="0" r="0" b="0"/>
                  <wp:wrapNone/>
                  <wp:docPr id="73" name="Text_Box_5_SpCnt_27"/>
                  <wp:cNvGraphicFramePr/>
                  <a:graphic xmlns:a="http://schemas.openxmlformats.org/drawingml/2006/main">
                    <a:graphicData uri="http://schemas.openxmlformats.org/drawingml/2006/picture">
                      <pic:pic xmlns:pic="http://schemas.openxmlformats.org/drawingml/2006/picture">
                        <pic:nvPicPr>
                          <pic:cNvPr id="73" name="Text_Box_5_SpCnt_27"/>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lang w:bidi="ar"/>
              </w:rPr>
              <w:t>（三）施工服务</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rPr>
                <w:rFonts w:ascii="宋体" w:hAnsi="宋体" w:eastAsia="宋体" w:cs="宋体"/>
                <w:color w:val="auto"/>
                <w:sz w:val="21"/>
                <w:szCs w:val="21"/>
                <w:highlight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rPr>
                <w:rFonts w:ascii="宋体" w:hAnsi="宋体" w:eastAsia="宋体" w:cs="宋体"/>
                <w:color w:val="auto"/>
                <w:sz w:val="21"/>
                <w:szCs w:val="21"/>
                <w:highlight w:val="none"/>
              </w:rPr>
            </w:pPr>
          </w:p>
        </w:tc>
      </w:tr>
      <w:tr>
        <w:tblPrEx>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44608" behindDoc="0" locked="0" layoutInCell="1" allowOverlap="1">
                  <wp:simplePos x="0" y="0"/>
                  <wp:positionH relativeFrom="column">
                    <wp:posOffset>0</wp:posOffset>
                  </wp:positionH>
                  <wp:positionV relativeFrom="paragraph">
                    <wp:posOffset>0</wp:posOffset>
                  </wp:positionV>
                  <wp:extent cx="85725" cy="215265"/>
                  <wp:effectExtent l="0" t="0" r="0" b="0"/>
                  <wp:wrapNone/>
                  <wp:docPr id="76" name="Text_Box_7_SpCnt_26"/>
                  <wp:cNvGraphicFramePr/>
                  <a:graphic xmlns:a="http://schemas.openxmlformats.org/drawingml/2006/main">
                    <a:graphicData uri="http://schemas.openxmlformats.org/drawingml/2006/picture">
                      <pic:pic xmlns:pic="http://schemas.openxmlformats.org/drawingml/2006/picture">
                        <pic:nvPicPr>
                          <pic:cNvPr id="76" name="Text_Box_7_SpCnt_26"/>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45632" behindDoc="0" locked="0" layoutInCell="1" allowOverlap="1">
                  <wp:simplePos x="0" y="0"/>
                  <wp:positionH relativeFrom="column">
                    <wp:posOffset>0</wp:posOffset>
                  </wp:positionH>
                  <wp:positionV relativeFrom="paragraph">
                    <wp:posOffset>0</wp:posOffset>
                  </wp:positionV>
                  <wp:extent cx="85725" cy="215265"/>
                  <wp:effectExtent l="0" t="0" r="0" b="0"/>
                  <wp:wrapNone/>
                  <wp:docPr id="74" name="Text_Box_1_SpCnt_26"/>
                  <wp:cNvGraphicFramePr/>
                  <a:graphic xmlns:a="http://schemas.openxmlformats.org/drawingml/2006/main">
                    <a:graphicData uri="http://schemas.openxmlformats.org/drawingml/2006/picture">
                      <pic:pic xmlns:pic="http://schemas.openxmlformats.org/drawingml/2006/picture">
                        <pic:nvPicPr>
                          <pic:cNvPr id="74" name="Text_Box_1_SpCnt_26"/>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45632" behindDoc="0" locked="0" layoutInCell="1" allowOverlap="1">
                  <wp:simplePos x="0" y="0"/>
                  <wp:positionH relativeFrom="column">
                    <wp:posOffset>0</wp:posOffset>
                  </wp:positionH>
                  <wp:positionV relativeFrom="paragraph">
                    <wp:posOffset>0</wp:posOffset>
                  </wp:positionV>
                  <wp:extent cx="85725" cy="215265"/>
                  <wp:effectExtent l="0" t="0" r="0" b="0"/>
                  <wp:wrapNone/>
                  <wp:docPr id="75" name="Text_Box_5_SpCnt_28"/>
                  <wp:cNvGraphicFramePr/>
                  <a:graphic xmlns:a="http://schemas.openxmlformats.org/drawingml/2006/main">
                    <a:graphicData uri="http://schemas.openxmlformats.org/drawingml/2006/picture">
                      <pic:pic xmlns:pic="http://schemas.openxmlformats.org/drawingml/2006/picture">
                        <pic:nvPicPr>
                          <pic:cNvPr id="75" name="Text_Box_5_SpCnt_28"/>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46656" behindDoc="0" locked="0" layoutInCell="1" allowOverlap="1">
                  <wp:simplePos x="0" y="0"/>
                  <wp:positionH relativeFrom="column">
                    <wp:posOffset>0</wp:posOffset>
                  </wp:positionH>
                  <wp:positionV relativeFrom="paragraph">
                    <wp:posOffset>0</wp:posOffset>
                  </wp:positionV>
                  <wp:extent cx="85725" cy="215265"/>
                  <wp:effectExtent l="0" t="0" r="0" b="0"/>
                  <wp:wrapNone/>
                  <wp:docPr id="3" name="Text_Box_6_SpCnt_28"/>
                  <wp:cNvGraphicFramePr/>
                  <a:graphic xmlns:a="http://schemas.openxmlformats.org/drawingml/2006/main">
                    <a:graphicData uri="http://schemas.openxmlformats.org/drawingml/2006/picture">
                      <pic:pic xmlns:pic="http://schemas.openxmlformats.org/drawingml/2006/picture">
                        <pic:nvPicPr>
                          <pic:cNvPr id="3" name="Text_Box_6_SpCnt_28"/>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47680" behindDoc="0" locked="0" layoutInCell="1" allowOverlap="1">
                  <wp:simplePos x="0" y="0"/>
                  <wp:positionH relativeFrom="column">
                    <wp:posOffset>0</wp:posOffset>
                  </wp:positionH>
                  <wp:positionV relativeFrom="paragraph">
                    <wp:posOffset>0</wp:posOffset>
                  </wp:positionV>
                  <wp:extent cx="85725" cy="215265"/>
                  <wp:effectExtent l="0" t="0" r="0" b="0"/>
                  <wp:wrapNone/>
                  <wp:docPr id="5" name="Text_Box_2_SpCnt_27"/>
                  <wp:cNvGraphicFramePr/>
                  <a:graphic xmlns:a="http://schemas.openxmlformats.org/drawingml/2006/main">
                    <a:graphicData uri="http://schemas.openxmlformats.org/drawingml/2006/picture">
                      <pic:pic xmlns:pic="http://schemas.openxmlformats.org/drawingml/2006/picture">
                        <pic:nvPicPr>
                          <pic:cNvPr id="5" name="Text_Box_2_SpCnt_27"/>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48704" behindDoc="0" locked="0" layoutInCell="1" allowOverlap="1">
                  <wp:simplePos x="0" y="0"/>
                  <wp:positionH relativeFrom="column">
                    <wp:posOffset>0</wp:posOffset>
                  </wp:positionH>
                  <wp:positionV relativeFrom="paragraph">
                    <wp:posOffset>0</wp:posOffset>
                  </wp:positionV>
                  <wp:extent cx="85725" cy="215265"/>
                  <wp:effectExtent l="0" t="0" r="0" b="0"/>
                  <wp:wrapNone/>
                  <wp:docPr id="4" name="Text_Box_4_SpCnt_28"/>
                  <wp:cNvGraphicFramePr/>
                  <a:graphic xmlns:a="http://schemas.openxmlformats.org/drawingml/2006/main">
                    <a:graphicData uri="http://schemas.openxmlformats.org/drawingml/2006/picture">
                      <pic:pic xmlns:pic="http://schemas.openxmlformats.org/drawingml/2006/picture">
                        <pic:nvPicPr>
                          <pic:cNvPr id="4" name="Text_Box_4_SpCnt_28"/>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49728" behindDoc="0" locked="0" layoutInCell="1" allowOverlap="1">
                  <wp:simplePos x="0" y="0"/>
                  <wp:positionH relativeFrom="column">
                    <wp:posOffset>0</wp:posOffset>
                  </wp:positionH>
                  <wp:positionV relativeFrom="paragraph">
                    <wp:posOffset>0</wp:posOffset>
                  </wp:positionV>
                  <wp:extent cx="85725" cy="215265"/>
                  <wp:effectExtent l="0" t="0" r="0" b="0"/>
                  <wp:wrapNone/>
                  <wp:docPr id="55" name="Text_Box_6_SpCnt_29"/>
                  <wp:cNvGraphicFramePr/>
                  <a:graphic xmlns:a="http://schemas.openxmlformats.org/drawingml/2006/main">
                    <a:graphicData uri="http://schemas.openxmlformats.org/drawingml/2006/picture">
                      <pic:pic xmlns:pic="http://schemas.openxmlformats.org/drawingml/2006/picture">
                        <pic:nvPicPr>
                          <pic:cNvPr id="55" name="Text_Box_6_SpCnt_29"/>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50752" behindDoc="0" locked="0" layoutInCell="1" allowOverlap="1">
                  <wp:simplePos x="0" y="0"/>
                  <wp:positionH relativeFrom="column">
                    <wp:posOffset>0</wp:posOffset>
                  </wp:positionH>
                  <wp:positionV relativeFrom="paragraph">
                    <wp:posOffset>0</wp:posOffset>
                  </wp:positionV>
                  <wp:extent cx="85725" cy="215265"/>
                  <wp:effectExtent l="0" t="0" r="0" b="0"/>
                  <wp:wrapNone/>
                  <wp:docPr id="56" name="Text_Box_4_SpCnt_29"/>
                  <wp:cNvGraphicFramePr/>
                  <a:graphic xmlns:a="http://schemas.openxmlformats.org/drawingml/2006/main">
                    <a:graphicData uri="http://schemas.openxmlformats.org/drawingml/2006/picture">
                      <pic:pic xmlns:pic="http://schemas.openxmlformats.org/drawingml/2006/picture">
                        <pic:nvPicPr>
                          <pic:cNvPr id="56" name="Text_Box_4_SpCnt_29"/>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51776" behindDoc="0" locked="0" layoutInCell="1" allowOverlap="1">
                  <wp:simplePos x="0" y="0"/>
                  <wp:positionH relativeFrom="column">
                    <wp:posOffset>0</wp:posOffset>
                  </wp:positionH>
                  <wp:positionV relativeFrom="paragraph">
                    <wp:posOffset>0</wp:posOffset>
                  </wp:positionV>
                  <wp:extent cx="85725" cy="215265"/>
                  <wp:effectExtent l="0" t="0" r="0" b="0"/>
                  <wp:wrapNone/>
                  <wp:docPr id="67" name="Text_Box_2_SpCnt_28"/>
                  <wp:cNvGraphicFramePr/>
                  <a:graphic xmlns:a="http://schemas.openxmlformats.org/drawingml/2006/main">
                    <a:graphicData uri="http://schemas.openxmlformats.org/drawingml/2006/picture">
                      <pic:pic xmlns:pic="http://schemas.openxmlformats.org/drawingml/2006/picture">
                        <pic:nvPicPr>
                          <pic:cNvPr id="67" name="Text_Box_2_SpCnt_28"/>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52800" behindDoc="0" locked="0" layoutInCell="1" allowOverlap="1">
                  <wp:simplePos x="0" y="0"/>
                  <wp:positionH relativeFrom="column">
                    <wp:posOffset>0</wp:posOffset>
                  </wp:positionH>
                  <wp:positionV relativeFrom="paragraph">
                    <wp:posOffset>0</wp:posOffset>
                  </wp:positionV>
                  <wp:extent cx="85725" cy="215265"/>
                  <wp:effectExtent l="0" t="0" r="0" b="0"/>
                  <wp:wrapNone/>
                  <wp:docPr id="68" name="Text_Box_3_SpCnt_18"/>
                  <wp:cNvGraphicFramePr/>
                  <a:graphic xmlns:a="http://schemas.openxmlformats.org/drawingml/2006/main">
                    <a:graphicData uri="http://schemas.openxmlformats.org/drawingml/2006/picture">
                      <pic:pic xmlns:pic="http://schemas.openxmlformats.org/drawingml/2006/picture">
                        <pic:nvPicPr>
                          <pic:cNvPr id="68" name="Text_Box_3_SpCnt_18"/>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53824" behindDoc="0" locked="0" layoutInCell="1" allowOverlap="1">
                  <wp:simplePos x="0" y="0"/>
                  <wp:positionH relativeFrom="column">
                    <wp:posOffset>0</wp:posOffset>
                  </wp:positionH>
                  <wp:positionV relativeFrom="paragraph">
                    <wp:posOffset>0</wp:posOffset>
                  </wp:positionV>
                  <wp:extent cx="85725" cy="215265"/>
                  <wp:effectExtent l="0" t="0" r="0" b="0"/>
                  <wp:wrapNone/>
                  <wp:docPr id="70" name="Text_Box_6_SpCnt_30"/>
                  <wp:cNvGraphicFramePr/>
                  <a:graphic xmlns:a="http://schemas.openxmlformats.org/drawingml/2006/main">
                    <a:graphicData uri="http://schemas.openxmlformats.org/drawingml/2006/picture">
                      <pic:pic xmlns:pic="http://schemas.openxmlformats.org/drawingml/2006/picture">
                        <pic:nvPicPr>
                          <pic:cNvPr id="70" name="Text_Box_6_SpCnt_30"/>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54848" behindDoc="0" locked="0" layoutInCell="1" allowOverlap="1">
                  <wp:simplePos x="0" y="0"/>
                  <wp:positionH relativeFrom="column">
                    <wp:posOffset>0</wp:posOffset>
                  </wp:positionH>
                  <wp:positionV relativeFrom="paragraph">
                    <wp:posOffset>0</wp:posOffset>
                  </wp:positionV>
                  <wp:extent cx="85725" cy="215265"/>
                  <wp:effectExtent l="0" t="0" r="0" b="0"/>
                  <wp:wrapNone/>
                  <wp:docPr id="69" name="Text_Box_2_SpCnt_29"/>
                  <wp:cNvGraphicFramePr/>
                  <a:graphic xmlns:a="http://schemas.openxmlformats.org/drawingml/2006/main">
                    <a:graphicData uri="http://schemas.openxmlformats.org/drawingml/2006/picture">
                      <pic:pic xmlns:pic="http://schemas.openxmlformats.org/drawingml/2006/picture">
                        <pic:nvPicPr>
                          <pic:cNvPr id="69" name="Text_Box_2_SpCnt_29"/>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55872" behindDoc="0" locked="0" layoutInCell="1" allowOverlap="1">
                  <wp:simplePos x="0" y="0"/>
                  <wp:positionH relativeFrom="column">
                    <wp:posOffset>0</wp:posOffset>
                  </wp:positionH>
                  <wp:positionV relativeFrom="paragraph">
                    <wp:posOffset>0</wp:posOffset>
                  </wp:positionV>
                  <wp:extent cx="85725" cy="215265"/>
                  <wp:effectExtent l="0" t="0" r="0" b="0"/>
                  <wp:wrapNone/>
                  <wp:docPr id="71" name="Text_Box_7_SpCnt_27"/>
                  <wp:cNvGraphicFramePr/>
                  <a:graphic xmlns:a="http://schemas.openxmlformats.org/drawingml/2006/main">
                    <a:graphicData uri="http://schemas.openxmlformats.org/drawingml/2006/picture">
                      <pic:pic xmlns:pic="http://schemas.openxmlformats.org/drawingml/2006/picture">
                        <pic:nvPicPr>
                          <pic:cNvPr id="71" name="Text_Box_7_SpCnt_27"/>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56896" behindDoc="0" locked="0" layoutInCell="1" allowOverlap="1">
                  <wp:simplePos x="0" y="0"/>
                  <wp:positionH relativeFrom="column">
                    <wp:posOffset>0</wp:posOffset>
                  </wp:positionH>
                  <wp:positionV relativeFrom="paragraph">
                    <wp:posOffset>0</wp:posOffset>
                  </wp:positionV>
                  <wp:extent cx="85725" cy="215265"/>
                  <wp:effectExtent l="0" t="0" r="0" b="0"/>
                  <wp:wrapNone/>
                  <wp:docPr id="57" name="Text_Box_6_SpCnt_31"/>
                  <wp:cNvGraphicFramePr/>
                  <a:graphic xmlns:a="http://schemas.openxmlformats.org/drawingml/2006/main">
                    <a:graphicData uri="http://schemas.openxmlformats.org/drawingml/2006/picture">
                      <pic:pic xmlns:pic="http://schemas.openxmlformats.org/drawingml/2006/picture">
                        <pic:nvPicPr>
                          <pic:cNvPr id="57" name="Text_Box_6_SpCnt_31"/>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57920" behindDoc="0" locked="0" layoutInCell="1" allowOverlap="1">
                  <wp:simplePos x="0" y="0"/>
                  <wp:positionH relativeFrom="column">
                    <wp:posOffset>0</wp:posOffset>
                  </wp:positionH>
                  <wp:positionV relativeFrom="paragraph">
                    <wp:posOffset>0</wp:posOffset>
                  </wp:positionV>
                  <wp:extent cx="85725" cy="215265"/>
                  <wp:effectExtent l="0" t="0" r="0" b="0"/>
                  <wp:wrapNone/>
                  <wp:docPr id="58" name="Text_Box_5_SpCnt_29"/>
                  <wp:cNvGraphicFramePr/>
                  <a:graphic xmlns:a="http://schemas.openxmlformats.org/drawingml/2006/main">
                    <a:graphicData uri="http://schemas.openxmlformats.org/drawingml/2006/picture">
                      <pic:pic xmlns:pic="http://schemas.openxmlformats.org/drawingml/2006/picture">
                        <pic:nvPicPr>
                          <pic:cNvPr id="58" name="Text_Box_5_SpCnt_29"/>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58944" behindDoc="0" locked="0" layoutInCell="1" allowOverlap="1">
                  <wp:simplePos x="0" y="0"/>
                  <wp:positionH relativeFrom="column">
                    <wp:posOffset>0</wp:posOffset>
                  </wp:positionH>
                  <wp:positionV relativeFrom="paragraph">
                    <wp:posOffset>0</wp:posOffset>
                  </wp:positionV>
                  <wp:extent cx="85725" cy="215265"/>
                  <wp:effectExtent l="0" t="0" r="0" b="0"/>
                  <wp:wrapNone/>
                  <wp:docPr id="125" name="Text_Box_2_SpCnt_30"/>
                  <wp:cNvGraphicFramePr/>
                  <a:graphic xmlns:a="http://schemas.openxmlformats.org/drawingml/2006/main">
                    <a:graphicData uri="http://schemas.openxmlformats.org/drawingml/2006/picture">
                      <pic:pic xmlns:pic="http://schemas.openxmlformats.org/drawingml/2006/picture">
                        <pic:nvPicPr>
                          <pic:cNvPr id="125" name="Text_Box_2_SpCnt_30"/>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59968" behindDoc="0" locked="0" layoutInCell="1" allowOverlap="1">
                  <wp:simplePos x="0" y="0"/>
                  <wp:positionH relativeFrom="column">
                    <wp:posOffset>0</wp:posOffset>
                  </wp:positionH>
                  <wp:positionV relativeFrom="paragraph">
                    <wp:posOffset>0</wp:posOffset>
                  </wp:positionV>
                  <wp:extent cx="85725" cy="215265"/>
                  <wp:effectExtent l="0" t="0" r="0" b="0"/>
                  <wp:wrapNone/>
                  <wp:docPr id="126" name="Text_Box_4_SpCnt_30"/>
                  <wp:cNvGraphicFramePr/>
                  <a:graphic xmlns:a="http://schemas.openxmlformats.org/drawingml/2006/main">
                    <a:graphicData uri="http://schemas.openxmlformats.org/drawingml/2006/picture">
                      <pic:pic xmlns:pic="http://schemas.openxmlformats.org/drawingml/2006/picture">
                        <pic:nvPicPr>
                          <pic:cNvPr id="126" name="Text_Box_4_SpCnt_30"/>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60992" behindDoc="0" locked="0" layoutInCell="1" allowOverlap="1">
                  <wp:simplePos x="0" y="0"/>
                  <wp:positionH relativeFrom="column">
                    <wp:posOffset>0</wp:posOffset>
                  </wp:positionH>
                  <wp:positionV relativeFrom="paragraph">
                    <wp:posOffset>0</wp:posOffset>
                  </wp:positionV>
                  <wp:extent cx="85725" cy="215265"/>
                  <wp:effectExtent l="0" t="0" r="0" b="0"/>
                  <wp:wrapNone/>
                  <wp:docPr id="268" name="Text_Box_1_SpCnt_27"/>
                  <wp:cNvGraphicFramePr/>
                  <a:graphic xmlns:a="http://schemas.openxmlformats.org/drawingml/2006/main">
                    <a:graphicData uri="http://schemas.openxmlformats.org/drawingml/2006/picture">
                      <pic:pic xmlns:pic="http://schemas.openxmlformats.org/drawingml/2006/picture">
                        <pic:nvPicPr>
                          <pic:cNvPr id="268" name="Text_Box_1_SpCnt_27"/>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62016" behindDoc="0" locked="0" layoutInCell="1" allowOverlap="1">
                  <wp:simplePos x="0" y="0"/>
                  <wp:positionH relativeFrom="column">
                    <wp:posOffset>0</wp:posOffset>
                  </wp:positionH>
                  <wp:positionV relativeFrom="paragraph">
                    <wp:posOffset>0</wp:posOffset>
                  </wp:positionV>
                  <wp:extent cx="85725" cy="215265"/>
                  <wp:effectExtent l="0" t="0" r="0" b="0"/>
                  <wp:wrapNone/>
                  <wp:docPr id="251" name="Text_Box_2_SpCnt_31"/>
                  <wp:cNvGraphicFramePr/>
                  <a:graphic xmlns:a="http://schemas.openxmlformats.org/drawingml/2006/main">
                    <a:graphicData uri="http://schemas.openxmlformats.org/drawingml/2006/picture">
                      <pic:pic xmlns:pic="http://schemas.openxmlformats.org/drawingml/2006/picture">
                        <pic:nvPicPr>
                          <pic:cNvPr id="251" name="Text_Box_2_SpCnt_31"/>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63040" behindDoc="0" locked="0" layoutInCell="1" allowOverlap="1">
                  <wp:simplePos x="0" y="0"/>
                  <wp:positionH relativeFrom="column">
                    <wp:posOffset>0</wp:posOffset>
                  </wp:positionH>
                  <wp:positionV relativeFrom="paragraph">
                    <wp:posOffset>0</wp:posOffset>
                  </wp:positionV>
                  <wp:extent cx="85725" cy="215265"/>
                  <wp:effectExtent l="0" t="0" r="0" b="0"/>
                  <wp:wrapNone/>
                  <wp:docPr id="272" name="Text_Box_7_SpCnt_28"/>
                  <wp:cNvGraphicFramePr/>
                  <a:graphic xmlns:a="http://schemas.openxmlformats.org/drawingml/2006/main">
                    <a:graphicData uri="http://schemas.openxmlformats.org/drawingml/2006/picture">
                      <pic:pic xmlns:pic="http://schemas.openxmlformats.org/drawingml/2006/picture">
                        <pic:nvPicPr>
                          <pic:cNvPr id="272" name="Text_Box_7_SpCnt_28"/>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64064" behindDoc="0" locked="0" layoutInCell="1" allowOverlap="1">
                  <wp:simplePos x="0" y="0"/>
                  <wp:positionH relativeFrom="column">
                    <wp:posOffset>0</wp:posOffset>
                  </wp:positionH>
                  <wp:positionV relativeFrom="paragraph">
                    <wp:posOffset>0</wp:posOffset>
                  </wp:positionV>
                  <wp:extent cx="85725" cy="215265"/>
                  <wp:effectExtent l="0" t="0" r="0" b="0"/>
                  <wp:wrapNone/>
                  <wp:docPr id="269" name="Text_Box_4_SpCnt_31"/>
                  <wp:cNvGraphicFramePr/>
                  <a:graphic xmlns:a="http://schemas.openxmlformats.org/drawingml/2006/main">
                    <a:graphicData uri="http://schemas.openxmlformats.org/drawingml/2006/picture">
                      <pic:pic xmlns:pic="http://schemas.openxmlformats.org/drawingml/2006/picture">
                        <pic:nvPicPr>
                          <pic:cNvPr id="269" name="Text_Box_4_SpCnt_31"/>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65088" behindDoc="0" locked="0" layoutInCell="1" allowOverlap="1">
                  <wp:simplePos x="0" y="0"/>
                  <wp:positionH relativeFrom="column">
                    <wp:posOffset>0</wp:posOffset>
                  </wp:positionH>
                  <wp:positionV relativeFrom="paragraph">
                    <wp:posOffset>0</wp:posOffset>
                  </wp:positionV>
                  <wp:extent cx="85725" cy="215265"/>
                  <wp:effectExtent l="0" t="0" r="0" b="0"/>
                  <wp:wrapNone/>
                  <wp:docPr id="248" name="Text_Box_4_SpCnt_32"/>
                  <wp:cNvGraphicFramePr/>
                  <a:graphic xmlns:a="http://schemas.openxmlformats.org/drawingml/2006/main">
                    <a:graphicData uri="http://schemas.openxmlformats.org/drawingml/2006/picture">
                      <pic:pic xmlns:pic="http://schemas.openxmlformats.org/drawingml/2006/picture">
                        <pic:nvPicPr>
                          <pic:cNvPr id="248" name="Text_Box_4_SpCnt_32"/>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66112" behindDoc="0" locked="0" layoutInCell="1" allowOverlap="1">
                  <wp:simplePos x="0" y="0"/>
                  <wp:positionH relativeFrom="column">
                    <wp:posOffset>0</wp:posOffset>
                  </wp:positionH>
                  <wp:positionV relativeFrom="paragraph">
                    <wp:posOffset>0</wp:posOffset>
                  </wp:positionV>
                  <wp:extent cx="85725" cy="215265"/>
                  <wp:effectExtent l="0" t="0" r="0" b="0"/>
                  <wp:wrapNone/>
                  <wp:docPr id="250" name="Text_Box_5_SpCnt_30"/>
                  <wp:cNvGraphicFramePr/>
                  <a:graphic xmlns:a="http://schemas.openxmlformats.org/drawingml/2006/main">
                    <a:graphicData uri="http://schemas.openxmlformats.org/drawingml/2006/picture">
                      <pic:pic xmlns:pic="http://schemas.openxmlformats.org/drawingml/2006/picture">
                        <pic:nvPicPr>
                          <pic:cNvPr id="250" name="Text_Box_5_SpCnt_30"/>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67136" behindDoc="0" locked="0" layoutInCell="1" allowOverlap="1">
                  <wp:simplePos x="0" y="0"/>
                  <wp:positionH relativeFrom="column">
                    <wp:posOffset>0</wp:posOffset>
                  </wp:positionH>
                  <wp:positionV relativeFrom="paragraph">
                    <wp:posOffset>0</wp:posOffset>
                  </wp:positionV>
                  <wp:extent cx="85725" cy="215265"/>
                  <wp:effectExtent l="0" t="0" r="0" b="0"/>
                  <wp:wrapNone/>
                  <wp:docPr id="257" name="Text_Box_7_SpCnt_29"/>
                  <wp:cNvGraphicFramePr/>
                  <a:graphic xmlns:a="http://schemas.openxmlformats.org/drawingml/2006/main">
                    <a:graphicData uri="http://schemas.openxmlformats.org/drawingml/2006/picture">
                      <pic:pic xmlns:pic="http://schemas.openxmlformats.org/drawingml/2006/picture">
                        <pic:nvPicPr>
                          <pic:cNvPr id="257" name="Text_Box_7_SpCnt_29"/>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68160" behindDoc="0" locked="0" layoutInCell="1" allowOverlap="1">
                  <wp:simplePos x="0" y="0"/>
                  <wp:positionH relativeFrom="column">
                    <wp:posOffset>0</wp:posOffset>
                  </wp:positionH>
                  <wp:positionV relativeFrom="paragraph">
                    <wp:posOffset>0</wp:posOffset>
                  </wp:positionV>
                  <wp:extent cx="85725" cy="215265"/>
                  <wp:effectExtent l="0" t="0" r="0" b="0"/>
                  <wp:wrapNone/>
                  <wp:docPr id="274" name="Text_Box_5_SpCnt_31"/>
                  <wp:cNvGraphicFramePr/>
                  <a:graphic xmlns:a="http://schemas.openxmlformats.org/drawingml/2006/main">
                    <a:graphicData uri="http://schemas.openxmlformats.org/drawingml/2006/picture">
                      <pic:pic xmlns:pic="http://schemas.openxmlformats.org/drawingml/2006/picture">
                        <pic:nvPicPr>
                          <pic:cNvPr id="274" name="Text_Box_5_SpCnt_31"/>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69184" behindDoc="0" locked="0" layoutInCell="1" allowOverlap="1">
                  <wp:simplePos x="0" y="0"/>
                  <wp:positionH relativeFrom="column">
                    <wp:posOffset>0</wp:posOffset>
                  </wp:positionH>
                  <wp:positionV relativeFrom="paragraph">
                    <wp:posOffset>0</wp:posOffset>
                  </wp:positionV>
                  <wp:extent cx="85725" cy="215265"/>
                  <wp:effectExtent l="0" t="0" r="0" b="0"/>
                  <wp:wrapNone/>
                  <wp:docPr id="252" name="Text_Box_2_SpCnt_32"/>
                  <wp:cNvGraphicFramePr/>
                  <a:graphic xmlns:a="http://schemas.openxmlformats.org/drawingml/2006/main">
                    <a:graphicData uri="http://schemas.openxmlformats.org/drawingml/2006/picture">
                      <pic:pic xmlns:pic="http://schemas.openxmlformats.org/drawingml/2006/picture">
                        <pic:nvPicPr>
                          <pic:cNvPr id="252" name="Text_Box_2_SpCnt_32"/>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70208" behindDoc="0" locked="0" layoutInCell="1" allowOverlap="1">
                  <wp:simplePos x="0" y="0"/>
                  <wp:positionH relativeFrom="column">
                    <wp:posOffset>0</wp:posOffset>
                  </wp:positionH>
                  <wp:positionV relativeFrom="paragraph">
                    <wp:posOffset>0</wp:posOffset>
                  </wp:positionV>
                  <wp:extent cx="85725" cy="215265"/>
                  <wp:effectExtent l="0" t="0" r="0" b="0"/>
                  <wp:wrapNone/>
                  <wp:docPr id="273" name="Text_Box_6_SpCnt_32"/>
                  <wp:cNvGraphicFramePr/>
                  <a:graphic xmlns:a="http://schemas.openxmlformats.org/drawingml/2006/main">
                    <a:graphicData uri="http://schemas.openxmlformats.org/drawingml/2006/picture">
                      <pic:pic xmlns:pic="http://schemas.openxmlformats.org/drawingml/2006/picture">
                        <pic:nvPicPr>
                          <pic:cNvPr id="273" name="Text_Box_6_SpCnt_32"/>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71232" behindDoc="0" locked="0" layoutInCell="1" allowOverlap="1">
                  <wp:simplePos x="0" y="0"/>
                  <wp:positionH relativeFrom="column">
                    <wp:posOffset>0</wp:posOffset>
                  </wp:positionH>
                  <wp:positionV relativeFrom="paragraph">
                    <wp:posOffset>0</wp:posOffset>
                  </wp:positionV>
                  <wp:extent cx="85725" cy="215265"/>
                  <wp:effectExtent l="0" t="0" r="0" b="0"/>
                  <wp:wrapNone/>
                  <wp:docPr id="253" name="Text_Box_7_SpCnt_30"/>
                  <wp:cNvGraphicFramePr/>
                  <a:graphic xmlns:a="http://schemas.openxmlformats.org/drawingml/2006/main">
                    <a:graphicData uri="http://schemas.openxmlformats.org/drawingml/2006/picture">
                      <pic:pic xmlns:pic="http://schemas.openxmlformats.org/drawingml/2006/picture">
                        <pic:nvPicPr>
                          <pic:cNvPr id="253" name="Text_Box_7_SpCnt_30"/>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72256" behindDoc="0" locked="0" layoutInCell="1" allowOverlap="1">
                  <wp:simplePos x="0" y="0"/>
                  <wp:positionH relativeFrom="column">
                    <wp:posOffset>0</wp:posOffset>
                  </wp:positionH>
                  <wp:positionV relativeFrom="paragraph">
                    <wp:posOffset>0</wp:posOffset>
                  </wp:positionV>
                  <wp:extent cx="85725" cy="215265"/>
                  <wp:effectExtent l="0" t="0" r="0" b="0"/>
                  <wp:wrapNone/>
                  <wp:docPr id="249" name="Text_Box_5_SpCnt_32"/>
                  <wp:cNvGraphicFramePr/>
                  <a:graphic xmlns:a="http://schemas.openxmlformats.org/drawingml/2006/main">
                    <a:graphicData uri="http://schemas.openxmlformats.org/drawingml/2006/picture">
                      <pic:pic xmlns:pic="http://schemas.openxmlformats.org/drawingml/2006/picture">
                        <pic:nvPicPr>
                          <pic:cNvPr id="249" name="Text_Box_5_SpCnt_32"/>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73280" behindDoc="0" locked="0" layoutInCell="1" allowOverlap="1">
                  <wp:simplePos x="0" y="0"/>
                  <wp:positionH relativeFrom="column">
                    <wp:posOffset>0</wp:posOffset>
                  </wp:positionH>
                  <wp:positionV relativeFrom="paragraph">
                    <wp:posOffset>0</wp:posOffset>
                  </wp:positionV>
                  <wp:extent cx="85725" cy="215265"/>
                  <wp:effectExtent l="0" t="0" r="0" b="0"/>
                  <wp:wrapNone/>
                  <wp:docPr id="265" name="Text_Box_4_SpCnt_33"/>
                  <wp:cNvGraphicFramePr/>
                  <a:graphic xmlns:a="http://schemas.openxmlformats.org/drawingml/2006/main">
                    <a:graphicData uri="http://schemas.openxmlformats.org/drawingml/2006/picture">
                      <pic:pic xmlns:pic="http://schemas.openxmlformats.org/drawingml/2006/picture">
                        <pic:nvPicPr>
                          <pic:cNvPr id="265" name="Text_Box_4_SpCnt_33"/>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74304" behindDoc="0" locked="0" layoutInCell="1" allowOverlap="1">
                  <wp:simplePos x="0" y="0"/>
                  <wp:positionH relativeFrom="column">
                    <wp:posOffset>0</wp:posOffset>
                  </wp:positionH>
                  <wp:positionV relativeFrom="paragraph">
                    <wp:posOffset>0</wp:posOffset>
                  </wp:positionV>
                  <wp:extent cx="85725" cy="215265"/>
                  <wp:effectExtent l="0" t="0" r="0" b="0"/>
                  <wp:wrapNone/>
                  <wp:docPr id="245" name="Text_Box_7_SpCnt_31"/>
                  <wp:cNvGraphicFramePr/>
                  <a:graphic xmlns:a="http://schemas.openxmlformats.org/drawingml/2006/main">
                    <a:graphicData uri="http://schemas.openxmlformats.org/drawingml/2006/picture">
                      <pic:pic xmlns:pic="http://schemas.openxmlformats.org/drawingml/2006/picture">
                        <pic:nvPicPr>
                          <pic:cNvPr id="245" name="Text_Box_7_SpCnt_31"/>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75328" behindDoc="0" locked="0" layoutInCell="1" allowOverlap="1">
                  <wp:simplePos x="0" y="0"/>
                  <wp:positionH relativeFrom="column">
                    <wp:posOffset>0</wp:posOffset>
                  </wp:positionH>
                  <wp:positionV relativeFrom="paragraph">
                    <wp:posOffset>0</wp:posOffset>
                  </wp:positionV>
                  <wp:extent cx="85725" cy="215265"/>
                  <wp:effectExtent l="0" t="0" r="0" b="0"/>
                  <wp:wrapNone/>
                  <wp:docPr id="255" name="Text_Box_2_SpCnt_33"/>
                  <wp:cNvGraphicFramePr/>
                  <a:graphic xmlns:a="http://schemas.openxmlformats.org/drawingml/2006/main">
                    <a:graphicData uri="http://schemas.openxmlformats.org/drawingml/2006/picture">
                      <pic:pic xmlns:pic="http://schemas.openxmlformats.org/drawingml/2006/picture">
                        <pic:nvPicPr>
                          <pic:cNvPr id="255" name="Text_Box_2_SpCnt_33"/>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76352" behindDoc="0" locked="0" layoutInCell="1" allowOverlap="1">
                  <wp:simplePos x="0" y="0"/>
                  <wp:positionH relativeFrom="column">
                    <wp:posOffset>0</wp:posOffset>
                  </wp:positionH>
                  <wp:positionV relativeFrom="paragraph">
                    <wp:posOffset>0</wp:posOffset>
                  </wp:positionV>
                  <wp:extent cx="85725" cy="215265"/>
                  <wp:effectExtent l="0" t="0" r="0" b="0"/>
                  <wp:wrapNone/>
                  <wp:docPr id="258" name="Text_Box_1_SpCnt_28"/>
                  <wp:cNvGraphicFramePr/>
                  <a:graphic xmlns:a="http://schemas.openxmlformats.org/drawingml/2006/main">
                    <a:graphicData uri="http://schemas.openxmlformats.org/drawingml/2006/picture">
                      <pic:pic xmlns:pic="http://schemas.openxmlformats.org/drawingml/2006/picture">
                        <pic:nvPicPr>
                          <pic:cNvPr id="258" name="Text_Box_1_SpCnt_28"/>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77376" behindDoc="0" locked="0" layoutInCell="1" allowOverlap="1">
                  <wp:simplePos x="0" y="0"/>
                  <wp:positionH relativeFrom="column">
                    <wp:posOffset>0</wp:posOffset>
                  </wp:positionH>
                  <wp:positionV relativeFrom="paragraph">
                    <wp:posOffset>0</wp:posOffset>
                  </wp:positionV>
                  <wp:extent cx="85725" cy="215265"/>
                  <wp:effectExtent l="0" t="0" r="0" b="0"/>
                  <wp:wrapNone/>
                  <wp:docPr id="259" name="Text_Box_7_SpCnt_32"/>
                  <wp:cNvGraphicFramePr/>
                  <a:graphic xmlns:a="http://schemas.openxmlformats.org/drawingml/2006/main">
                    <a:graphicData uri="http://schemas.openxmlformats.org/drawingml/2006/picture">
                      <pic:pic xmlns:pic="http://schemas.openxmlformats.org/drawingml/2006/picture">
                        <pic:nvPicPr>
                          <pic:cNvPr id="259" name="Text_Box_7_SpCnt_32"/>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78400" behindDoc="0" locked="0" layoutInCell="1" allowOverlap="1">
                  <wp:simplePos x="0" y="0"/>
                  <wp:positionH relativeFrom="column">
                    <wp:posOffset>0</wp:posOffset>
                  </wp:positionH>
                  <wp:positionV relativeFrom="paragraph">
                    <wp:posOffset>0</wp:posOffset>
                  </wp:positionV>
                  <wp:extent cx="85725" cy="215265"/>
                  <wp:effectExtent l="0" t="0" r="0" b="0"/>
                  <wp:wrapNone/>
                  <wp:docPr id="275" name="Text_Box_5_SpCnt_33"/>
                  <wp:cNvGraphicFramePr/>
                  <a:graphic xmlns:a="http://schemas.openxmlformats.org/drawingml/2006/main">
                    <a:graphicData uri="http://schemas.openxmlformats.org/drawingml/2006/picture">
                      <pic:pic xmlns:pic="http://schemas.openxmlformats.org/drawingml/2006/picture">
                        <pic:nvPicPr>
                          <pic:cNvPr id="275" name="Text_Box_5_SpCnt_33"/>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79424" behindDoc="0" locked="0" layoutInCell="1" allowOverlap="1">
                  <wp:simplePos x="0" y="0"/>
                  <wp:positionH relativeFrom="column">
                    <wp:posOffset>0</wp:posOffset>
                  </wp:positionH>
                  <wp:positionV relativeFrom="paragraph">
                    <wp:posOffset>0</wp:posOffset>
                  </wp:positionV>
                  <wp:extent cx="85725" cy="215265"/>
                  <wp:effectExtent l="0" t="0" r="0" b="0"/>
                  <wp:wrapNone/>
                  <wp:docPr id="270" name="Text_Box_5_SpCnt_34"/>
                  <wp:cNvGraphicFramePr/>
                  <a:graphic xmlns:a="http://schemas.openxmlformats.org/drawingml/2006/main">
                    <a:graphicData uri="http://schemas.openxmlformats.org/drawingml/2006/picture">
                      <pic:pic xmlns:pic="http://schemas.openxmlformats.org/drawingml/2006/picture">
                        <pic:nvPicPr>
                          <pic:cNvPr id="270" name="Text_Box_5_SpCnt_34"/>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80448" behindDoc="0" locked="0" layoutInCell="1" allowOverlap="1">
                  <wp:simplePos x="0" y="0"/>
                  <wp:positionH relativeFrom="column">
                    <wp:posOffset>0</wp:posOffset>
                  </wp:positionH>
                  <wp:positionV relativeFrom="paragraph">
                    <wp:posOffset>0</wp:posOffset>
                  </wp:positionV>
                  <wp:extent cx="85725" cy="215265"/>
                  <wp:effectExtent l="0" t="0" r="0" b="0"/>
                  <wp:wrapNone/>
                  <wp:docPr id="271" name="Text_Box_4_SpCnt_34"/>
                  <wp:cNvGraphicFramePr/>
                  <a:graphic xmlns:a="http://schemas.openxmlformats.org/drawingml/2006/main">
                    <a:graphicData uri="http://schemas.openxmlformats.org/drawingml/2006/picture">
                      <pic:pic xmlns:pic="http://schemas.openxmlformats.org/drawingml/2006/picture">
                        <pic:nvPicPr>
                          <pic:cNvPr id="271" name="Text_Box_4_SpCnt_34"/>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81472" behindDoc="0" locked="0" layoutInCell="1" allowOverlap="1">
                  <wp:simplePos x="0" y="0"/>
                  <wp:positionH relativeFrom="column">
                    <wp:posOffset>0</wp:posOffset>
                  </wp:positionH>
                  <wp:positionV relativeFrom="paragraph">
                    <wp:posOffset>0</wp:posOffset>
                  </wp:positionV>
                  <wp:extent cx="85725" cy="215265"/>
                  <wp:effectExtent l="0" t="0" r="0" b="0"/>
                  <wp:wrapNone/>
                  <wp:docPr id="260" name="Text_Box_2_SpCnt_34"/>
                  <wp:cNvGraphicFramePr/>
                  <a:graphic xmlns:a="http://schemas.openxmlformats.org/drawingml/2006/main">
                    <a:graphicData uri="http://schemas.openxmlformats.org/drawingml/2006/picture">
                      <pic:pic xmlns:pic="http://schemas.openxmlformats.org/drawingml/2006/picture">
                        <pic:nvPicPr>
                          <pic:cNvPr id="260" name="Text_Box_2_SpCnt_34"/>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82496" behindDoc="0" locked="0" layoutInCell="1" allowOverlap="1">
                  <wp:simplePos x="0" y="0"/>
                  <wp:positionH relativeFrom="column">
                    <wp:posOffset>0</wp:posOffset>
                  </wp:positionH>
                  <wp:positionV relativeFrom="paragraph">
                    <wp:posOffset>0</wp:posOffset>
                  </wp:positionV>
                  <wp:extent cx="85725" cy="215265"/>
                  <wp:effectExtent l="0" t="0" r="0" b="0"/>
                  <wp:wrapNone/>
                  <wp:docPr id="276" name="Text_Box_1_SpCnt_29"/>
                  <wp:cNvGraphicFramePr/>
                  <a:graphic xmlns:a="http://schemas.openxmlformats.org/drawingml/2006/main">
                    <a:graphicData uri="http://schemas.openxmlformats.org/drawingml/2006/picture">
                      <pic:pic xmlns:pic="http://schemas.openxmlformats.org/drawingml/2006/picture">
                        <pic:nvPicPr>
                          <pic:cNvPr id="276" name="Text_Box_1_SpCnt_29"/>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83520" behindDoc="0" locked="0" layoutInCell="1" allowOverlap="1">
                  <wp:simplePos x="0" y="0"/>
                  <wp:positionH relativeFrom="column">
                    <wp:posOffset>0</wp:posOffset>
                  </wp:positionH>
                  <wp:positionV relativeFrom="paragraph">
                    <wp:posOffset>0</wp:posOffset>
                  </wp:positionV>
                  <wp:extent cx="85725" cy="215265"/>
                  <wp:effectExtent l="0" t="0" r="0" b="0"/>
                  <wp:wrapNone/>
                  <wp:docPr id="246" name="Text_Box_6_SpCnt_33"/>
                  <wp:cNvGraphicFramePr/>
                  <a:graphic xmlns:a="http://schemas.openxmlformats.org/drawingml/2006/main">
                    <a:graphicData uri="http://schemas.openxmlformats.org/drawingml/2006/picture">
                      <pic:pic xmlns:pic="http://schemas.openxmlformats.org/drawingml/2006/picture">
                        <pic:nvPicPr>
                          <pic:cNvPr id="246" name="Text_Box_6_SpCnt_33"/>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84544" behindDoc="0" locked="0" layoutInCell="1" allowOverlap="1">
                  <wp:simplePos x="0" y="0"/>
                  <wp:positionH relativeFrom="column">
                    <wp:posOffset>0</wp:posOffset>
                  </wp:positionH>
                  <wp:positionV relativeFrom="paragraph">
                    <wp:posOffset>0</wp:posOffset>
                  </wp:positionV>
                  <wp:extent cx="85725" cy="215265"/>
                  <wp:effectExtent l="0" t="0" r="0" b="0"/>
                  <wp:wrapNone/>
                  <wp:docPr id="261" name="Text_Box_6_SpCnt_34"/>
                  <wp:cNvGraphicFramePr/>
                  <a:graphic xmlns:a="http://schemas.openxmlformats.org/drawingml/2006/main">
                    <a:graphicData uri="http://schemas.openxmlformats.org/drawingml/2006/picture">
                      <pic:pic xmlns:pic="http://schemas.openxmlformats.org/drawingml/2006/picture">
                        <pic:nvPicPr>
                          <pic:cNvPr id="261" name="Text_Box_6_SpCnt_34"/>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85568" behindDoc="0" locked="0" layoutInCell="1" allowOverlap="1">
                  <wp:simplePos x="0" y="0"/>
                  <wp:positionH relativeFrom="column">
                    <wp:posOffset>0</wp:posOffset>
                  </wp:positionH>
                  <wp:positionV relativeFrom="paragraph">
                    <wp:posOffset>0</wp:posOffset>
                  </wp:positionV>
                  <wp:extent cx="85725" cy="215265"/>
                  <wp:effectExtent l="0" t="0" r="0" b="0"/>
                  <wp:wrapNone/>
                  <wp:docPr id="254" name="Text_Box_4_SpCnt_35"/>
                  <wp:cNvGraphicFramePr/>
                  <a:graphic xmlns:a="http://schemas.openxmlformats.org/drawingml/2006/main">
                    <a:graphicData uri="http://schemas.openxmlformats.org/drawingml/2006/picture">
                      <pic:pic xmlns:pic="http://schemas.openxmlformats.org/drawingml/2006/picture">
                        <pic:nvPicPr>
                          <pic:cNvPr id="254" name="Text_Box_4_SpCnt_35"/>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86592" behindDoc="0" locked="0" layoutInCell="1" allowOverlap="1">
                  <wp:simplePos x="0" y="0"/>
                  <wp:positionH relativeFrom="column">
                    <wp:posOffset>0</wp:posOffset>
                  </wp:positionH>
                  <wp:positionV relativeFrom="paragraph">
                    <wp:posOffset>0</wp:posOffset>
                  </wp:positionV>
                  <wp:extent cx="85725" cy="215265"/>
                  <wp:effectExtent l="0" t="0" r="0" b="0"/>
                  <wp:wrapNone/>
                  <wp:docPr id="247" name="Text_Box_2_SpCnt_35"/>
                  <wp:cNvGraphicFramePr/>
                  <a:graphic xmlns:a="http://schemas.openxmlformats.org/drawingml/2006/main">
                    <a:graphicData uri="http://schemas.openxmlformats.org/drawingml/2006/picture">
                      <pic:pic xmlns:pic="http://schemas.openxmlformats.org/drawingml/2006/picture">
                        <pic:nvPicPr>
                          <pic:cNvPr id="247" name="Text_Box_2_SpCnt_35"/>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87616" behindDoc="0" locked="0" layoutInCell="1" allowOverlap="1">
                  <wp:simplePos x="0" y="0"/>
                  <wp:positionH relativeFrom="column">
                    <wp:posOffset>0</wp:posOffset>
                  </wp:positionH>
                  <wp:positionV relativeFrom="paragraph">
                    <wp:posOffset>0</wp:posOffset>
                  </wp:positionV>
                  <wp:extent cx="85725" cy="215265"/>
                  <wp:effectExtent l="0" t="0" r="0" b="0"/>
                  <wp:wrapNone/>
                  <wp:docPr id="266" name="Text_Box_7_SpCnt_33"/>
                  <wp:cNvGraphicFramePr/>
                  <a:graphic xmlns:a="http://schemas.openxmlformats.org/drawingml/2006/main">
                    <a:graphicData uri="http://schemas.openxmlformats.org/drawingml/2006/picture">
                      <pic:pic xmlns:pic="http://schemas.openxmlformats.org/drawingml/2006/picture">
                        <pic:nvPicPr>
                          <pic:cNvPr id="266" name="Text_Box_7_SpCnt_33"/>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88640" behindDoc="0" locked="0" layoutInCell="1" allowOverlap="1">
                  <wp:simplePos x="0" y="0"/>
                  <wp:positionH relativeFrom="column">
                    <wp:posOffset>0</wp:posOffset>
                  </wp:positionH>
                  <wp:positionV relativeFrom="paragraph">
                    <wp:posOffset>0</wp:posOffset>
                  </wp:positionV>
                  <wp:extent cx="85725" cy="215265"/>
                  <wp:effectExtent l="0" t="0" r="0" b="0"/>
                  <wp:wrapNone/>
                  <wp:docPr id="262" name="Text_Box_6_SpCnt_35"/>
                  <wp:cNvGraphicFramePr/>
                  <a:graphic xmlns:a="http://schemas.openxmlformats.org/drawingml/2006/main">
                    <a:graphicData uri="http://schemas.openxmlformats.org/drawingml/2006/picture">
                      <pic:pic xmlns:pic="http://schemas.openxmlformats.org/drawingml/2006/picture">
                        <pic:nvPicPr>
                          <pic:cNvPr id="262" name="Text_Box_6_SpCnt_35"/>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89664" behindDoc="0" locked="0" layoutInCell="1" allowOverlap="1">
                  <wp:simplePos x="0" y="0"/>
                  <wp:positionH relativeFrom="column">
                    <wp:posOffset>0</wp:posOffset>
                  </wp:positionH>
                  <wp:positionV relativeFrom="paragraph">
                    <wp:posOffset>0</wp:posOffset>
                  </wp:positionV>
                  <wp:extent cx="85725" cy="215265"/>
                  <wp:effectExtent l="0" t="0" r="0" b="0"/>
                  <wp:wrapNone/>
                  <wp:docPr id="267" name="Text_Box_5_SpCnt_35"/>
                  <wp:cNvGraphicFramePr/>
                  <a:graphic xmlns:a="http://schemas.openxmlformats.org/drawingml/2006/main">
                    <a:graphicData uri="http://schemas.openxmlformats.org/drawingml/2006/picture">
                      <pic:pic xmlns:pic="http://schemas.openxmlformats.org/drawingml/2006/picture">
                        <pic:nvPicPr>
                          <pic:cNvPr id="267" name="Text_Box_5_SpCnt_35"/>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90688" behindDoc="0" locked="0" layoutInCell="1" allowOverlap="1">
                  <wp:simplePos x="0" y="0"/>
                  <wp:positionH relativeFrom="column">
                    <wp:posOffset>0</wp:posOffset>
                  </wp:positionH>
                  <wp:positionV relativeFrom="paragraph">
                    <wp:posOffset>0</wp:posOffset>
                  </wp:positionV>
                  <wp:extent cx="85725" cy="215265"/>
                  <wp:effectExtent l="0" t="0" r="0" b="0"/>
                  <wp:wrapNone/>
                  <wp:docPr id="256" name="Text_Box_4_SpCnt_36"/>
                  <wp:cNvGraphicFramePr/>
                  <a:graphic xmlns:a="http://schemas.openxmlformats.org/drawingml/2006/main">
                    <a:graphicData uri="http://schemas.openxmlformats.org/drawingml/2006/picture">
                      <pic:pic xmlns:pic="http://schemas.openxmlformats.org/drawingml/2006/picture">
                        <pic:nvPicPr>
                          <pic:cNvPr id="256" name="Text_Box_4_SpCnt_36"/>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91712" behindDoc="0" locked="0" layoutInCell="1" allowOverlap="1">
                  <wp:simplePos x="0" y="0"/>
                  <wp:positionH relativeFrom="column">
                    <wp:posOffset>0</wp:posOffset>
                  </wp:positionH>
                  <wp:positionV relativeFrom="paragraph">
                    <wp:posOffset>0</wp:posOffset>
                  </wp:positionV>
                  <wp:extent cx="85725" cy="215265"/>
                  <wp:effectExtent l="0" t="0" r="0" b="0"/>
                  <wp:wrapNone/>
                  <wp:docPr id="263" name="Text_Box_2_SpCnt_36"/>
                  <wp:cNvGraphicFramePr/>
                  <a:graphic xmlns:a="http://schemas.openxmlformats.org/drawingml/2006/main">
                    <a:graphicData uri="http://schemas.openxmlformats.org/drawingml/2006/picture">
                      <pic:pic xmlns:pic="http://schemas.openxmlformats.org/drawingml/2006/picture">
                        <pic:nvPicPr>
                          <pic:cNvPr id="263" name="Text_Box_2_SpCnt_36"/>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92736" behindDoc="0" locked="0" layoutInCell="1" allowOverlap="1">
                  <wp:simplePos x="0" y="0"/>
                  <wp:positionH relativeFrom="column">
                    <wp:posOffset>0</wp:posOffset>
                  </wp:positionH>
                  <wp:positionV relativeFrom="paragraph">
                    <wp:posOffset>0</wp:posOffset>
                  </wp:positionV>
                  <wp:extent cx="85725" cy="215265"/>
                  <wp:effectExtent l="0" t="0" r="0" b="0"/>
                  <wp:wrapNone/>
                  <wp:docPr id="264" name="Text_Box_7_SpCnt_34"/>
                  <wp:cNvGraphicFramePr/>
                  <a:graphic xmlns:a="http://schemas.openxmlformats.org/drawingml/2006/main">
                    <a:graphicData uri="http://schemas.openxmlformats.org/drawingml/2006/picture">
                      <pic:pic xmlns:pic="http://schemas.openxmlformats.org/drawingml/2006/picture">
                        <pic:nvPicPr>
                          <pic:cNvPr id="264" name="Text_Box_7_SpCnt_34"/>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93760" behindDoc="0" locked="0" layoutInCell="1" allowOverlap="1">
                  <wp:simplePos x="0" y="0"/>
                  <wp:positionH relativeFrom="column">
                    <wp:posOffset>0</wp:posOffset>
                  </wp:positionH>
                  <wp:positionV relativeFrom="paragraph">
                    <wp:posOffset>0</wp:posOffset>
                  </wp:positionV>
                  <wp:extent cx="85725" cy="215265"/>
                  <wp:effectExtent l="0" t="0" r="0" b="0"/>
                  <wp:wrapNone/>
                  <wp:docPr id="279" name="Text_Box_2_SpCnt_37"/>
                  <wp:cNvGraphicFramePr/>
                  <a:graphic xmlns:a="http://schemas.openxmlformats.org/drawingml/2006/main">
                    <a:graphicData uri="http://schemas.openxmlformats.org/drawingml/2006/picture">
                      <pic:pic xmlns:pic="http://schemas.openxmlformats.org/drawingml/2006/picture">
                        <pic:nvPicPr>
                          <pic:cNvPr id="279" name="Text_Box_2_SpCnt_37"/>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94784" behindDoc="0" locked="0" layoutInCell="1" allowOverlap="1">
                  <wp:simplePos x="0" y="0"/>
                  <wp:positionH relativeFrom="column">
                    <wp:posOffset>0</wp:posOffset>
                  </wp:positionH>
                  <wp:positionV relativeFrom="paragraph">
                    <wp:posOffset>0</wp:posOffset>
                  </wp:positionV>
                  <wp:extent cx="85725" cy="215265"/>
                  <wp:effectExtent l="0" t="0" r="0" b="0"/>
                  <wp:wrapNone/>
                  <wp:docPr id="283" name="Text_Box_6_SpCnt_36"/>
                  <wp:cNvGraphicFramePr/>
                  <a:graphic xmlns:a="http://schemas.openxmlformats.org/drawingml/2006/main">
                    <a:graphicData uri="http://schemas.openxmlformats.org/drawingml/2006/picture">
                      <pic:pic xmlns:pic="http://schemas.openxmlformats.org/drawingml/2006/picture">
                        <pic:nvPicPr>
                          <pic:cNvPr id="283" name="Text_Box_6_SpCnt_36"/>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95808" behindDoc="0" locked="0" layoutInCell="1" allowOverlap="1">
                  <wp:simplePos x="0" y="0"/>
                  <wp:positionH relativeFrom="column">
                    <wp:posOffset>0</wp:posOffset>
                  </wp:positionH>
                  <wp:positionV relativeFrom="paragraph">
                    <wp:posOffset>0</wp:posOffset>
                  </wp:positionV>
                  <wp:extent cx="85725" cy="215265"/>
                  <wp:effectExtent l="0" t="0" r="0" b="0"/>
                  <wp:wrapNone/>
                  <wp:docPr id="278" name="Text_Box_5_SpCnt_36"/>
                  <wp:cNvGraphicFramePr/>
                  <a:graphic xmlns:a="http://schemas.openxmlformats.org/drawingml/2006/main">
                    <a:graphicData uri="http://schemas.openxmlformats.org/drawingml/2006/picture">
                      <pic:pic xmlns:pic="http://schemas.openxmlformats.org/drawingml/2006/picture">
                        <pic:nvPicPr>
                          <pic:cNvPr id="278" name="Text_Box_5_SpCnt_36"/>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96832" behindDoc="0" locked="0" layoutInCell="1" allowOverlap="1">
                  <wp:simplePos x="0" y="0"/>
                  <wp:positionH relativeFrom="column">
                    <wp:posOffset>0</wp:posOffset>
                  </wp:positionH>
                  <wp:positionV relativeFrom="paragraph">
                    <wp:posOffset>0</wp:posOffset>
                  </wp:positionV>
                  <wp:extent cx="85725" cy="215265"/>
                  <wp:effectExtent l="0" t="0" r="0" b="0"/>
                  <wp:wrapNone/>
                  <wp:docPr id="284" name="Text_Box_2_SpCnt_38"/>
                  <wp:cNvGraphicFramePr/>
                  <a:graphic xmlns:a="http://schemas.openxmlformats.org/drawingml/2006/main">
                    <a:graphicData uri="http://schemas.openxmlformats.org/drawingml/2006/picture">
                      <pic:pic xmlns:pic="http://schemas.openxmlformats.org/drawingml/2006/picture">
                        <pic:nvPicPr>
                          <pic:cNvPr id="284" name="Text_Box_2_SpCnt_38"/>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97856" behindDoc="0" locked="0" layoutInCell="1" allowOverlap="1">
                  <wp:simplePos x="0" y="0"/>
                  <wp:positionH relativeFrom="column">
                    <wp:posOffset>0</wp:posOffset>
                  </wp:positionH>
                  <wp:positionV relativeFrom="paragraph">
                    <wp:posOffset>0</wp:posOffset>
                  </wp:positionV>
                  <wp:extent cx="85725" cy="215265"/>
                  <wp:effectExtent l="0" t="0" r="0" b="0"/>
                  <wp:wrapNone/>
                  <wp:docPr id="280" name="Text_Box_1_SpCnt_30"/>
                  <wp:cNvGraphicFramePr/>
                  <a:graphic xmlns:a="http://schemas.openxmlformats.org/drawingml/2006/main">
                    <a:graphicData uri="http://schemas.openxmlformats.org/drawingml/2006/picture">
                      <pic:pic xmlns:pic="http://schemas.openxmlformats.org/drawingml/2006/picture">
                        <pic:nvPicPr>
                          <pic:cNvPr id="280" name="Text_Box_1_SpCnt_30"/>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98880" behindDoc="0" locked="0" layoutInCell="1" allowOverlap="1">
                  <wp:simplePos x="0" y="0"/>
                  <wp:positionH relativeFrom="column">
                    <wp:posOffset>0</wp:posOffset>
                  </wp:positionH>
                  <wp:positionV relativeFrom="paragraph">
                    <wp:posOffset>0</wp:posOffset>
                  </wp:positionV>
                  <wp:extent cx="85725" cy="215265"/>
                  <wp:effectExtent l="0" t="0" r="0" b="0"/>
                  <wp:wrapNone/>
                  <wp:docPr id="281" name="Text_Box_7_SpCnt_35"/>
                  <wp:cNvGraphicFramePr/>
                  <a:graphic xmlns:a="http://schemas.openxmlformats.org/drawingml/2006/main">
                    <a:graphicData uri="http://schemas.openxmlformats.org/drawingml/2006/picture">
                      <pic:pic xmlns:pic="http://schemas.openxmlformats.org/drawingml/2006/picture">
                        <pic:nvPicPr>
                          <pic:cNvPr id="281" name="Text_Box_7_SpCnt_35"/>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899904" behindDoc="0" locked="0" layoutInCell="1" allowOverlap="1">
                  <wp:simplePos x="0" y="0"/>
                  <wp:positionH relativeFrom="column">
                    <wp:posOffset>0</wp:posOffset>
                  </wp:positionH>
                  <wp:positionV relativeFrom="paragraph">
                    <wp:posOffset>0</wp:posOffset>
                  </wp:positionV>
                  <wp:extent cx="85725" cy="215265"/>
                  <wp:effectExtent l="0" t="0" r="0" b="0"/>
                  <wp:wrapNone/>
                  <wp:docPr id="277" name="Text_Box_5_SpCnt_37"/>
                  <wp:cNvGraphicFramePr/>
                  <a:graphic xmlns:a="http://schemas.openxmlformats.org/drawingml/2006/main">
                    <a:graphicData uri="http://schemas.openxmlformats.org/drawingml/2006/picture">
                      <pic:pic xmlns:pic="http://schemas.openxmlformats.org/drawingml/2006/picture">
                        <pic:nvPicPr>
                          <pic:cNvPr id="277" name="Text_Box_5_SpCnt_37"/>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00928" behindDoc="0" locked="0" layoutInCell="1" allowOverlap="1">
                  <wp:simplePos x="0" y="0"/>
                  <wp:positionH relativeFrom="column">
                    <wp:posOffset>0</wp:posOffset>
                  </wp:positionH>
                  <wp:positionV relativeFrom="paragraph">
                    <wp:posOffset>0</wp:posOffset>
                  </wp:positionV>
                  <wp:extent cx="85725" cy="215265"/>
                  <wp:effectExtent l="0" t="0" r="0" b="0"/>
                  <wp:wrapNone/>
                  <wp:docPr id="282" name="Text_Box_4_SpCnt_37"/>
                  <wp:cNvGraphicFramePr/>
                  <a:graphic xmlns:a="http://schemas.openxmlformats.org/drawingml/2006/main">
                    <a:graphicData uri="http://schemas.openxmlformats.org/drawingml/2006/picture">
                      <pic:pic xmlns:pic="http://schemas.openxmlformats.org/drawingml/2006/picture">
                        <pic:nvPicPr>
                          <pic:cNvPr id="282" name="Text_Box_4_SpCnt_37"/>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01952" behindDoc="0" locked="0" layoutInCell="1" allowOverlap="1">
                  <wp:simplePos x="0" y="0"/>
                  <wp:positionH relativeFrom="column">
                    <wp:posOffset>0</wp:posOffset>
                  </wp:positionH>
                  <wp:positionV relativeFrom="paragraph">
                    <wp:posOffset>0</wp:posOffset>
                  </wp:positionV>
                  <wp:extent cx="85725" cy="215265"/>
                  <wp:effectExtent l="0" t="0" r="0" b="0"/>
                  <wp:wrapNone/>
                  <wp:docPr id="306" name="Text_Box_2_SpCnt_39"/>
                  <wp:cNvGraphicFramePr/>
                  <a:graphic xmlns:a="http://schemas.openxmlformats.org/drawingml/2006/main">
                    <a:graphicData uri="http://schemas.openxmlformats.org/drawingml/2006/picture">
                      <pic:pic xmlns:pic="http://schemas.openxmlformats.org/drawingml/2006/picture">
                        <pic:nvPicPr>
                          <pic:cNvPr id="306" name="Text_Box_2_SpCnt_39"/>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02976" behindDoc="0" locked="0" layoutInCell="1" allowOverlap="1">
                  <wp:simplePos x="0" y="0"/>
                  <wp:positionH relativeFrom="column">
                    <wp:posOffset>0</wp:posOffset>
                  </wp:positionH>
                  <wp:positionV relativeFrom="paragraph">
                    <wp:posOffset>0</wp:posOffset>
                  </wp:positionV>
                  <wp:extent cx="85725" cy="215265"/>
                  <wp:effectExtent l="0" t="0" r="0" b="0"/>
                  <wp:wrapNone/>
                  <wp:docPr id="305" name="Text_Box_2_SpCnt_40"/>
                  <wp:cNvGraphicFramePr/>
                  <a:graphic xmlns:a="http://schemas.openxmlformats.org/drawingml/2006/main">
                    <a:graphicData uri="http://schemas.openxmlformats.org/drawingml/2006/picture">
                      <pic:pic xmlns:pic="http://schemas.openxmlformats.org/drawingml/2006/picture">
                        <pic:nvPicPr>
                          <pic:cNvPr id="305" name="Text_Box_2_SpCnt_40"/>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04000" behindDoc="0" locked="0" layoutInCell="1" allowOverlap="1">
                  <wp:simplePos x="0" y="0"/>
                  <wp:positionH relativeFrom="column">
                    <wp:posOffset>0</wp:posOffset>
                  </wp:positionH>
                  <wp:positionV relativeFrom="paragraph">
                    <wp:posOffset>0</wp:posOffset>
                  </wp:positionV>
                  <wp:extent cx="85725" cy="215265"/>
                  <wp:effectExtent l="0" t="0" r="0" b="0"/>
                  <wp:wrapNone/>
                  <wp:docPr id="304" name="Text_Box_4_SpCnt_38"/>
                  <wp:cNvGraphicFramePr/>
                  <a:graphic xmlns:a="http://schemas.openxmlformats.org/drawingml/2006/main">
                    <a:graphicData uri="http://schemas.openxmlformats.org/drawingml/2006/picture">
                      <pic:pic xmlns:pic="http://schemas.openxmlformats.org/drawingml/2006/picture">
                        <pic:nvPicPr>
                          <pic:cNvPr id="304" name="Text_Box_4_SpCnt_38"/>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05024" behindDoc="0" locked="0" layoutInCell="1" allowOverlap="1">
                  <wp:simplePos x="0" y="0"/>
                  <wp:positionH relativeFrom="column">
                    <wp:posOffset>0</wp:posOffset>
                  </wp:positionH>
                  <wp:positionV relativeFrom="paragraph">
                    <wp:posOffset>0</wp:posOffset>
                  </wp:positionV>
                  <wp:extent cx="85725" cy="215265"/>
                  <wp:effectExtent l="0" t="0" r="0" b="0"/>
                  <wp:wrapNone/>
                  <wp:docPr id="294" name="Text_Box_6_SpCnt_37"/>
                  <wp:cNvGraphicFramePr/>
                  <a:graphic xmlns:a="http://schemas.openxmlformats.org/drawingml/2006/main">
                    <a:graphicData uri="http://schemas.openxmlformats.org/drawingml/2006/picture">
                      <pic:pic xmlns:pic="http://schemas.openxmlformats.org/drawingml/2006/picture">
                        <pic:nvPicPr>
                          <pic:cNvPr id="294" name="Text_Box_6_SpCnt_37"/>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06048" behindDoc="0" locked="0" layoutInCell="1" allowOverlap="1">
                  <wp:simplePos x="0" y="0"/>
                  <wp:positionH relativeFrom="column">
                    <wp:posOffset>0</wp:posOffset>
                  </wp:positionH>
                  <wp:positionV relativeFrom="paragraph">
                    <wp:posOffset>0</wp:posOffset>
                  </wp:positionV>
                  <wp:extent cx="85725" cy="215265"/>
                  <wp:effectExtent l="0" t="0" r="0" b="0"/>
                  <wp:wrapNone/>
                  <wp:docPr id="307" name="Text_Box_7_SpCnt_36"/>
                  <wp:cNvGraphicFramePr/>
                  <a:graphic xmlns:a="http://schemas.openxmlformats.org/drawingml/2006/main">
                    <a:graphicData uri="http://schemas.openxmlformats.org/drawingml/2006/picture">
                      <pic:pic xmlns:pic="http://schemas.openxmlformats.org/drawingml/2006/picture">
                        <pic:nvPicPr>
                          <pic:cNvPr id="307" name="Text_Box_7_SpCnt_36"/>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07072" behindDoc="0" locked="0" layoutInCell="1" allowOverlap="1">
                  <wp:simplePos x="0" y="0"/>
                  <wp:positionH relativeFrom="column">
                    <wp:posOffset>0</wp:posOffset>
                  </wp:positionH>
                  <wp:positionV relativeFrom="paragraph">
                    <wp:posOffset>0</wp:posOffset>
                  </wp:positionV>
                  <wp:extent cx="85725" cy="215265"/>
                  <wp:effectExtent l="0" t="0" r="0" b="0"/>
                  <wp:wrapNone/>
                  <wp:docPr id="316" name="Text_Box_1_SpCnt_31"/>
                  <wp:cNvGraphicFramePr/>
                  <a:graphic xmlns:a="http://schemas.openxmlformats.org/drawingml/2006/main">
                    <a:graphicData uri="http://schemas.openxmlformats.org/drawingml/2006/picture">
                      <pic:pic xmlns:pic="http://schemas.openxmlformats.org/drawingml/2006/picture">
                        <pic:nvPicPr>
                          <pic:cNvPr id="316" name="Text_Box_1_SpCnt_31"/>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08096" behindDoc="0" locked="0" layoutInCell="1" allowOverlap="1">
                  <wp:simplePos x="0" y="0"/>
                  <wp:positionH relativeFrom="column">
                    <wp:posOffset>0</wp:posOffset>
                  </wp:positionH>
                  <wp:positionV relativeFrom="paragraph">
                    <wp:posOffset>0</wp:posOffset>
                  </wp:positionV>
                  <wp:extent cx="85725" cy="215265"/>
                  <wp:effectExtent l="0" t="0" r="0" b="0"/>
                  <wp:wrapNone/>
                  <wp:docPr id="303" name="Text_Box_5_SpCnt_38"/>
                  <wp:cNvGraphicFramePr/>
                  <a:graphic xmlns:a="http://schemas.openxmlformats.org/drawingml/2006/main">
                    <a:graphicData uri="http://schemas.openxmlformats.org/drawingml/2006/picture">
                      <pic:pic xmlns:pic="http://schemas.openxmlformats.org/drawingml/2006/picture">
                        <pic:nvPicPr>
                          <pic:cNvPr id="303" name="Text_Box_5_SpCnt_38"/>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09120" behindDoc="0" locked="0" layoutInCell="1" allowOverlap="1">
                  <wp:simplePos x="0" y="0"/>
                  <wp:positionH relativeFrom="column">
                    <wp:posOffset>0</wp:posOffset>
                  </wp:positionH>
                  <wp:positionV relativeFrom="paragraph">
                    <wp:posOffset>0</wp:posOffset>
                  </wp:positionV>
                  <wp:extent cx="85725" cy="215265"/>
                  <wp:effectExtent l="0" t="0" r="0" b="0"/>
                  <wp:wrapNone/>
                  <wp:docPr id="295" name="Text_Box_2_SpCnt_41"/>
                  <wp:cNvGraphicFramePr/>
                  <a:graphic xmlns:a="http://schemas.openxmlformats.org/drawingml/2006/main">
                    <a:graphicData uri="http://schemas.openxmlformats.org/drawingml/2006/picture">
                      <pic:pic xmlns:pic="http://schemas.openxmlformats.org/drawingml/2006/picture">
                        <pic:nvPicPr>
                          <pic:cNvPr id="295" name="Text_Box_2_SpCnt_41"/>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10144" behindDoc="0" locked="0" layoutInCell="1" allowOverlap="1">
                  <wp:simplePos x="0" y="0"/>
                  <wp:positionH relativeFrom="column">
                    <wp:posOffset>0</wp:posOffset>
                  </wp:positionH>
                  <wp:positionV relativeFrom="paragraph">
                    <wp:posOffset>0</wp:posOffset>
                  </wp:positionV>
                  <wp:extent cx="85725" cy="215265"/>
                  <wp:effectExtent l="0" t="0" r="0" b="0"/>
                  <wp:wrapNone/>
                  <wp:docPr id="309" name="Text_Box_1_SpCnt_32"/>
                  <wp:cNvGraphicFramePr/>
                  <a:graphic xmlns:a="http://schemas.openxmlformats.org/drawingml/2006/main">
                    <a:graphicData uri="http://schemas.openxmlformats.org/drawingml/2006/picture">
                      <pic:pic xmlns:pic="http://schemas.openxmlformats.org/drawingml/2006/picture">
                        <pic:nvPicPr>
                          <pic:cNvPr id="309" name="Text_Box_1_SpCnt_32"/>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11168" behindDoc="0" locked="0" layoutInCell="1" allowOverlap="1">
                  <wp:simplePos x="0" y="0"/>
                  <wp:positionH relativeFrom="column">
                    <wp:posOffset>0</wp:posOffset>
                  </wp:positionH>
                  <wp:positionV relativeFrom="paragraph">
                    <wp:posOffset>0</wp:posOffset>
                  </wp:positionV>
                  <wp:extent cx="85725" cy="215265"/>
                  <wp:effectExtent l="0" t="0" r="0" b="0"/>
                  <wp:wrapNone/>
                  <wp:docPr id="302" name="Text_Box_1_SpCnt_33"/>
                  <wp:cNvGraphicFramePr/>
                  <a:graphic xmlns:a="http://schemas.openxmlformats.org/drawingml/2006/main">
                    <a:graphicData uri="http://schemas.openxmlformats.org/drawingml/2006/picture">
                      <pic:pic xmlns:pic="http://schemas.openxmlformats.org/drawingml/2006/picture">
                        <pic:nvPicPr>
                          <pic:cNvPr id="302" name="Text_Box_1_SpCnt_33"/>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12192" behindDoc="0" locked="0" layoutInCell="1" allowOverlap="1">
                  <wp:simplePos x="0" y="0"/>
                  <wp:positionH relativeFrom="column">
                    <wp:posOffset>0</wp:posOffset>
                  </wp:positionH>
                  <wp:positionV relativeFrom="paragraph">
                    <wp:posOffset>0</wp:posOffset>
                  </wp:positionV>
                  <wp:extent cx="85725" cy="215265"/>
                  <wp:effectExtent l="0" t="0" r="0" b="0"/>
                  <wp:wrapNone/>
                  <wp:docPr id="308" name="Text_Box_7_SpCnt_37"/>
                  <wp:cNvGraphicFramePr/>
                  <a:graphic xmlns:a="http://schemas.openxmlformats.org/drawingml/2006/main">
                    <a:graphicData uri="http://schemas.openxmlformats.org/drawingml/2006/picture">
                      <pic:pic xmlns:pic="http://schemas.openxmlformats.org/drawingml/2006/picture">
                        <pic:nvPicPr>
                          <pic:cNvPr id="308" name="Text_Box_7_SpCnt_37"/>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13216" behindDoc="0" locked="0" layoutInCell="1" allowOverlap="1">
                  <wp:simplePos x="0" y="0"/>
                  <wp:positionH relativeFrom="column">
                    <wp:posOffset>0</wp:posOffset>
                  </wp:positionH>
                  <wp:positionV relativeFrom="paragraph">
                    <wp:posOffset>0</wp:posOffset>
                  </wp:positionV>
                  <wp:extent cx="85725" cy="215265"/>
                  <wp:effectExtent l="0" t="0" r="0" b="0"/>
                  <wp:wrapNone/>
                  <wp:docPr id="313" name="Text_Box_5_SpCnt_39"/>
                  <wp:cNvGraphicFramePr/>
                  <a:graphic xmlns:a="http://schemas.openxmlformats.org/drawingml/2006/main">
                    <a:graphicData uri="http://schemas.openxmlformats.org/drawingml/2006/picture">
                      <pic:pic xmlns:pic="http://schemas.openxmlformats.org/drawingml/2006/picture">
                        <pic:nvPicPr>
                          <pic:cNvPr id="313" name="Text_Box_5_SpCnt_39"/>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14240" behindDoc="0" locked="0" layoutInCell="1" allowOverlap="1">
                  <wp:simplePos x="0" y="0"/>
                  <wp:positionH relativeFrom="column">
                    <wp:posOffset>0</wp:posOffset>
                  </wp:positionH>
                  <wp:positionV relativeFrom="paragraph">
                    <wp:posOffset>0</wp:posOffset>
                  </wp:positionV>
                  <wp:extent cx="85725" cy="215265"/>
                  <wp:effectExtent l="0" t="0" r="0" b="0"/>
                  <wp:wrapNone/>
                  <wp:docPr id="310" name="Text_Box_7_SpCnt_38"/>
                  <wp:cNvGraphicFramePr/>
                  <a:graphic xmlns:a="http://schemas.openxmlformats.org/drawingml/2006/main">
                    <a:graphicData uri="http://schemas.openxmlformats.org/drawingml/2006/picture">
                      <pic:pic xmlns:pic="http://schemas.openxmlformats.org/drawingml/2006/picture">
                        <pic:nvPicPr>
                          <pic:cNvPr id="310" name="Text_Box_7_SpCnt_38"/>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15264" behindDoc="0" locked="0" layoutInCell="1" allowOverlap="1">
                  <wp:simplePos x="0" y="0"/>
                  <wp:positionH relativeFrom="column">
                    <wp:posOffset>0</wp:posOffset>
                  </wp:positionH>
                  <wp:positionV relativeFrom="paragraph">
                    <wp:posOffset>0</wp:posOffset>
                  </wp:positionV>
                  <wp:extent cx="85725" cy="215265"/>
                  <wp:effectExtent l="0" t="0" r="0" b="0"/>
                  <wp:wrapNone/>
                  <wp:docPr id="311" name="Text_Box_4_SpCnt_39"/>
                  <wp:cNvGraphicFramePr/>
                  <a:graphic xmlns:a="http://schemas.openxmlformats.org/drawingml/2006/main">
                    <a:graphicData uri="http://schemas.openxmlformats.org/drawingml/2006/picture">
                      <pic:pic xmlns:pic="http://schemas.openxmlformats.org/drawingml/2006/picture">
                        <pic:nvPicPr>
                          <pic:cNvPr id="311" name="Text_Box_4_SpCnt_39"/>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16288" behindDoc="0" locked="0" layoutInCell="1" allowOverlap="1">
                  <wp:simplePos x="0" y="0"/>
                  <wp:positionH relativeFrom="column">
                    <wp:posOffset>0</wp:posOffset>
                  </wp:positionH>
                  <wp:positionV relativeFrom="paragraph">
                    <wp:posOffset>0</wp:posOffset>
                  </wp:positionV>
                  <wp:extent cx="85725" cy="215265"/>
                  <wp:effectExtent l="0" t="0" r="0" b="0"/>
                  <wp:wrapNone/>
                  <wp:docPr id="312" name="Text_Box_6_SpCnt_38"/>
                  <wp:cNvGraphicFramePr/>
                  <a:graphic xmlns:a="http://schemas.openxmlformats.org/drawingml/2006/main">
                    <a:graphicData uri="http://schemas.openxmlformats.org/drawingml/2006/picture">
                      <pic:pic xmlns:pic="http://schemas.openxmlformats.org/drawingml/2006/picture">
                        <pic:nvPicPr>
                          <pic:cNvPr id="312" name="Text_Box_6_SpCnt_38"/>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17312" behindDoc="0" locked="0" layoutInCell="1" allowOverlap="1">
                  <wp:simplePos x="0" y="0"/>
                  <wp:positionH relativeFrom="column">
                    <wp:posOffset>0</wp:posOffset>
                  </wp:positionH>
                  <wp:positionV relativeFrom="paragraph">
                    <wp:posOffset>0</wp:posOffset>
                  </wp:positionV>
                  <wp:extent cx="85725" cy="215265"/>
                  <wp:effectExtent l="0" t="0" r="0" b="0"/>
                  <wp:wrapNone/>
                  <wp:docPr id="291" name="Text_Box_1_SpCnt_34"/>
                  <wp:cNvGraphicFramePr/>
                  <a:graphic xmlns:a="http://schemas.openxmlformats.org/drawingml/2006/main">
                    <a:graphicData uri="http://schemas.openxmlformats.org/drawingml/2006/picture">
                      <pic:pic xmlns:pic="http://schemas.openxmlformats.org/drawingml/2006/picture">
                        <pic:nvPicPr>
                          <pic:cNvPr id="291" name="Text_Box_1_SpCnt_34"/>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18336" behindDoc="0" locked="0" layoutInCell="1" allowOverlap="1">
                  <wp:simplePos x="0" y="0"/>
                  <wp:positionH relativeFrom="column">
                    <wp:posOffset>0</wp:posOffset>
                  </wp:positionH>
                  <wp:positionV relativeFrom="paragraph">
                    <wp:posOffset>0</wp:posOffset>
                  </wp:positionV>
                  <wp:extent cx="85725" cy="215265"/>
                  <wp:effectExtent l="0" t="0" r="0" b="0"/>
                  <wp:wrapNone/>
                  <wp:docPr id="314" name="Text_Box_5_SpCnt_40"/>
                  <wp:cNvGraphicFramePr/>
                  <a:graphic xmlns:a="http://schemas.openxmlformats.org/drawingml/2006/main">
                    <a:graphicData uri="http://schemas.openxmlformats.org/drawingml/2006/picture">
                      <pic:pic xmlns:pic="http://schemas.openxmlformats.org/drawingml/2006/picture">
                        <pic:nvPicPr>
                          <pic:cNvPr id="314" name="Text_Box_5_SpCnt_40"/>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19360" behindDoc="0" locked="0" layoutInCell="1" allowOverlap="1">
                  <wp:simplePos x="0" y="0"/>
                  <wp:positionH relativeFrom="column">
                    <wp:posOffset>0</wp:posOffset>
                  </wp:positionH>
                  <wp:positionV relativeFrom="paragraph">
                    <wp:posOffset>0</wp:posOffset>
                  </wp:positionV>
                  <wp:extent cx="85725" cy="215265"/>
                  <wp:effectExtent l="0" t="0" r="0" b="0"/>
                  <wp:wrapNone/>
                  <wp:docPr id="289" name="Text_Box_4_SpCnt_40"/>
                  <wp:cNvGraphicFramePr/>
                  <a:graphic xmlns:a="http://schemas.openxmlformats.org/drawingml/2006/main">
                    <a:graphicData uri="http://schemas.openxmlformats.org/drawingml/2006/picture">
                      <pic:pic xmlns:pic="http://schemas.openxmlformats.org/drawingml/2006/picture">
                        <pic:nvPicPr>
                          <pic:cNvPr id="289" name="Text_Box_4_SpCnt_40"/>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20384" behindDoc="0" locked="0" layoutInCell="1" allowOverlap="1">
                  <wp:simplePos x="0" y="0"/>
                  <wp:positionH relativeFrom="column">
                    <wp:posOffset>0</wp:posOffset>
                  </wp:positionH>
                  <wp:positionV relativeFrom="paragraph">
                    <wp:posOffset>0</wp:posOffset>
                  </wp:positionV>
                  <wp:extent cx="85725" cy="215265"/>
                  <wp:effectExtent l="0" t="0" r="0" b="0"/>
                  <wp:wrapNone/>
                  <wp:docPr id="292" name="Text_Box_7_SpCnt_39"/>
                  <wp:cNvGraphicFramePr/>
                  <a:graphic xmlns:a="http://schemas.openxmlformats.org/drawingml/2006/main">
                    <a:graphicData uri="http://schemas.openxmlformats.org/drawingml/2006/picture">
                      <pic:pic xmlns:pic="http://schemas.openxmlformats.org/drawingml/2006/picture">
                        <pic:nvPicPr>
                          <pic:cNvPr id="292" name="Text_Box_7_SpCnt_39"/>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21408" behindDoc="0" locked="0" layoutInCell="1" allowOverlap="1">
                  <wp:simplePos x="0" y="0"/>
                  <wp:positionH relativeFrom="column">
                    <wp:posOffset>0</wp:posOffset>
                  </wp:positionH>
                  <wp:positionV relativeFrom="paragraph">
                    <wp:posOffset>0</wp:posOffset>
                  </wp:positionV>
                  <wp:extent cx="85725" cy="215265"/>
                  <wp:effectExtent l="0" t="0" r="0" b="0"/>
                  <wp:wrapNone/>
                  <wp:docPr id="290" name="Text_Box_2_SpCnt_42"/>
                  <wp:cNvGraphicFramePr/>
                  <a:graphic xmlns:a="http://schemas.openxmlformats.org/drawingml/2006/main">
                    <a:graphicData uri="http://schemas.openxmlformats.org/drawingml/2006/picture">
                      <pic:pic xmlns:pic="http://schemas.openxmlformats.org/drawingml/2006/picture">
                        <pic:nvPicPr>
                          <pic:cNvPr id="290" name="Text_Box_2_SpCnt_42"/>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22432" behindDoc="0" locked="0" layoutInCell="1" allowOverlap="1">
                  <wp:simplePos x="0" y="0"/>
                  <wp:positionH relativeFrom="column">
                    <wp:posOffset>0</wp:posOffset>
                  </wp:positionH>
                  <wp:positionV relativeFrom="paragraph">
                    <wp:posOffset>0</wp:posOffset>
                  </wp:positionV>
                  <wp:extent cx="85725" cy="215265"/>
                  <wp:effectExtent l="0" t="0" r="0" b="0"/>
                  <wp:wrapNone/>
                  <wp:docPr id="297" name="Text_Box_6_SpCnt_39"/>
                  <wp:cNvGraphicFramePr/>
                  <a:graphic xmlns:a="http://schemas.openxmlformats.org/drawingml/2006/main">
                    <a:graphicData uri="http://schemas.openxmlformats.org/drawingml/2006/picture">
                      <pic:pic xmlns:pic="http://schemas.openxmlformats.org/drawingml/2006/picture">
                        <pic:nvPicPr>
                          <pic:cNvPr id="297" name="Text_Box_6_SpCnt_39"/>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23456" behindDoc="0" locked="0" layoutInCell="1" allowOverlap="1">
                  <wp:simplePos x="0" y="0"/>
                  <wp:positionH relativeFrom="column">
                    <wp:posOffset>0</wp:posOffset>
                  </wp:positionH>
                  <wp:positionV relativeFrom="paragraph">
                    <wp:posOffset>0</wp:posOffset>
                  </wp:positionV>
                  <wp:extent cx="85725" cy="215265"/>
                  <wp:effectExtent l="0" t="0" r="0" b="0"/>
                  <wp:wrapNone/>
                  <wp:docPr id="298" name="Text_Box_1_SpCnt_35"/>
                  <wp:cNvGraphicFramePr/>
                  <a:graphic xmlns:a="http://schemas.openxmlformats.org/drawingml/2006/main">
                    <a:graphicData uri="http://schemas.openxmlformats.org/drawingml/2006/picture">
                      <pic:pic xmlns:pic="http://schemas.openxmlformats.org/drawingml/2006/picture">
                        <pic:nvPicPr>
                          <pic:cNvPr id="298" name="Text_Box_1_SpCnt_35"/>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24480" behindDoc="0" locked="0" layoutInCell="1" allowOverlap="1">
                  <wp:simplePos x="0" y="0"/>
                  <wp:positionH relativeFrom="column">
                    <wp:posOffset>0</wp:posOffset>
                  </wp:positionH>
                  <wp:positionV relativeFrom="paragraph">
                    <wp:posOffset>0</wp:posOffset>
                  </wp:positionV>
                  <wp:extent cx="85725" cy="215265"/>
                  <wp:effectExtent l="0" t="0" r="0" b="0"/>
                  <wp:wrapNone/>
                  <wp:docPr id="315" name="Text_Box_5_SpCnt_41"/>
                  <wp:cNvGraphicFramePr/>
                  <a:graphic xmlns:a="http://schemas.openxmlformats.org/drawingml/2006/main">
                    <a:graphicData uri="http://schemas.openxmlformats.org/drawingml/2006/picture">
                      <pic:pic xmlns:pic="http://schemas.openxmlformats.org/drawingml/2006/picture">
                        <pic:nvPicPr>
                          <pic:cNvPr id="315" name="Text_Box_5_SpCnt_41"/>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25504" behindDoc="0" locked="0" layoutInCell="1" allowOverlap="1">
                  <wp:simplePos x="0" y="0"/>
                  <wp:positionH relativeFrom="column">
                    <wp:posOffset>0</wp:posOffset>
                  </wp:positionH>
                  <wp:positionV relativeFrom="paragraph">
                    <wp:posOffset>0</wp:posOffset>
                  </wp:positionV>
                  <wp:extent cx="85725" cy="215265"/>
                  <wp:effectExtent l="0" t="0" r="0" b="0"/>
                  <wp:wrapNone/>
                  <wp:docPr id="293" name="Text_Box_5_SpCnt_42"/>
                  <wp:cNvGraphicFramePr/>
                  <a:graphic xmlns:a="http://schemas.openxmlformats.org/drawingml/2006/main">
                    <a:graphicData uri="http://schemas.openxmlformats.org/drawingml/2006/picture">
                      <pic:pic xmlns:pic="http://schemas.openxmlformats.org/drawingml/2006/picture">
                        <pic:nvPicPr>
                          <pic:cNvPr id="293" name="Text_Box_5_SpCnt_42"/>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26528" behindDoc="0" locked="0" layoutInCell="1" allowOverlap="1">
                  <wp:simplePos x="0" y="0"/>
                  <wp:positionH relativeFrom="column">
                    <wp:posOffset>0</wp:posOffset>
                  </wp:positionH>
                  <wp:positionV relativeFrom="paragraph">
                    <wp:posOffset>0</wp:posOffset>
                  </wp:positionV>
                  <wp:extent cx="85725" cy="215265"/>
                  <wp:effectExtent l="0" t="0" r="0" b="0"/>
                  <wp:wrapNone/>
                  <wp:docPr id="285" name="Text_Box_6_SpCnt_40"/>
                  <wp:cNvGraphicFramePr/>
                  <a:graphic xmlns:a="http://schemas.openxmlformats.org/drawingml/2006/main">
                    <a:graphicData uri="http://schemas.openxmlformats.org/drawingml/2006/picture">
                      <pic:pic xmlns:pic="http://schemas.openxmlformats.org/drawingml/2006/picture">
                        <pic:nvPicPr>
                          <pic:cNvPr id="285" name="Text_Box_6_SpCnt_40"/>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27552" behindDoc="0" locked="0" layoutInCell="1" allowOverlap="1">
                  <wp:simplePos x="0" y="0"/>
                  <wp:positionH relativeFrom="column">
                    <wp:posOffset>0</wp:posOffset>
                  </wp:positionH>
                  <wp:positionV relativeFrom="paragraph">
                    <wp:posOffset>0</wp:posOffset>
                  </wp:positionV>
                  <wp:extent cx="85725" cy="215265"/>
                  <wp:effectExtent l="0" t="0" r="0" b="0"/>
                  <wp:wrapNone/>
                  <wp:docPr id="299" name="Text_Box_4_SpCnt_41"/>
                  <wp:cNvGraphicFramePr/>
                  <a:graphic xmlns:a="http://schemas.openxmlformats.org/drawingml/2006/main">
                    <a:graphicData uri="http://schemas.openxmlformats.org/drawingml/2006/picture">
                      <pic:pic xmlns:pic="http://schemas.openxmlformats.org/drawingml/2006/picture">
                        <pic:nvPicPr>
                          <pic:cNvPr id="299" name="Text_Box_4_SpCnt_41"/>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28576" behindDoc="0" locked="0" layoutInCell="1" allowOverlap="1">
                  <wp:simplePos x="0" y="0"/>
                  <wp:positionH relativeFrom="column">
                    <wp:posOffset>0</wp:posOffset>
                  </wp:positionH>
                  <wp:positionV relativeFrom="paragraph">
                    <wp:posOffset>0</wp:posOffset>
                  </wp:positionV>
                  <wp:extent cx="85725" cy="215265"/>
                  <wp:effectExtent l="0" t="0" r="0" b="0"/>
                  <wp:wrapNone/>
                  <wp:docPr id="286" name="Text_Box_6_SpCnt_41"/>
                  <wp:cNvGraphicFramePr/>
                  <a:graphic xmlns:a="http://schemas.openxmlformats.org/drawingml/2006/main">
                    <a:graphicData uri="http://schemas.openxmlformats.org/drawingml/2006/picture">
                      <pic:pic xmlns:pic="http://schemas.openxmlformats.org/drawingml/2006/picture">
                        <pic:nvPicPr>
                          <pic:cNvPr id="286" name="Text_Box_6_SpCnt_41"/>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29600" behindDoc="0" locked="0" layoutInCell="1" allowOverlap="1">
                  <wp:simplePos x="0" y="0"/>
                  <wp:positionH relativeFrom="column">
                    <wp:posOffset>0</wp:posOffset>
                  </wp:positionH>
                  <wp:positionV relativeFrom="paragraph">
                    <wp:posOffset>0</wp:posOffset>
                  </wp:positionV>
                  <wp:extent cx="85725" cy="215265"/>
                  <wp:effectExtent l="0" t="0" r="0" b="0"/>
                  <wp:wrapNone/>
                  <wp:docPr id="287" name="Text_Box_1_SpCnt_36"/>
                  <wp:cNvGraphicFramePr/>
                  <a:graphic xmlns:a="http://schemas.openxmlformats.org/drawingml/2006/main">
                    <a:graphicData uri="http://schemas.openxmlformats.org/drawingml/2006/picture">
                      <pic:pic xmlns:pic="http://schemas.openxmlformats.org/drawingml/2006/picture">
                        <pic:nvPicPr>
                          <pic:cNvPr id="287" name="Text_Box_1_SpCnt_36"/>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30624" behindDoc="0" locked="0" layoutInCell="1" allowOverlap="1">
                  <wp:simplePos x="0" y="0"/>
                  <wp:positionH relativeFrom="column">
                    <wp:posOffset>0</wp:posOffset>
                  </wp:positionH>
                  <wp:positionV relativeFrom="paragraph">
                    <wp:posOffset>0</wp:posOffset>
                  </wp:positionV>
                  <wp:extent cx="85725" cy="215265"/>
                  <wp:effectExtent l="0" t="0" r="0" b="0"/>
                  <wp:wrapNone/>
                  <wp:docPr id="288" name="Text_Box_1_SpCnt_37"/>
                  <wp:cNvGraphicFramePr/>
                  <a:graphic xmlns:a="http://schemas.openxmlformats.org/drawingml/2006/main">
                    <a:graphicData uri="http://schemas.openxmlformats.org/drawingml/2006/picture">
                      <pic:pic xmlns:pic="http://schemas.openxmlformats.org/drawingml/2006/picture">
                        <pic:nvPicPr>
                          <pic:cNvPr id="288" name="Text_Box_1_SpCnt_37"/>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31648" behindDoc="0" locked="0" layoutInCell="1" allowOverlap="1">
                  <wp:simplePos x="0" y="0"/>
                  <wp:positionH relativeFrom="column">
                    <wp:posOffset>0</wp:posOffset>
                  </wp:positionH>
                  <wp:positionV relativeFrom="paragraph">
                    <wp:posOffset>0</wp:posOffset>
                  </wp:positionV>
                  <wp:extent cx="85725" cy="215265"/>
                  <wp:effectExtent l="0" t="0" r="0" b="0"/>
                  <wp:wrapNone/>
                  <wp:docPr id="300" name="Text_Box_4_SpCnt_42"/>
                  <wp:cNvGraphicFramePr/>
                  <a:graphic xmlns:a="http://schemas.openxmlformats.org/drawingml/2006/main">
                    <a:graphicData uri="http://schemas.openxmlformats.org/drawingml/2006/picture">
                      <pic:pic xmlns:pic="http://schemas.openxmlformats.org/drawingml/2006/picture">
                        <pic:nvPicPr>
                          <pic:cNvPr id="300" name="Text_Box_4_SpCnt_42"/>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32672" behindDoc="0" locked="0" layoutInCell="1" allowOverlap="1">
                  <wp:simplePos x="0" y="0"/>
                  <wp:positionH relativeFrom="column">
                    <wp:posOffset>0</wp:posOffset>
                  </wp:positionH>
                  <wp:positionV relativeFrom="paragraph">
                    <wp:posOffset>0</wp:posOffset>
                  </wp:positionV>
                  <wp:extent cx="85725" cy="215265"/>
                  <wp:effectExtent l="0" t="0" r="0" b="0"/>
                  <wp:wrapNone/>
                  <wp:docPr id="296" name="Text_Box_7_SpCnt_40"/>
                  <wp:cNvGraphicFramePr/>
                  <a:graphic xmlns:a="http://schemas.openxmlformats.org/drawingml/2006/main">
                    <a:graphicData uri="http://schemas.openxmlformats.org/drawingml/2006/picture">
                      <pic:pic xmlns:pic="http://schemas.openxmlformats.org/drawingml/2006/picture">
                        <pic:nvPicPr>
                          <pic:cNvPr id="296" name="Text_Box_7_SpCnt_40"/>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33696" behindDoc="0" locked="0" layoutInCell="1" allowOverlap="1">
                  <wp:simplePos x="0" y="0"/>
                  <wp:positionH relativeFrom="column">
                    <wp:posOffset>0</wp:posOffset>
                  </wp:positionH>
                  <wp:positionV relativeFrom="paragraph">
                    <wp:posOffset>0</wp:posOffset>
                  </wp:positionV>
                  <wp:extent cx="85725" cy="215265"/>
                  <wp:effectExtent l="0" t="0" r="0" b="0"/>
                  <wp:wrapNone/>
                  <wp:docPr id="301" name="Text_Box_7_SpCnt_41"/>
                  <wp:cNvGraphicFramePr/>
                  <a:graphic xmlns:a="http://schemas.openxmlformats.org/drawingml/2006/main">
                    <a:graphicData uri="http://schemas.openxmlformats.org/drawingml/2006/picture">
                      <pic:pic xmlns:pic="http://schemas.openxmlformats.org/drawingml/2006/picture">
                        <pic:nvPicPr>
                          <pic:cNvPr id="301" name="Text_Box_7_SpCnt_41"/>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34720" behindDoc="0" locked="0" layoutInCell="1" allowOverlap="1">
                  <wp:simplePos x="0" y="0"/>
                  <wp:positionH relativeFrom="column">
                    <wp:posOffset>0</wp:posOffset>
                  </wp:positionH>
                  <wp:positionV relativeFrom="paragraph">
                    <wp:posOffset>0</wp:posOffset>
                  </wp:positionV>
                  <wp:extent cx="85725" cy="215265"/>
                  <wp:effectExtent l="0" t="0" r="0" b="0"/>
                  <wp:wrapNone/>
                  <wp:docPr id="325" name="Text_Box_6_SpCnt_42"/>
                  <wp:cNvGraphicFramePr/>
                  <a:graphic xmlns:a="http://schemas.openxmlformats.org/drawingml/2006/main">
                    <a:graphicData uri="http://schemas.openxmlformats.org/drawingml/2006/picture">
                      <pic:pic xmlns:pic="http://schemas.openxmlformats.org/drawingml/2006/picture">
                        <pic:nvPicPr>
                          <pic:cNvPr id="325" name="Text_Box_6_SpCnt_42"/>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35744" behindDoc="0" locked="0" layoutInCell="1" allowOverlap="1">
                  <wp:simplePos x="0" y="0"/>
                  <wp:positionH relativeFrom="column">
                    <wp:posOffset>0</wp:posOffset>
                  </wp:positionH>
                  <wp:positionV relativeFrom="paragraph">
                    <wp:posOffset>0</wp:posOffset>
                  </wp:positionV>
                  <wp:extent cx="85725" cy="215265"/>
                  <wp:effectExtent l="0" t="0" r="0" b="0"/>
                  <wp:wrapNone/>
                  <wp:docPr id="346" name="Text_Box_1_SpCnt_38"/>
                  <wp:cNvGraphicFramePr/>
                  <a:graphic xmlns:a="http://schemas.openxmlformats.org/drawingml/2006/main">
                    <a:graphicData uri="http://schemas.openxmlformats.org/drawingml/2006/picture">
                      <pic:pic xmlns:pic="http://schemas.openxmlformats.org/drawingml/2006/picture">
                        <pic:nvPicPr>
                          <pic:cNvPr id="346" name="Text_Box_1_SpCnt_38"/>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36768" behindDoc="0" locked="0" layoutInCell="1" allowOverlap="1">
                  <wp:simplePos x="0" y="0"/>
                  <wp:positionH relativeFrom="column">
                    <wp:posOffset>0</wp:posOffset>
                  </wp:positionH>
                  <wp:positionV relativeFrom="paragraph">
                    <wp:posOffset>0</wp:posOffset>
                  </wp:positionV>
                  <wp:extent cx="85725" cy="215265"/>
                  <wp:effectExtent l="0" t="0" r="0" b="0"/>
                  <wp:wrapNone/>
                  <wp:docPr id="348" name="Text_Box_4_SpCnt_43"/>
                  <wp:cNvGraphicFramePr/>
                  <a:graphic xmlns:a="http://schemas.openxmlformats.org/drawingml/2006/main">
                    <a:graphicData uri="http://schemas.openxmlformats.org/drawingml/2006/picture">
                      <pic:pic xmlns:pic="http://schemas.openxmlformats.org/drawingml/2006/picture">
                        <pic:nvPicPr>
                          <pic:cNvPr id="348" name="Text_Box_4_SpCnt_43"/>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37792" behindDoc="0" locked="0" layoutInCell="1" allowOverlap="1">
                  <wp:simplePos x="0" y="0"/>
                  <wp:positionH relativeFrom="column">
                    <wp:posOffset>0</wp:posOffset>
                  </wp:positionH>
                  <wp:positionV relativeFrom="paragraph">
                    <wp:posOffset>0</wp:posOffset>
                  </wp:positionV>
                  <wp:extent cx="85725" cy="215265"/>
                  <wp:effectExtent l="0" t="0" r="0" b="0"/>
                  <wp:wrapNone/>
                  <wp:docPr id="322" name="Text_Box_1_SpCnt_39"/>
                  <wp:cNvGraphicFramePr/>
                  <a:graphic xmlns:a="http://schemas.openxmlformats.org/drawingml/2006/main">
                    <a:graphicData uri="http://schemas.openxmlformats.org/drawingml/2006/picture">
                      <pic:pic xmlns:pic="http://schemas.openxmlformats.org/drawingml/2006/picture">
                        <pic:nvPicPr>
                          <pic:cNvPr id="322" name="Text_Box_1_SpCnt_39"/>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38816" behindDoc="0" locked="0" layoutInCell="1" allowOverlap="1">
                  <wp:simplePos x="0" y="0"/>
                  <wp:positionH relativeFrom="column">
                    <wp:posOffset>0</wp:posOffset>
                  </wp:positionH>
                  <wp:positionV relativeFrom="paragraph">
                    <wp:posOffset>0</wp:posOffset>
                  </wp:positionV>
                  <wp:extent cx="85725" cy="215265"/>
                  <wp:effectExtent l="0" t="0" r="0" b="0"/>
                  <wp:wrapNone/>
                  <wp:docPr id="326" name="Text_Box_1_SpCnt_40"/>
                  <wp:cNvGraphicFramePr/>
                  <a:graphic xmlns:a="http://schemas.openxmlformats.org/drawingml/2006/main">
                    <a:graphicData uri="http://schemas.openxmlformats.org/drawingml/2006/picture">
                      <pic:pic xmlns:pic="http://schemas.openxmlformats.org/drawingml/2006/picture">
                        <pic:nvPicPr>
                          <pic:cNvPr id="326" name="Text_Box_1_SpCnt_40"/>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39840" behindDoc="0" locked="0" layoutInCell="1" allowOverlap="1">
                  <wp:simplePos x="0" y="0"/>
                  <wp:positionH relativeFrom="column">
                    <wp:posOffset>0</wp:posOffset>
                  </wp:positionH>
                  <wp:positionV relativeFrom="paragraph">
                    <wp:posOffset>0</wp:posOffset>
                  </wp:positionV>
                  <wp:extent cx="85725" cy="215265"/>
                  <wp:effectExtent l="0" t="0" r="0" b="0"/>
                  <wp:wrapNone/>
                  <wp:docPr id="345" name="Text_Box_5_SpCnt_43"/>
                  <wp:cNvGraphicFramePr/>
                  <a:graphic xmlns:a="http://schemas.openxmlformats.org/drawingml/2006/main">
                    <a:graphicData uri="http://schemas.openxmlformats.org/drawingml/2006/picture">
                      <pic:pic xmlns:pic="http://schemas.openxmlformats.org/drawingml/2006/picture">
                        <pic:nvPicPr>
                          <pic:cNvPr id="345" name="Text_Box_5_SpCnt_43"/>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40864" behindDoc="0" locked="0" layoutInCell="1" allowOverlap="1">
                  <wp:simplePos x="0" y="0"/>
                  <wp:positionH relativeFrom="column">
                    <wp:posOffset>0</wp:posOffset>
                  </wp:positionH>
                  <wp:positionV relativeFrom="paragraph">
                    <wp:posOffset>0</wp:posOffset>
                  </wp:positionV>
                  <wp:extent cx="85725" cy="215265"/>
                  <wp:effectExtent l="0" t="0" r="0" b="0"/>
                  <wp:wrapNone/>
                  <wp:docPr id="341" name="Text_Box_6_SpCnt_43"/>
                  <wp:cNvGraphicFramePr/>
                  <a:graphic xmlns:a="http://schemas.openxmlformats.org/drawingml/2006/main">
                    <a:graphicData uri="http://schemas.openxmlformats.org/drawingml/2006/picture">
                      <pic:pic xmlns:pic="http://schemas.openxmlformats.org/drawingml/2006/picture">
                        <pic:nvPicPr>
                          <pic:cNvPr id="341" name="Text_Box_6_SpCnt_43"/>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41888" behindDoc="0" locked="0" layoutInCell="1" allowOverlap="1">
                  <wp:simplePos x="0" y="0"/>
                  <wp:positionH relativeFrom="column">
                    <wp:posOffset>114300</wp:posOffset>
                  </wp:positionH>
                  <wp:positionV relativeFrom="paragraph">
                    <wp:posOffset>0</wp:posOffset>
                  </wp:positionV>
                  <wp:extent cx="85725" cy="215265"/>
                  <wp:effectExtent l="0" t="0" r="0" b="0"/>
                  <wp:wrapNone/>
                  <wp:docPr id="330" name="Text_Box_3_SpCnt_19"/>
                  <wp:cNvGraphicFramePr/>
                  <a:graphic xmlns:a="http://schemas.openxmlformats.org/drawingml/2006/main">
                    <a:graphicData uri="http://schemas.openxmlformats.org/drawingml/2006/picture">
                      <pic:pic xmlns:pic="http://schemas.openxmlformats.org/drawingml/2006/picture">
                        <pic:nvPicPr>
                          <pic:cNvPr id="330" name="Text_Box_3_SpCnt_19"/>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42912" behindDoc="0" locked="0" layoutInCell="1" allowOverlap="1">
                  <wp:simplePos x="0" y="0"/>
                  <wp:positionH relativeFrom="column">
                    <wp:posOffset>114300</wp:posOffset>
                  </wp:positionH>
                  <wp:positionV relativeFrom="paragraph">
                    <wp:posOffset>0</wp:posOffset>
                  </wp:positionV>
                  <wp:extent cx="85725" cy="215265"/>
                  <wp:effectExtent l="0" t="0" r="0" b="0"/>
                  <wp:wrapNone/>
                  <wp:docPr id="317" name="Text_Box_3_SpCnt_20"/>
                  <wp:cNvGraphicFramePr/>
                  <a:graphic xmlns:a="http://schemas.openxmlformats.org/drawingml/2006/main">
                    <a:graphicData uri="http://schemas.openxmlformats.org/drawingml/2006/picture">
                      <pic:pic xmlns:pic="http://schemas.openxmlformats.org/drawingml/2006/picture">
                        <pic:nvPicPr>
                          <pic:cNvPr id="317" name="Text_Box_3_SpCnt_20"/>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43936" behindDoc="0" locked="0" layoutInCell="1" allowOverlap="1">
                  <wp:simplePos x="0" y="0"/>
                  <wp:positionH relativeFrom="column">
                    <wp:posOffset>114300</wp:posOffset>
                  </wp:positionH>
                  <wp:positionV relativeFrom="paragraph">
                    <wp:posOffset>0</wp:posOffset>
                  </wp:positionV>
                  <wp:extent cx="85725" cy="215265"/>
                  <wp:effectExtent l="0" t="0" r="0" b="0"/>
                  <wp:wrapNone/>
                  <wp:docPr id="334" name="Text_Box_3_SpCnt_21"/>
                  <wp:cNvGraphicFramePr/>
                  <a:graphic xmlns:a="http://schemas.openxmlformats.org/drawingml/2006/main">
                    <a:graphicData uri="http://schemas.openxmlformats.org/drawingml/2006/picture">
                      <pic:pic xmlns:pic="http://schemas.openxmlformats.org/drawingml/2006/picture">
                        <pic:nvPicPr>
                          <pic:cNvPr id="334" name="Text_Box_3_SpCnt_21"/>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44960" behindDoc="0" locked="0" layoutInCell="1" allowOverlap="1">
                  <wp:simplePos x="0" y="0"/>
                  <wp:positionH relativeFrom="column">
                    <wp:posOffset>123825</wp:posOffset>
                  </wp:positionH>
                  <wp:positionV relativeFrom="paragraph">
                    <wp:posOffset>0</wp:posOffset>
                  </wp:positionV>
                  <wp:extent cx="85725" cy="215265"/>
                  <wp:effectExtent l="0" t="0" r="0" b="0"/>
                  <wp:wrapNone/>
                  <wp:docPr id="318" name="Text_Box_3_SpCnt_22"/>
                  <wp:cNvGraphicFramePr/>
                  <a:graphic xmlns:a="http://schemas.openxmlformats.org/drawingml/2006/main">
                    <a:graphicData uri="http://schemas.openxmlformats.org/drawingml/2006/picture">
                      <pic:pic xmlns:pic="http://schemas.openxmlformats.org/drawingml/2006/picture">
                        <pic:nvPicPr>
                          <pic:cNvPr id="318" name="Text_Box_3_SpCnt_22"/>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45984" behindDoc="0" locked="0" layoutInCell="1" allowOverlap="1">
                  <wp:simplePos x="0" y="0"/>
                  <wp:positionH relativeFrom="column">
                    <wp:posOffset>123825</wp:posOffset>
                  </wp:positionH>
                  <wp:positionV relativeFrom="paragraph">
                    <wp:posOffset>0</wp:posOffset>
                  </wp:positionV>
                  <wp:extent cx="85725" cy="215265"/>
                  <wp:effectExtent l="0" t="0" r="0" b="0"/>
                  <wp:wrapNone/>
                  <wp:docPr id="331" name="Text_Box_3_SpCnt_23"/>
                  <wp:cNvGraphicFramePr/>
                  <a:graphic xmlns:a="http://schemas.openxmlformats.org/drawingml/2006/main">
                    <a:graphicData uri="http://schemas.openxmlformats.org/drawingml/2006/picture">
                      <pic:pic xmlns:pic="http://schemas.openxmlformats.org/drawingml/2006/picture">
                        <pic:nvPicPr>
                          <pic:cNvPr id="331" name="Text_Box_3_SpCnt_23"/>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47008" behindDoc="0" locked="0" layoutInCell="1" allowOverlap="1">
                  <wp:simplePos x="0" y="0"/>
                  <wp:positionH relativeFrom="column">
                    <wp:posOffset>123825</wp:posOffset>
                  </wp:positionH>
                  <wp:positionV relativeFrom="paragraph">
                    <wp:posOffset>0</wp:posOffset>
                  </wp:positionV>
                  <wp:extent cx="85725" cy="215265"/>
                  <wp:effectExtent l="0" t="0" r="0" b="0"/>
                  <wp:wrapNone/>
                  <wp:docPr id="342" name="Text_Box_3_SpCnt_24"/>
                  <wp:cNvGraphicFramePr/>
                  <a:graphic xmlns:a="http://schemas.openxmlformats.org/drawingml/2006/main">
                    <a:graphicData uri="http://schemas.openxmlformats.org/drawingml/2006/picture">
                      <pic:pic xmlns:pic="http://schemas.openxmlformats.org/drawingml/2006/picture">
                        <pic:nvPicPr>
                          <pic:cNvPr id="342" name="Text_Box_3_SpCnt_24"/>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48032" behindDoc="0" locked="0" layoutInCell="1" allowOverlap="1">
                  <wp:simplePos x="0" y="0"/>
                  <wp:positionH relativeFrom="column">
                    <wp:posOffset>123825</wp:posOffset>
                  </wp:positionH>
                  <wp:positionV relativeFrom="paragraph">
                    <wp:posOffset>0</wp:posOffset>
                  </wp:positionV>
                  <wp:extent cx="85725" cy="215265"/>
                  <wp:effectExtent l="0" t="0" r="0" b="0"/>
                  <wp:wrapNone/>
                  <wp:docPr id="344" name="Text_Box_3_SpCnt_25"/>
                  <wp:cNvGraphicFramePr/>
                  <a:graphic xmlns:a="http://schemas.openxmlformats.org/drawingml/2006/main">
                    <a:graphicData uri="http://schemas.openxmlformats.org/drawingml/2006/picture">
                      <pic:pic xmlns:pic="http://schemas.openxmlformats.org/drawingml/2006/picture">
                        <pic:nvPicPr>
                          <pic:cNvPr id="344" name="Text_Box_3_SpCnt_25"/>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49056" behindDoc="0" locked="0" layoutInCell="1" allowOverlap="1">
                  <wp:simplePos x="0" y="0"/>
                  <wp:positionH relativeFrom="column">
                    <wp:posOffset>123825</wp:posOffset>
                  </wp:positionH>
                  <wp:positionV relativeFrom="paragraph">
                    <wp:posOffset>0</wp:posOffset>
                  </wp:positionV>
                  <wp:extent cx="85725" cy="215265"/>
                  <wp:effectExtent l="0" t="0" r="0" b="0"/>
                  <wp:wrapNone/>
                  <wp:docPr id="323" name="Text_Box_3_SpCnt_26"/>
                  <wp:cNvGraphicFramePr/>
                  <a:graphic xmlns:a="http://schemas.openxmlformats.org/drawingml/2006/main">
                    <a:graphicData uri="http://schemas.openxmlformats.org/drawingml/2006/picture">
                      <pic:pic xmlns:pic="http://schemas.openxmlformats.org/drawingml/2006/picture">
                        <pic:nvPicPr>
                          <pic:cNvPr id="323" name="Text_Box_3_SpCnt_26"/>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50080" behindDoc="0" locked="0" layoutInCell="1" allowOverlap="1">
                  <wp:simplePos x="0" y="0"/>
                  <wp:positionH relativeFrom="column">
                    <wp:posOffset>123825</wp:posOffset>
                  </wp:positionH>
                  <wp:positionV relativeFrom="paragraph">
                    <wp:posOffset>0</wp:posOffset>
                  </wp:positionV>
                  <wp:extent cx="85725" cy="215265"/>
                  <wp:effectExtent l="0" t="0" r="0" b="0"/>
                  <wp:wrapNone/>
                  <wp:docPr id="329" name="Text_Box_3_SpCnt_27"/>
                  <wp:cNvGraphicFramePr/>
                  <a:graphic xmlns:a="http://schemas.openxmlformats.org/drawingml/2006/main">
                    <a:graphicData uri="http://schemas.openxmlformats.org/drawingml/2006/picture">
                      <pic:pic xmlns:pic="http://schemas.openxmlformats.org/drawingml/2006/picture">
                        <pic:nvPicPr>
                          <pic:cNvPr id="329" name="Text_Box_3_SpCnt_27"/>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51104" behindDoc="0" locked="0" layoutInCell="1" allowOverlap="1">
                  <wp:simplePos x="0" y="0"/>
                  <wp:positionH relativeFrom="column">
                    <wp:posOffset>123825</wp:posOffset>
                  </wp:positionH>
                  <wp:positionV relativeFrom="paragraph">
                    <wp:posOffset>0</wp:posOffset>
                  </wp:positionV>
                  <wp:extent cx="85725" cy="215265"/>
                  <wp:effectExtent l="0" t="0" r="0" b="0"/>
                  <wp:wrapNone/>
                  <wp:docPr id="337" name="Text_Box_3_SpCnt_28"/>
                  <wp:cNvGraphicFramePr/>
                  <a:graphic xmlns:a="http://schemas.openxmlformats.org/drawingml/2006/main">
                    <a:graphicData uri="http://schemas.openxmlformats.org/drawingml/2006/picture">
                      <pic:pic xmlns:pic="http://schemas.openxmlformats.org/drawingml/2006/picture">
                        <pic:nvPicPr>
                          <pic:cNvPr id="337" name="Text_Box_3_SpCnt_28"/>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52128" behindDoc="0" locked="0" layoutInCell="1" allowOverlap="1">
                  <wp:simplePos x="0" y="0"/>
                  <wp:positionH relativeFrom="column">
                    <wp:posOffset>123825</wp:posOffset>
                  </wp:positionH>
                  <wp:positionV relativeFrom="paragraph">
                    <wp:posOffset>0</wp:posOffset>
                  </wp:positionV>
                  <wp:extent cx="85725" cy="215265"/>
                  <wp:effectExtent l="0" t="0" r="0" b="0"/>
                  <wp:wrapNone/>
                  <wp:docPr id="321" name="Text_Box_3_SpCnt_29"/>
                  <wp:cNvGraphicFramePr/>
                  <a:graphic xmlns:a="http://schemas.openxmlformats.org/drawingml/2006/main">
                    <a:graphicData uri="http://schemas.openxmlformats.org/drawingml/2006/picture">
                      <pic:pic xmlns:pic="http://schemas.openxmlformats.org/drawingml/2006/picture">
                        <pic:nvPicPr>
                          <pic:cNvPr id="321" name="Text_Box_3_SpCnt_29"/>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53152" behindDoc="0" locked="0" layoutInCell="1" allowOverlap="1">
                  <wp:simplePos x="0" y="0"/>
                  <wp:positionH relativeFrom="column">
                    <wp:posOffset>123825</wp:posOffset>
                  </wp:positionH>
                  <wp:positionV relativeFrom="paragraph">
                    <wp:posOffset>0</wp:posOffset>
                  </wp:positionV>
                  <wp:extent cx="85725" cy="215265"/>
                  <wp:effectExtent l="0" t="0" r="0" b="0"/>
                  <wp:wrapNone/>
                  <wp:docPr id="324" name="Text_Box_3_SpCnt_30"/>
                  <wp:cNvGraphicFramePr/>
                  <a:graphic xmlns:a="http://schemas.openxmlformats.org/drawingml/2006/main">
                    <a:graphicData uri="http://schemas.openxmlformats.org/drawingml/2006/picture">
                      <pic:pic xmlns:pic="http://schemas.openxmlformats.org/drawingml/2006/picture">
                        <pic:nvPicPr>
                          <pic:cNvPr id="324" name="Text_Box_3_SpCnt_30"/>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54176" behindDoc="0" locked="0" layoutInCell="1" allowOverlap="1">
                  <wp:simplePos x="0" y="0"/>
                  <wp:positionH relativeFrom="column">
                    <wp:posOffset>123825</wp:posOffset>
                  </wp:positionH>
                  <wp:positionV relativeFrom="paragraph">
                    <wp:posOffset>0</wp:posOffset>
                  </wp:positionV>
                  <wp:extent cx="85725" cy="215265"/>
                  <wp:effectExtent l="0" t="0" r="0" b="0"/>
                  <wp:wrapNone/>
                  <wp:docPr id="332" name="Text_Box_3_SpCnt_31"/>
                  <wp:cNvGraphicFramePr/>
                  <a:graphic xmlns:a="http://schemas.openxmlformats.org/drawingml/2006/main">
                    <a:graphicData uri="http://schemas.openxmlformats.org/drawingml/2006/picture">
                      <pic:pic xmlns:pic="http://schemas.openxmlformats.org/drawingml/2006/picture">
                        <pic:nvPicPr>
                          <pic:cNvPr id="332" name="Text_Box_3_SpCnt_31"/>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55200" behindDoc="0" locked="0" layoutInCell="1" allowOverlap="1">
                  <wp:simplePos x="0" y="0"/>
                  <wp:positionH relativeFrom="column">
                    <wp:posOffset>123825</wp:posOffset>
                  </wp:positionH>
                  <wp:positionV relativeFrom="paragraph">
                    <wp:posOffset>0</wp:posOffset>
                  </wp:positionV>
                  <wp:extent cx="85725" cy="215265"/>
                  <wp:effectExtent l="0" t="0" r="0" b="0"/>
                  <wp:wrapNone/>
                  <wp:docPr id="327" name="Text_Box_3_SpCnt_32"/>
                  <wp:cNvGraphicFramePr/>
                  <a:graphic xmlns:a="http://schemas.openxmlformats.org/drawingml/2006/main">
                    <a:graphicData uri="http://schemas.openxmlformats.org/drawingml/2006/picture">
                      <pic:pic xmlns:pic="http://schemas.openxmlformats.org/drawingml/2006/picture">
                        <pic:nvPicPr>
                          <pic:cNvPr id="327" name="Text_Box_3_SpCnt_32"/>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56224" behindDoc="0" locked="0" layoutInCell="1" allowOverlap="1">
                  <wp:simplePos x="0" y="0"/>
                  <wp:positionH relativeFrom="column">
                    <wp:posOffset>123825</wp:posOffset>
                  </wp:positionH>
                  <wp:positionV relativeFrom="paragraph">
                    <wp:posOffset>0</wp:posOffset>
                  </wp:positionV>
                  <wp:extent cx="85725" cy="215265"/>
                  <wp:effectExtent l="0" t="0" r="0" b="0"/>
                  <wp:wrapNone/>
                  <wp:docPr id="328" name="Text_Box_3_SpCnt_33"/>
                  <wp:cNvGraphicFramePr/>
                  <a:graphic xmlns:a="http://schemas.openxmlformats.org/drawingml/2006/main">
                    <a:graphicData uri="http://schemas.openxmlformats.org/drawingml/2006/picture">
                      <pic:pic xmlns:pic="http://schemas.openxmlformats.org/drawingml/2006/picture">
                        <pic:nvPicPr>
                          <pic:cNvPr id="328" name="Text_Box_3_SpCnt_33"/>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57248" behindDoc="0" locked="0" layoutInCell="1" allowOverlap="1">
                  <wp:simplePos x="0" y="0"/>
                  <wp:positionH relativeFrom="column">
                    <wp:posOffset>123825</wp:posOffset>
                  </wp:positionH>
                  <wp:positionV relativeFrom="paragraph">
                    <wp:posOffset>0</wp:posOffset>
                  </wp:positionV>
                  <wp:extent cx="85725" cy="215265"/>
                  <wp:effectExtent l="0" t="0" r="0" b="0"/>
                  <wp:wrapNone/>
                  <wp:docPr id="333" name="Text_Box_3_SpCnt_34"/>
                  <wp:cNvGraphicFramePr/>
                  <a:graphic xmlns:a="http://schemas.openxmlformats.org/drawingml/2006/main">
                    <a:graphicData uri="http://schemas.openxmlformats.org/drawingml/2006/picture">
                      <pic:pic xmlns:pic="http://schemas.openxmlformats.org/drawingml/2006/picture">
                        <pic:nvPicPr>
                          <pic:cNvPr id="333" name="Text_Box_3_SpCnt_34"/>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58272" behindDoc="0" locked="0" layoutInCell="1" allowOverlap="1">
                  <wp:simplePos x="0" y="0"/>
                  <wp:positionH relativeFrom="column">
                    <wp:posOffset>123825</wp:posOffset>
                  </wp:positionH>
                  <wp:positionV relativeFrom="paragraph">
                    <wp:posOffset>0</wp:posOffset>
                  </wp:positionV>
                  <wp:extent cx="85725" cy="215265"/>
                  <wp:effectExtent l="0" t="0" r="0" b="0"/>
                  <wp:wrapNone/>
                  <wp:docPr id="340" name="Text_Box_3_SpCnt_35"/>
                  <wp:cNvGraphicFramePr/>
                  <a:graphic xmlns:a="http://schemas.openxmlformats.org/drawingml/2006/main">
                    <a:graphicData uri="http://schemas.openxmlformats.org/drawingml/2006/picture">
                      <pic:pic xmlns:pic="http://schemas.openxmlformats.org/drawingml/2006/picture">
                        <pic:nvPicPr>
                          <pic:cNvPr id="340" name="Text_Box_3_SpCnt_35"/>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59296" behindDoc="0" locked="0" layoutInCell="1" allowOverlap="1">
                  <wp:simplePos x="0" y="0"/>
                  <wp:positionH relativeFrom="column">
                    <wp:posOffset>123825</wp:posOffset>
                  </wp:positionH>
                  <wp:positionV relativeFrom="paragraph">
                    <wp:posOffset>0</wp:posOffset>
                  </wp:positionV>
                  <wp:extent cx="85725" cy="215265"/>
                  <wp:effectExtent l="0" t="0" r="0" b="0"/>
                  <wp:wrapNone/>
                  <wp:docPr id="335" name="Text_Box_3_SpCnt_36"/>
                  <wp:cNvGraphicFramePr/>
                  <a:graphic xmlns:a="http://schemas.openxmlformats.org/drawingml/2006/main">
                    <a:graphicData uri="http://schemas.openxmlformats.org/drawingml/2006/picture">
                      <pic:pic xmlns:pic="http://schemas.openxmlformats.org/drawingml/2006/picture">
                        <pic:nvPicPr>
                          <pic:cNvPr id="335" name="Text_Box_3_SpCnt_36"/>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60320"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319" name="Text_Box_2_SpCnt_43"/>
                  <wp:cNvGraphicFramePr/>
                  <a:graphic xmlns:a="http://schemas.openxmlformats.org/drawingml/2006/main">
                    <a:graphicData uri="http://schemas.openxmlformats.org/drawingml/2006/picture">
                      <pic:pic xmlns:pic="http://schemas.openxmlformats.org/drawingml/2006/picture">
                        <pic:nvPicPr>
                          <pic:cNvPr id="319" name="Text_Box_2_SpCnt_43"/>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61344"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343" name="Text_Box_6_SpCnt_44"/>
                  <wp:cNvGraphicFramePr/>
                  <a:graphic xmlns:a="http://schemas.openxmlformats.org/drawingml/2006/main">
                    <a:graphicData uri="http://schemas.openxmlformats.org/drawingml/2006/picture">
                      <pic:pic xmlns:pic="http://schemas.openxmlformats.org/drawingml/2006/picture">
                        <pic:nvPicPr>
                          <pic:cNvPr id="343" name="Text_Box_6_SpCnt_44"/>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62368"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338" name="Text_Box_7_SpCnt_42"/>
                  <wp:cNvGraphicFramePr/>
                  <a:graphic xmlns:a="http://schemas.openxmlformats.org/drawingml/2006/main">
                    <a:graphicData uri="http://schemas.openxmlformats.org/drawingml/2006/picture">
                      <pic:pic xmlns:pic="http://schemas.openxmlformats.org/drawingml/2006/picture">
                        <pic:nvPicPr>
                          <pic:cNvPr id="338" name="Text_Box_7_SpCnt_42"/>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63392"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320" name="Text_Box_2_SpCnt_44"/>
                  <wp:cNvGraphicFramePr/>
                  <a:graphic xmlns:a="http://schemas.openxmlformats.org/drawingml/2006/main">
                    <a:graphicData uri="http://schemas.openxmlformats.org/drawingml/2006/picture">
                      <pic:pic xmlns:pic="http://schemas.openxmlformats.org/drawingml/2006/picture">
                        <pic:nvPicPr>
                          <pic:cNvPr id="320" name="Text_Box_2_SpCnt_44"/>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64416"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347" name="Text_Box_4_SpCnt_44"/>
                  <wp:cNvGraphicFramePr/>
                  <a:graphic xmlns:a="http://schemas.openxmlformats.org/drawingml/2006/main">
                    <a:graphicData uri="http://schemas.openxmlformats.org/drawingml/2006/picture">
                      <pic:pic xmlns:pic="http://schemas.openxmlformats.org/drawingml/2006/picture">
                        <pic:nvPicPr>
                          <pic:cNvPr id="347" name="Text_Box_4_SpCnt_44"/>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65440"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336" name="Text_Box_7_SpCnt_43"/>
                  <wp:cNvGraphicFramePr/>
                  <a:graphic xmlns:a="http://schemas.openxmlformats.org/drawingml/2006/main">
                    <a:graphicData uri="http://schemas.openxmlformats.org/drawingml/2006/picture">
                      <pic:pic xmlns:pic="http://schemas.openxmlformats.org/drawingml/2006/picture">
                        <pic:nvPicPr>
                          <pic:cNvPr id="336" name="Text_Box_7_SpCnt_43"/>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66464"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339" name="Text_Box_6_SpCnt_45"/>
                  <wp:cNvGraphicFramePr/>
                  <a:graphic xmlns:a="http://schemas.openxmlformats.org/drawingml/2006/main">
                    <a:graphicData uri="http://schemas.openxmlformats.org/drawingml/2006/picture">
                      <pic:pic xmlns:pic="http://schemas.openxmlformats.org/drawingml/2006/picture">
                        <pic:nvPicPr>
                          <pic:cNvPr id="339" name="Text_Box_6_SpCnt_45"/>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67488"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349" name="Text_Box_7_SpCnt_44"/>
                  <wp:cNvGraphicFramePr/>
                  <a:graphic xmlns:a="http://schemas.openxmlformats.org/drawingml/2006/main">
                    <a:graphicData uri="http://schemas.openxmlformats.org/drawingml/2006/picture">
                      <pic:pic xmlns:pic="http://schemas.openxmlformats.org/drawingml/2006/picture">
                        <pic:nvPicPr>
                          <pic:cNvPr id="349" name="Text_Box_7_SpCnt_44"/>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68512"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353" name="Text_Box_1_SpCnt_41"/>
                  <wp:cNvGraphicFramePr/>
                  <a:graphic xmlns:a="http://schemas.openxmlformats.org/drawingml/2006/main">
                    <a:graphicData uri="http://schemas.openxmlformats.org/drawingml/2006/picture">
                      <pic:pic xmlns:pic="http://schemas.openxmlformats.org/drawingml/2006/picture">
                        <pic:nvPicPr>
                          <pic:cNvPr id="353" name="Text_Box_1_SpCnt_41"/>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69536"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361" name="Text_Box_5_SpCnt_44"/>
                  <wp:cNvGraphicFramePr/>
                  <a:graphic xmlns:a="http://schemas.openxmlformats.org/drawingml/2006/main">
                    <a:graphicData uri="http://schemas.openxmlformats.org/drawingml/2006/picture">
                      <pic:pic xmlns:pic="http://schemas.openxmlformats.org/drawingml/2006/picture">
                        <pic:nvPicPr>
                          <pic:cNvPr id="361" name="Text_Box_5_SpCnt_44"/>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70560"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350" name="Text_Box_2_SpCnt_45"/>
                  <wp:cNvGraphicFramePr/>
                  <a:graphic xmlns:a="http://schemas.openxmlformats.org/drawingml/2006/main">
                    <a:graphicData uri="http://schemas.openxmlformats.org/drawingml/2006/picture">
                      <pic:pic xmlns:pic="http://schemas.openxmlformats.org/drawingml/2006/picture">
                        <pic:nvPicPr>
                          <pic:cNvPr id="350" name="Text_Box_2_SpCnt_45"/>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71584"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354" name="Text_Box_1_SpCnt_42"/>
                  <wp:cNvGraphicFramePr/>
                  <a:graphic xmlns:a="http://schemas.openxmlformats.org/drawingml/2006/main">
                    <a:graphicData uri="http://schemas.openxmlformats.org/drawingml/2006/picture">
                      <pic:pic xmlns:pic="http://schemas.openxmlformats.org/drawingml/2006/picture">
                        <pic:nvPicPr>
                          <pic:cNvPr id="354" name="Text_Box_1_SpCnt_42"/>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72608"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358" name="Text_Box_7_SpCnt_45"/>
                  <wp:cNvGraphicFramePr/>
                  <a:graphic xmlns:a="http://schemas.openxmlformats.org/drawingml/2006/main">
                    <a:graphicData uri="http://schemas.openxmlformats.org/drawingml/2006/picture">
                      <pic:pic xmlns:pic="http://schemas.openxmlformats.org/drawingml/2006/picture">
                        <pic:nvPicPr>
                          <pic:cNvPr id="358" name="Text_Box_7_SpCnt_45"/>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73632"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357" name="Text_Box_1_SpCnt_43"/>
                  <wp:cNvGraphicFramePr/>
                  <a:graphic xmlns:a="http://schemas.openxmlformats.org/drawingml/2006/main">
                    <a:graphicData uri="http://schemas.openxmlformats.org/drawingml/2006/picture">
                      <pic:pic xmlns:pic="http://schemas.openxmlformats.org/drawingml/2006/picture">
                        <pic:nvPicPr>
                          <pic:cNvPr id="357" name="Text_Box_1_SpCnt_43"/>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74656"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362" name="Text_Box_4_SpCnt_45"/>
                  <wp:cNvGraphicFramePr/>
                  <a:graphic xmlns:a="http://schemas.openxmlformats.org/drawingml/2006/main">
                    <a:graphicData uri="http://schemas.openxmlformats.org/drawingml/2006/picture">
                      <pic:pic xmlns:pic="http://schemas.openxmlformats.org/drawingml/2006/picture">
                        <pic:nvPicPr>
                          <pic:cNvPr id="362" name="Text_Box_4_SpCnt_45"/>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75680"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352" name="Text_Box_2_SpCnt_46"/>
                  <wp:cNvGraphicFramePr/>
                  <a:graphic xmlns:a="http://schemas.openxmlformats.org/drawingml/2006/main">
                    <a:graphicData uri="http://schemas.openxmlformats.org/drawingml/2006/picture">
                      <pic:pic xmlns:pic="http://schemas.openxmlformats.org/drawingml/2006/picture">
                        <pic:nvPicPr>
                          <pic:cNvPr id="352" name="Text_Box_2_SpCnt_46"/>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76704"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365" name="Text_Box_1_SpCnt_44"/>
                  <wp:cNvGraphicFramePr/>
                  <a:graphic xmlns:a="http://schemas.openxmlformats.org/drawingml/2006/main">
                    <a:graphicData uri="http://schemas.openxmlformats.org/drawingml/2006/picture">
                      <pic:pic xmlns:pic="http://schemas.openxmlformats.org/drawingml/2006/picture">
                        <pic:nvPicPr>
                          <pic:cNvPr id="365" name="Text_Box_1_SpCnt_44"/>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77728"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351" name="Text_Box_5_SpCnt_45"/>
                  <wp:cNvGraphicFramePr/>
                  <a:graphic xmlns:a="http://schemas.openxmlformats.org/drawingml/2006/main">
                    <a:graphicData uri="http://schemas.openxmlformats.org/drawingml/2006/picture">
                      <pic:pic xmlns:pic="http://schemas.openxmlformats.org/drawingml/2006/picture">
                        <pic:nvPicPr>
                          <pic:cNvPr id="351" name="Text_Box_5_SpCnt_45"/>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78752"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355" name="Text_Box_4_SpCnt_46"/>
                  <wp:cNvGraphicFramePr/>
                  <a:graphic xmlns:a="http://schemas.openxmlformats.org/drawingml/2006/main">
                    <a:graphicData uri="http://schemas.openxmlformats.org/drawingml/2006/picture">
                      <pic:pic xmlns:pic="http://schemas.openxmlformats.org/drawingml/2006/picture">
                        <pic:nvPicPr>
                          <pic:cNvPr id="355" name="Text_Box_4_SpCnt_46"/>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79776"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356" name="Text_Box_6_SpCnt_46"/>
                  <wp:cNvGraphicFramePr/>
                  <a:graphic xmlns:a="http://schemas.openxmlformats.org/drawingml/2006/main">
                    <a:graphicData uri="http://schemas.openxmlformats.org/drawingml/2006/picture">
                      <pic:pic xmlns:pic="http://schemas.openxmlformats.org/drawingml/2006/picture">
                        <pic:nvPicPr>
                          <pic:cNvPr id="356" name="Text_Box_6_SpCnt_46"/>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80800"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359" name="Text_Box_5_SpCnt_46"/>
                  <wp:cNvGraphicFramePr/>
                  <a:graphic xmlns:a="http://schemas.openxmlformats.org/drawingml/2006/main">
                    <a:graphicData uri="http://schemas.openxmlformats.org/drawingml/2006/picture">
                      <pic:pic xmlns:pic="http://schemas.openxmlformats.org/drawingml/2006/picture">
                        <pic:nvPicPr>
                          <pic:cNvPr id="359" name="Text_Box_5_SpCnt_46"/>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81824"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360" name="Text_Box_7_SpCnt_46"/>
                  <wp:cNvGraphicFramePr/>
                  <a:graphic xmlns:a="http://schemas.openxmlformats.org/drawingml/2006/main">
                    <a:graphicData uri="http://schemas.openxmlformats.org/drawingml/2006/picture">
                      <pic:pic xmlns:pic="http://schemas.openxmlformats.org/drawingml/2006/picture">
                        <pic:nvPicPr>
                          <pic:cNvPr id="360" name="Text_Box_7_SpCnt_46"/>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82848"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363" name="Text_Box_6_SpCnt_47"/>
                  <wp:cNvGraphicFramePr/>
                  <a:graphic xmlns:a="http://schemas.openxmlformats.org/drawingml/2006/main">
                    <a:graphicData uri="http://schemas.openxmlformats.org/drawingml/2006/picture">
                      <pic:pic xmlns:pic="http://schemas.openxmlformats.org/drawingml/2006/picture">
                        <pic:nvPicPr>
                          <pic:cNvPr id="363" name="Text_Box_6_SpCnt_47"/>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83872"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364" name="Text_Box_5_SpCnt_47"/>
                  <wp:cNvGraphicFramePr/>
                  <a:graphic xmlns:a="http://schemas.openxmlformats.org/drawingml/2006/main">
                    <a:graphicData uri="http://schemas.openxmlformats.org/drawingml/2006/picture">
                      <pic:pic xmlns:pic="http://schemas.openxmlformats.org/drawingml/2006/picture">
                        <pic:nvPicPr>
                          <pic:cNvPr id="364" name="Text_Box_5_SpCnt_47"/>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84896"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155" name="Text_Box_7_SpCnt_47"/>
                  <wp:cNvGraphicFramePr/>
                  <a:graphic xmlns:a="http://schemas.openxmlformats.org/drawingml/2006/main">
                    <a:graphicData uri="http://schemas.openxmlformats.org/drawingml/2006/picture">
                      <pic:pic xmlns:pic="http://schemas.openxmlformats.org/drawingml/2006/picture">
                        <pic:nvPicPr>
                          <pic:cNvPr id="155" name="Text_Box_7_SpCnt_47"/>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85920"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139" name="Text_Box_1_SpCnt_45"/>
                  <wp:cNvGraphicFramePr/>
                  <a:graphic xmlns:a="http://schemas.openxmlformats.org/drawingml/2006/main">
                    <a:graphicData uri="http://schemas.openxmlformats.org/drawingml/2006/picture">
                      <pic:pic xmlns:pic="http://schemas.openxmlformats.org/drawingml/2006/picture">
                        <pic:nvPicPr>
                          <pic:cNvPr id="139" name="Text_Box_1_SpCnt_45"/>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86944"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145" name="Text_Box_5_SpCnt_48"/>
                  <wp:cNvGraphicFramePr/>
                  <a:graphic xmlns:a="http://schemas.openxmlformats.org/drawingml/2006/main">
                    <a:graphicData uri="http://schemas.openxmlformats.org/drawingml/2006/picture">
                      <pic:pic xmlns:pic="http://schemas.openxmlformats.org/drawingml/2006/picture">
                        <pic:nvPicPr>
                          <pic:cNvPr id="145" name="Text_Box_5_SpCnt_48"/>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87968"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144" name="Text_Box_6_SpCnt_48"/>
                  <wp:cNvGraphicFramePr/>
                  <a:graphic xmlns:a="http://schemas.openxmlformats.org/drawingml/2006/main">
                    <a:graphicData uri="http://schemas.openxmlformats.org/drawingml/2006/picture">
                      <pic:pic xmlns:pic="http://schemas.openxmlformats.org/drawingml/2006/picture">
                        <pic:nvPicPr>
                          <pic:cNvPr id="144" name="Text_Box_6_SpCnt_48"/>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88992"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146" name="Text_Box_1_SpCnt_46"/>
                  <wp:cNvGraphicFramePr/>
                  <a:graphic xmlns:a="http://schemas.openxmlformats.org/drawingml/2006/main">
                    <a:graphicData uri="http://schemas.openxmlformats.org/drawingml/2006/picture">
                      <pic:pic xmlns:pic="http://schemas.openxmlformats.org/drawingml/2006/picture">
                        <pic:nvPicPr>
                          <pic:cNvPr id="146" name="Text_Box_1_SpCnt_46"/>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90016"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128" name="Text_Box_4_SpCnt_47"/>
                  <wp:cNvGraphicFramePr/>
                  <a:graphic xmlns:a="http://schemas.openxmlformats.org/drawingml/2006/main">
                    <a:graphicData uri="http://schemas.openxmlformats.org/drawingml/2006/picture">
                      <pic:pic xmlns:pic="http://schemas.openxmlformats.org/drawingml/2006/picture">
                        <pic:nvPicPr>
                          <pic:cNvPr id="128" name="Text_Box_4_SpCnt_47"/>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91040"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136" name="Text_Box_1_SpCnt_47"/>
                  <wp:cNvGraphicFramePr/>
                  <a:graphic xmlns:a="http://schemas.openxmlformats.org/drawingml/2006/main">
                    <a:graphicData uri="http://schemas.openxmlformats.org/drawingml/2006/picture">
                      <pic:pic xmlns:pic="http://schemas.openxmlformats.org/drawingml/2006/picture">
                        <pic:nvPicPr>
                          <pic:cNvPr id="136" name="Text_Box_1_SpCnt_47"/>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92064"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132" name="Text_Box_6_SpCnt_49"/>
                  <wp:cNvGraphicFramePr/>
                  <a:graphic xmlns:a="http://schemas.openxmlformats.org/drawingml/2006/main">
                    <a:graphicData uri="http://schemas.openxmlformats.org/drawingml/2006/picture">
                      <pic:pic xmlns:pic="http://schemas.openxmlformats.org/drawingml/2006/picture">
                        <pic:nvPicPr>
                          <pic:cNvPr id="132" name="Text_Box_6_SpCnt_49"/>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93088"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152" name="Text_Box_1_SpCnt_48"/>
                  <wp:cNvGraphicFramePr/>
                  <a:graphic xmlns:a="http://schemas.openxmlformats.org/drawingml/2006/main">
                    <a:graphicData uri="http://schemas.openxmlformats.org/drawingml/2006/picture">
                      <pic:pic xmlns:pic="http://schemas.openxmlformats.org/drawingml/2006/picture">
                        <pic:nvPicPr>
                          <pic:cNvPr id="152" name="Text_Box_1_SpCnt_48"/>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94112"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130" name="Text_Box_4_SpCnt_48"/>
                  <wp:cNvGraphicFramePr/>
                  <a:graphic xmlns:a="http://schemas.openxmlformats.org/drawingml/2006/main">
                    <a:graphicData uri="http://schemas.openxmlformats.org/drawingml/2006/picture">
                      <pic:pic xmlns:pic="http://schemas.openxmlformats.org/drawingml/2006/picture">
                        <pic:nvPicPr>
                          <pic:cNvPr id="130" name="Text_Box_4_SpCnt_48"/>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95136"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147" name="Text_Box_2_SpCnt_47"/>
                  <wp:cNvGraphicFramePr/>
                  <a:graphic xmlns:a="http://schemas.openxmlformats.org/drawingml/2006/main">
                    <a:graphicData uri="http://schemas.openxmlformats.org/drawingml/2006/picture">
                      <pic:pic xmlns:pic="http://schemas.openxmlformats.org/drawingml/2006/picture">
                        <pic:nvPicPr>
                          <pic:cNvPr id="147" name="Text_Box_2_SpCnt_47"/>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96160"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150" name="Text_Box_5_SpCnt_49"/>
                  <wp:cNvGraphicFramePr/>
                  <a:graphic xmlns:a="http://schemas.openxmlformats.org/drawingml/2006/main">
                    <a:graphicData uri="http://schemas.openxmlformats.org/drawingml/2006/picture">
                      <pic:pic xmlns:pic="http://schemas.openxmlformats.org/drawingml/2006/picture">
                        <pic:nvPicPr>
                          <pic:cNvPr id="150" name="Text_Box_5_SpCnt_49"/>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97184"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131" name="Text_Box_4_SpCnt_49"/>
                  <wp:cNvGraphicFramePr/>
                  <a:graphic xmlns:a="http://schemas.openxmlformats.org/drawingml/2006/main">
                    <a:graphicData uri="http://schemas.openxmlformats.org/drawingml/2006/picture">
                      <pic:pic xmlns:pic="http://schemas.openxmlformats.org/drawingml/2006/picture">
                        <pic:nvPicPr>
                          <pic:cNvPr id="131" name="Text_Box_4_SpCnt_49"/>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98208"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151" name="Text_Box_4_SpCnt_50"/>
                  <wp:cNvGraphicFramePr/>
                  <a:graphic xmlns:a="http://schemas.openxmlformats.org/drawingml/2006/main">
                    <a:graphicData uri="http://schemas.openxmlformats.org/drawingml/2006/picture">
                      <pic:pic xmlns:pic="http://schemas.openxmlformats.org/drawingml/2006/picture">
                        <pic:nvPicPr>
                          <pic:cNvPr id="151" name="Text_Box_4_SpCnt_50"/>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1999232"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156" name="Text_Box_2_SpCnt_48"/>
                  <wp:cNvGraphicFramePr/>
                  <a:graphic xmlns:a="http://schemas.openxmlformats.org/drawingml/2006/main">
                    <a:graphicData uri="http://schemas.openxmlformats.org/drawingml/2006/picture">
                      <pic:pic xmlns:pic="http://schemas.openxmlformats.org/drawingml/2006/picture">
                        <pic:nvPicPr>
                          <pic:cNvPr id="156" name="Text_Box_2_SpCnt_48"/>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2000256"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138" name="Text_Box_4_SpCnt_51"/>
                  <wp:cNvGraphicFramePr/>
                  <a:graphic xmlns:a="http://schemas.openxmlformats.org/drawingml/2006/main">
                    <a:graphicData uri="http://schemas.openxmlformats.org/drawingml/2006/picture">
                      <pic:pic xmlns:pic="http://schemas.openxmlformats.org/drawingml/2006/picture">
                        <pic:nvPicPr>
                          <pic:cNvPr id="138" name="Text_Box_4_SpCnt_51"/>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2001280"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127" name="Text_Box_6_SpCnt_50"/>
                  <wp:cNvGraphicFramePr/>
                  <a:graphic xmlns:a="http://schemas.openxmlformats.org/drawingml/2006/main">
                    <a:graphicData uri="http://schemas.openxmlformats.org/drawingml/2006/picture">
                      <pic:pic xmlns:pic="http://schemas.openxmlformats.org/drawingml/2006/picture">
                        <pic:nvPicPr>
                          <pic:cNvPr id="127" name="Text_Box_6_SpCnt_50"/>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2002304"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148" name="Text_Box_7_SpCnt_48"/>
                  <wp:cNvGraphicFramePr/>
                  <a:graphic xmlns:a="http://schemas.openxmlformats.org/drawingml/2006/main">
                    <a:graphicData uri="http://schemas.openxmlformats.org/drawingml/2006/picture">
                      <pic:pic xmlns:pic="http://schemas.openxmlformats.org/drawingml/2006/picture">
                        <pic:nvPicPr>
                          <pic:cNvPr id="148" name="Text_Box_7_SpCnt_48"/>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2003328"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149" name="Text_Box_1_SpCnt_49"/>
                  <wp:cNvGraphicFramePr/>
                  <a:graphic xmlns:a="http://schemas.openxmlformats.org/drawingml/2006/main">
                    <a:graphicData uri="http://schemas.openxmlformats.org/drawingml/2006/picture">
                      <pic:pic xmlns:pic="http://schemas.openxmlformats.org/drawingml/2006/picture">
                        <pic:nvPicPr>
                          <pic:cNvPr id="149" name="Text_Box_1_SpCnt_49"/>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2004352"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153" name="Text_Box_5_SpCnt_50"/>
                  <wp:cNvGraphicFramePr/>
                  <a:graphic xmlns:a="http://schemas.openxmlformats.org/drawingml/2006/main">
                    <a:graphicData uri="http://schemas.openxmlformats.org/drawingml/2006/picture">
                      <pic:pic xmlns:pic="http://schemas.openxmlformats.org/drawingml/2006/picture">
                        <pic:nvPicPr>
                          <pic:cNvPr id="153" name="Text_Box_5_SpCnt_50"/>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2005376"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154" name="Text_Box_2_SpCnt_49"/>
                  <wp:cNvGraphicFramePr/>
                  <a:graphic xmlns:a="http://schemas.openxmlformats.org/drawingml/2006/main">
                    <a:graphicData uri="http://schemas.openxmlformats.org/drawingml/2006/picture">
                      <pic:pic xmlns:pic="http://schemas.openxmlformats.org/drawingml/2006/picture">
                        <pic:nvPicPr>
                          <pic:cNvPr id="154" name="Text_Box_2_SpCnt_49"/>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2006400"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129" name="Text_Box_6_SpCnt_51"/>
                  <wp:cNvGraphicFramePr/>
                  <a:graphic xmlns:a="http://schemas.openxmlformats.org/drawingml/2006/main">
                    <a:graphicData uri="http://schemas.openxmlformats.org/drawingml/2006/picture">
                      <pic:pic xmlns:pic="http://schemas.openxmlformats.org/drawingml/2006/picture">
                        <pic:nvPicPr>
                          <pic:cNvPr id="129" name="Text_Box_6_SpCnt_51"/>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2007424"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140" name="Text_Box_5_SpCnt_51"/>
                  <wp:cNvGraphicFramePr/>
                  <a:graphic xmlns:a="http://schemas.openxmlformats.org/drawingml/2006/main">
                    <a:graphicData uri="http://schemas.openxmlformats.org/drawingml/2006/picture">
                      <pic:pic xmlns:pic="http://schemas.openxmlformats.org/drawingml/2006/picture">
                        <pic:nvPicPr>
                          <pic:cNvPr id="140" name="Text_Box_5_SpCnt_51"/>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2008448"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133" name="Text_Box_5_SpCnt_52"/>
                  <wp:cNvGraphicFramePr/>
                  <a:graphic xmlns:a="http://schemas.openxmlformats.org/drawingml/2006/main">
                    <a:graphicData uri="http://schemas.openxmlformats.org/drawingml/2006/picture">
                      <pic:pic xmlns:pic="http://schemas.openxmlformats.org/drawingml/2006/picture">
                        <pic:nvPicPr>
                          <pic:cNvPr id="133" name="Text_Box_5_SpCnt_52"/>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2009472"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134" name="Text_Box_7_SpCnt_49"/>
                  <wp:cNvGraphicFramePr/>
                  <a:graphic xmlns:a="http://schemas.openxmlformats.org/drawingml/2006/main">
                    <a:graphicData uri="http://schemas.openxmlformats.org/drawingml/2006/picture">
                      <pic:pic xmlns:pic="http://schemas.openxmlformats.org/drawingml/2006/picture">
                        <pic:nvPicPr>
                          <pic:cNvPr id="134" name="Text_Box_7_SpCnt_49"/>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2010496"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135" name="Text_Box_2_SpCnt_50"/>
                  <wp:cNvGraphicFramePr/>
                  <a:graphic xmlns:a="http://schemas.openxmlformats.org/drawingml/2006/main">
                    <a:graphicData uri="http://schemas.openxmlformats.org/drawingml/2006/picture">
                      <pic:pic xmlns:pic="http://schemas.openxmlformats.org/drawingml/2006/picture">
                        <pic:nvPicPr>
                          <pic:cNvPr id="135" name="Text_Box_2_SpCnt_50"/>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2011520"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141" name="Text_Box_2_SpCnt_51"/>
                  <wp:cNvGraphicFramePr/>
                  <a:graphic xmlns:a="http://schemas.openxmlformats.org/drawingml/2006/main">
                    <a:graphicData uri="http://schemas.openxmlformats.org/drawingml/2006/picture">
                      <pic:pic xmlns:pic="http://schemas.openxmlformats.org/drawingml/2006/picture">
                        <pic:nvPicPr>
                          <pic:cNvPr id="141" name="Text_Box_2_SpCnt_51"/>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2012544"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137" name="Text_Box_7_SpCnt_50"/>
                  <wp:cNvGraphicFramePr/>
                  <a:graphic xmlns:a="http://schemas.openxmlformats.org/drawingml/2006/main">
                    <a:graphicData uri="http://schemas.openxmlformats.org/drawingml/2006/picture">
                      <pic:pic xmlns:pic="http://schemas.openxmlformats.org/drawingml/2006/picture">
                        <pic:nvPicPr>
                          <pic:cNvPr id="137" name="Text_Box_7_SpCnt_50"/>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2013568"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142" name="Text_Box_5_SpCnt_53"/>
                  <wp:cNvGraphicFramePr/>
                  <a:graphic xmlns:a="http://schemas.openxmlformats.org/drawingml/2006/main">
                    <a:graphicData uri="http://schemas.openxmlformats.org/drawingml/2006/picture">
                      <pic:pic xmlns:pic="http://schemas.openxmlformats.org/drawingml/2006/picture">
                        <pic:nvPicPr>
                          <pic:cNvPr id="142" name="Text_Box_5_SpCnt_53"/>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2014592"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143" name="Text_Box_5_SpCnt_54"/>
                  <wp:cNvGraphicFramePr/>
                  <a:graphic xmlns:a="http://schemas.openxmlformats.org/drawingml/2006/main">
                    <a:graphicData uri="http://schemas.openxmlformats.org/drawingml/2006/picture">
                      <pic:pic xmlns:pic="http://schemas.openxmlformats.org/drawingml/2006/picture">
                        <pic:nvPicPr>
                          <pic:cNvPr id="143" name="Text_Box_5_SpCnt_54"/>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2015616"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157" name="Text_Box_4_SpCnt_52"/>
                  <wp:cNvGraphicFramePr/>
                  <a:graphic xmlns:a="http://schemas.openxmlformats.org/drawingml/2006/main">
                    <a:graphicData uri="http://schemas.openxmlformats.org/drawingml/2006/picture">
                      <pic:pic xmlns:pic="http://schemas.openxmlformats.org/drawingml/2006/picture">
                        <pic:nvPicPr>
                          <pic:cNvPr id="157" name="Text_Box_4_SpCnt_52"/>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2016640"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158" name="Text_Box_6_SpCnt_52"/>
                  <wp:cNvGraphicFramePr/>
                  <a:graphic xmlns:a="http://schemas.openxmlformats.org/drawingml/2006/main">
                    <a:graphicData uri="http://schemas.openxmlformats.org/drawingml/2006/picture">
                      <pic:pic xmlns:pic="http://schemas.openxmlformats.org/drawingml/2006/picture">
                        <pic:nvPicPr>
                          <pic:cNvPr id="158" name="Text_Box_6_SpCnt_52"/>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2017664"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159" name="Text_Box_4_SpCnt_53"/>
                  <wp:cNvGraphicFramePr/>
                  <a:graphic xmlns:a="http://schemas.openxmlformats.org/drawingml/2006/main">
                    <a:graphicData uri="http://schemas.openxmlformats.org/drawingml/2006/picture">
                      <pic:pic xmlns:pic="http://schemas.openxmlformats.org/drawingml/2006/picture">
                        <pic:nvPicPr>
                          <pic:cNvPr id="159" name="Text_Box_4_SpCnt_53"/>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2018688"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164" name="Text_Box_7_SpCnt_51"/>
                  <wp:cNvGraphicFramePr/>
                  <a:graphic xmlns:a="http://schemas.openxmlformats.org/drawingml/2006/main">
                    <a:graphicData uri="http://schemas.openxmlformats.org/drawingml/2006/picture">
                      <pic:pic xmlns:pic="http://schemas.openxmlformats.org/drawingml/2006/picture">
                        <pic:nvPicPr>
                          <pic:cNvPr id="164" name="Text_Box_7_SpCnt_51"/>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2019712"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160" name="Text_Box_6_SpCnt_53"/>
                  <wp:cNvGraphicFramePr/>
                  <a:graphic xmlns:a="http://schemas.openxmlformats.org/drawingml/2006/main">
                    <a:graphicData uri="http://schemas.openxmlformats.org/drawingml/2006/picture">
                      <pic:pic xmlns:pic="http://schemas.openxmlformats.org/drawingml/2006/picture">
                        <pic:nvPicPr>
                          <pic:cNvPr id="160" name="Text_Box_6_SpCnt_53"/>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2020736"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162" name="Text_Box_5_SpCnt_55"/>
                  <wp:cNvGraphicFramePr/>
                  <a:graphic xmlns:a="http://schemas.openxmlformats.org/drawingml/2006/main">
                    <a:graphicData uri="http://schemas.openxmlformats.org/drawingml/2006/picture">
                      <pic:pic xmlns:pic="http://schemas.openxmlformats.org/drawingml/2006/picture">
                        <pic:nvPicPr>
                          <pic:cNvPr id="162" name="Text_Box_5_SpCnt_55"/>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2021760"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169" name="Text_Box_6_SpCnt_54"/>
                  <wp:cNvGraphicFramePr/>
                  <a:graphic xmlns:a="http://schemas.openxmlformats.org/drawingml/2006/main">
                    <a:graphicData uri="http://schemas.openxmlformats.org/drawingml/2006/picture">
                      <pic:pic xmlns:pic="http://schemas.openxmlformats.org/drawingml/2006/picture">
                        <pic:nvPicPr>
                          <pic:cNvPr id="169" name="Text_Box_6_SpCnt_54"/>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2022784"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163" name="Text_Box_2_SpCnt_52"/>
                  <wp:cNvGraphicFramePr/>
                  <a:graphic xmlns:a="http://schemas.openxmlformats.org/drawingml/2006/main">
                    <a:graphicData uri="http://schemas.openxmlformats.org/drawingml/2006/picture">
                      <pic:pic xmlns:pic="http://schemas.openxmlformats.org/drawingml/2006/picture">
                        <pic:nvPicPr>
                          <pic:cNvPr id="163" name="Text_Box_2_SpCnt_52"/>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2023808"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166" name="Text_Box_6_SpCnt_55"/>
                  <wp:cNvGraphicFramePr/>
                  <a:graphic xmlns:a="http://schemas.openxmlformats.org/drawingml/2006/main">
                    <a:graphicData uri="http://schemas.openxmlformats.org/drawingml/2006/picture">
                      <pic:pic xmlns:pic="http://schemas.openxmlformats.org/drawingml/2006/picture">
                        <pic:nvPicPr>
                          <pic:cNvPr id="166" name="Text_Box_6_SpCnt_55"/>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2024832"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161" name="Text_Box_1_SpCnt_50"/>
                  <wp:cNvGraphicFramePr/>
                  <a:graphic xmlns:a="http://schemas.openxmlformats.org/drawingml/2006/main">
                    <a:graphicData uri="http://schemas.openxmlformats.org/drawingml/2006/picture">
                      <pic:pic xmlns:pic="http://schemas.openxmlformats.org/drawingml/2006/picture">
                        <pic:nvPicPr>
                          <pic:cNvPr id="161" name="Text_Box_1_SpCnt_50"/>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2025856"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165" name="Text_Box_4_SpCnt_54"/>
                  <wp:cNvGraphicFramePr/>
                  <a:graphic xmlns:a="http://schemas.openxmlformats.org/drawingml/2006/main">
                    <a:graphicData uri="http://schemas.openxmlformats.org/drawingml/2006/picture">
                      <pic:pic xmlns:pic="http://schemas.openxmlformats.org/drawingml/2006/picture">
                        <pic:nvPicPr>
                          <pic:cNvPr id="165" name="Text_Box_4_SpCnt_54"/>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2026880"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168" name="Text_Box_2_SpCnt_53"/>
                  <wp:cNvGraphicFramePr/>
                  <a:graphic xmlns:a="http://schemas.openxmlformats.org/drawingml/2006/main">
                    <a:graphicData uri="http://schemas.openxmlformats.org/drawingml/2006/picture">
                      <pic:pic xmlns:pic="http://schemas.openxmlformats.org/drawingml/2006/picture">
                        <pic:nvPicPr>
                          <pic:cNvPr id="168" name="Text_Box_2_SpCnt_53"/>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2027904"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167" name="Text_Box_1_SpCnt_51"/>
                  <wp:cNvGraphicFramePr/>
                  <a:graphic xmlns:a="http://schemas.openxmlformats.org/drawingml/2006/main">
                    <a:graphicData uri="http://schemas.openxmlformats.org/drawingml/2006/picture">
                      <pic:pic xmlns:pic="http://schemas.openxmlformats.org/drawingml/2006/picture">
                        <pic:nvPicPr>
                          <pic:cNvPr id="167" name="Text_Box_1_SpCnt_51"/>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2028928"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170" name="Text_Box_7_SpCnt_52"/>
                  <wp:cNvGraphicFramePr/>
                  <a:graphic xmlns:a="http://schemas.openxmlformats.org/drawingml/2006/main">
                    <a:graphicData uri="http://schemas.openxmlformats.org/drawingml/2006/picture">
                      <pic:pic xmlns:pic="http://schemas.openxmlformats.org/drawingml/2006/picture">
                        <pic:nvPicPr>
                          <pic:cNvPr id="170" name="Text_Box_7_SpCnt_52"/>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2029952" behindDoc="0" locked="0" layoutInCell="1" allowOverlap="1">
                  <wp:simplePos x="0" y="0"/>
                  <wp:positionH relativeFrom="column">
                    <wp:posOffset>514350</wp:posOffset>
                  </wp:positionH>
                  <wp:positionV relativeFrom="paragraph">
                    <wp:posOffset>0</wp:posOffset>
                  </wp:positionV>
                  <wp:extent cx="85725" cy="215265"/>
                  <wp:effectExtent l="0" t="0" r="0" b="0"/>
                  <wp:wrapNone/>
                  <wp:docPr id="366" name="Text_Box_4_SpCnt_55"/>
                  <wp:cNvGraphicFramePr/>
                  <a:graphic xmlns:a="http://schemas.openxmlformats.org/drawingml/2006/main">
                    <a:graphicData uri="http://schemas.openxmlformats.org/drawingml/2006/picture">
                      <pic:pic xmlns:pic="http://schemas.openxmlformats.org/drawingml/2006/picture">
                        <pic:nvPicPr>
                          <pic:cNvPr id="366" name="Text_Box_4_SpCnt_55"/>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bdr w:val="single" w:color="000000" w:sz="4" w:space="0"/>
                <w:lang w:bidi="ar"/>
              </w:rPr>
              <w:drawing>
                <wp:anchor distT="0" distB="0" distL="114300" distR="114300" simplePos="0" relativeHeight="252030976" behindDoc="0" locked="0" layoutInCell="1" allowOverlap="1">
                  <wp:simplePos x="0" y="0"/>
                  <wp:positionH relativeFrom="column">
                    <wp:posOffset>528320</wp:posOffset>
                  </wp:positionH>
                  <wp:positionV relativeFrom="paragraph">
                    <wp:posOffset>0</wp:posOffset>
                  </wp:positionV>
                  <wp:extent cx="85725" cy="215265"/>
                  <wp:effectExtent l="0" t="0" r="0" b="0"/>
                  <wp:wrapNone/>
                  <wp:docPr id="367" name="Text_Box_2_SpCnt_54"/>
                  <wp:cNvGraphicFramePr/>
                  <a:graphic xmlns:a="http://schemas.openxmlformats.org/drawingml/2006/main">
                    <a:graphicData uri="http://schemas.openxmlformats.org/drawingml/2006/picture">
                      <pic:pic xmlns:pic="http://schemas.openxmlformats.org/drawingml/2006/picture">
                        <pic:nvPicPr>
                          <pic:cNvPr id="367" name="Text_Box_2_SpCnt_54"/>
                          <pic:cNvPicPr/>
                        </pic:nvPicPr>
                        <pic:blipFill>
                          <a:blip r:embed="rId10"/>
                          <a:stretch>
                            <a:fillRect/>
                          </a:stretch>
                        </pic:blipFill>
                        <pic:spPr>
                          <a:xfrm>
                            <a:off x="0" y="0"/>
                            <a:ext cx="85725" cy="215265"/>
                          </a:xfrm>
                          <a:prstGeom prst="rect">
                            <a:avLst/>
                          </a:prstGeom>
                          <a:noFill/>
                          <a:ln>
                            <a:noFill/>
                          </a:ln>
                        </pic:spPr>
                      </pic:pic>
                    </a:graphicData>
                  </a:graphic>
                </wp:anchor>
              </w:drawing>
            </w:r>
            <w:r>
              <w:rPr>
                <w:rFonts w:hint="eastAsia" w:ascii="宋体" w:hAnsi="宋体" w:eastAsia="宋体" w:cs="宋体"/>
                <w:color w:val="auto"/>
                <w:sz w:val="21"/>
                <w:szCs w:val="21"/>
                <w:highlight w:val="none"/>
                <w:lang w:bidi="ar"/>
              </w:rPr>
              <w:t>项目施工服务</w:t>
            </w:r>
          </w:p>
        </w:tc>
        <w:tc>
          <w:tcPr>
            <w:tcW w:w="58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项目施工人工服务</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1</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360" w:lineRule="auto"/>
              <w:jc w:val="center"/>
              <w:textAlignment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项</w:t>
            </w:r>
          </w:p>
        </w:tc>
      </w:tr>
    </w:tbl>
    <w:p>
      <w:pPr>
        <w:pStyle w:val="6"/>
        <w:spacing w:before="0" w:after="0" w:line="360" w:lineRule="auto"/>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三、报价要求</w:t>
      </w:r>
    </w:p>
    <w:p>
      <w:pPr>
        <w:adjustRightInd/>
        <w:snapToGrid/>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1、投标报价包含完成本项目所需的人工费、材料费、设备使用费、各种税费、保险费及合同实施过程中的不可预见费用等全部费用，按本次招标范围及中标价一次包干，结算时不作调整。</w:t>
      </w:r>
    </w:p>
    <w:p>
      <w:pPr>
        <w:adjustRightInd/>
        <w:snapToGrid/>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2、以人民币为结算单位。</w:t>
      </w:r>
    </w:p>
    <w:p>
      <w:pPr>
        <w:pStyle w:val="28"/>
        <w:spacing w:after="0" w:line="360" w:lineRule="auto"/>
        <w:ind w:firstLine="482"/>
        <w:rPr>
          <w:rFonts w:ascii="宋体" w:hAnsi="宋体" w:eastAsia="宋体" w:cs="宋体"/>
          <w:b/>
          <w:color w:val="auto"/>
          <w:sz w:val="24"/>
          <w:szCs w:val="24"/>
          <w:highlight w:val="none"/>
        </w:rPr>
      </w:pPr>
    </w:p>
    <w:p>
      <w:pPr>
        <w:pStyle w:val="6"/>
        <w:spacing w:before="0" w:after="0" w:line="360" w:lineRule="auto"/>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四、项目验收要求</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（一）安装工程的质量标准为：中华人民共和国颁发的施工规范、质量检验标准、合同规定的条款和施工图纸。安装调试竣工验收应以安装工程的质量标准为依据进行验收。</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（二）中标人应保证所完工的系统所供货物的技术参数不得低于本需求“主要货物技术指标”所规定的设备标准及性能要求。</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（三）项目验收：</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设备安装完毕后进入项目试运行阶段，为期3个月，试运行期间进行第三方测评，试运行完毕并通过第三方测评后向采购方提交终验申请，由采购方相关部门组织项目最终验收。</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（四）中标人在工程竣工前3天，应将验收日期及验收申请以书面形式通知采购人届时验收。</w:t>
      </w:r>
    </w:p>
    <w:p>
      <w:pPr>
        <w:pStyle w:val="28"/>
        <w:spacing w:after="0" w:line="360" w:lineRule="auto"/>
        <w:ind w:firstLine="482"/>
        <w:rPr>
          <w:rFonts w:ascii="宋体" w:hAnsi="宋体" w:eastAsia="宋体" w:cs="宋体"/>
          <w:b/>
          <w:color w:val="auto"/>
          <w:sz w:val="24"/>
          <w:szCs w:val="24"/>
          <w:highlight w:val="none"/>
        </w:rPr>
      </w:pPr>
    </w:p>
    <w:p>
      <w:pPr>
        <w:pStyle w:val="6"/>
        <w:spacing w:before="0" w:after="0" w:line="360" w:lineRule="auto"/>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五、交货期</w:t>
      </w:r>
    </w:p>
    <w:p>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交货期：合同签订后45天内完成设备的安装、通电并进入3个月的试运行阶段，试运行结束且验收合格后交付使用。</w:t>
      </w:r>
    </w:p>
    <w:p>
      <w:pPr>
        <w:bidi w:val="0"/>
        <w:rPr>
          <w:color w:val="auto"/>
          <w:highlight w:val="none"/>
        </w:rPr>
      </w:pPr>
    </w:p>
    <w:p>
      <w:pPr>
        <w:pStyle w:val="6"/>
        <w:spacing w:before="0" w:after="0" w:line="360" w:lineRule="auto"/>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六、付款方式</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1.签订合同后中标人向采购人提供等额发票等付款资料后，采购人在30个工作日内支付合同总价的10%；</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2.所有设备到货清点且安装完毕通电后，中标人向采购人提供等额发票等付款资料后，采购人在30个工作日内支付合同总价的40%；</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3.工程竣工，经采购人最终验收合格后、进行项目实际结算时，中标人向采购人提供等额发票等付款资料后，采购人在30个工作日内支付至实际结算价的95%；</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4.验收合格满计一年内无质量问题，且达到相关售后服务要求，中标人向采购人提供发票等付款资料后，采购人在30个工作日内支付实际结算价的剩余5%。</w:t>
      </w:r>
    </w:p>
    <w:p>
      <w:pPr>
        <w:pStyle w:val="28"/>
        <w:spacing w:after="0" w:line="360" w:lineRule="auto"/>
        <w:ind w:firstLine="482"/>
        <w:rPr>
          <w:rFonts w:ascii="宋体" w:hAnsi="宋体" w:eastAsia="宋体" w:cs="宋体"/>
          <w:b/>
          <w:color w:val="auto"/>
          <w:sz w:val="24"/>
          <w:szCs w:val="24"/>
          <w:highlight w:val="none"/>
        </w:rPr>
      </w:pPr>
    </w:p>
    <w:p>
      <w:pPr>
        <w:pStyle w:val="6"/>
        <w:spacing w:before="0" w:after="0" w:line="360" w:lineRule="auto"/>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七、售后服务</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质保期：设备安装完毕、经相关部门检查合格后，交付使用，从项目完工验收之日起一年内免费集成运维服务，中标人应提供至少一名技术人员长期派驻在项目现场，服从采购单位安排进行日常工作。三年内中标人免费提供硬件设备维修和硬件设备保养服务，并且每月巡检一次。保证在接到故障通知后4小时内到达现场。</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（二）投标人应在投标书中提供详细的售后服务计划、包括质保期后的修理、保养、零备件供应等内容。</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（三）售后服务人员具备专业素质及灵活迅速解决实际问题的能力，力求在最短的时间内完成任务，尽量做到处理故障不隔日，以减少采购单位的不便及损失。</w:t>
      </w:r>
    </w:p>
    <w:p>
      <w:pPr>
        <w:pStyle w:val="28"/>
        <w:spacing w:after="0" w:line="360" w:lineRule="auto"/>
        <w:ind w:firstLine="482"/>
        <w:rPr>
          <w:rFonts w:ascii="宋体" w:hAnsi="宋体" w:eastAsia="宋体" w:cs="宋体"/>
          <w:b/>
          <w:color w:val="auto"/>
          <w:sz w:val="24"/>
          <w:szCs w:val="24"/>
          <w:highlight w:val="none"/>
        </w:rPr>
      </w:pPr>
    </w:p>
    <w:p>
      <w:pPr>
        <w:pStyle w:val="6"/>
        <w:spacing w:before="0" w:after="0" w:line="360" w:lineRule="auto"/>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八、其他要求</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单位应保证提供的货物在不需要增配未列出配件（特别指出的除外）的前提下货物功能、技术标准能够达到招标文件的要求，而无须再增配未列出的配件；如供应商所提供的产品需要增配配件才能达到要求的，所增配的配件须由供应商免费提供。</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招标文件中内出现的所有设备品牌/参数均不是唯一指定，仅作参考，不对投标人所投货物品牌/参数作实质性要求。即投标人可就货物提出替代标准，只要投标人提供的货物满足采购人的功能要求，相当于（或优于）规定的货物品质和性能等技术参数要求，则视为满足。</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3、所有产品材料及货物标准必须符合国家标准及相关规定。</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4、中标单位在供货安装过程中必须采取足够的安全措施，确保供货的安全，并自行负责相关安全责任。</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5、中标单位在安装过程中，如需对场地作局部破损，必须在供货安装实施前取得采购人的书面同意，并承诺负责恢复原状，采购人不另行支付任何费用。</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6、本项目以总包干形式进行总价报价，报价需包含完成项目所有内容的费用，以及所有相关税金等。</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7、项目未尽事宜将在采购合同中另行约定，中标单位需无条件同意采购人基于为顺利完成本项目所提出的各项合理要求。</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8、项目清单为本次采购最低要求，各供应商可以自行优化供货计划，为本项目设计最优投标方案。</w:t>
      </w:r>
    </w:p>
    <w:p>
      <w:pPr>
        <w:spacing w:after="0" w:line="360" w:lineRule="auto"/>
        <w:ind w:firstLine="422" w:firstLineChars="200"/>
        <w:rPr>
          <w:rFonts w:ascii="宋体" w:hAnsi="宋体" w:eastAsia="宋体" w:cs="宋体"/>
          <w:b/>
          <w:bCs/>
          <w:color w:val="auto"/>
          <w:sz w:val="21"/>
          <w:szCs w:val="21"/>
          <w:highlight w:val="none"/>
        </w:rPr>
      </w:pPr>
    </w:p>
    <w:p>
      <w:pPr>
        <w:spacing w:after="0" w:line="360" w:lineRule="auto"/>
        <w:ind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注：不满足招标文件中 “★”条款的投标文件将作无效投标处理。</w:t>
      </w:r>
      <w:bookmarkEnd w:id="6"/>
      <w:bookmarkEnd w:id="7"/>
      <w:bookmarkEnd w:id="8"/>
      <w:bookmarkEnd w:id="9"/>
    </w:p>
    <w:p>
      <w:pPr>
        <w:pStyle w:val="4"/>
        <w:spacing w:before="0" w:after="0" w:line="240" w:lineRule="auto"/>
        <w:rPr>
          <w:color w:val="auto"/>
          <w:sz w:val="24"/>
          <w:szCs w:val="24"/>
          <w:highlight w:val="none"/>
        </w:rPr>
      </w:pPr>
      <w:r>
        <w:rPr>
          <w:rFonts w:hint="eastAsia"/>
          <w:color w:val="auto"/>
          <w:sz w:val="24"/>
          <w:szCs w:val="24"/>
          <w:highlight w:val="none"/>
        </w:rPr>
        <w:br w:type="page"/>
      </w:r>
      <w:bookmarkStart w:id="10" w:name="_Toc2479"/>
      <w:r>
        <w:rPr>
          <w:rFonts w:hint="eastAsia"/>
          <w:color w:val="auto"/>
          <w:sz w:val="28"/>
          <w:szCs w:val="28"/>
          <w:highlight w:val="none"/>
        </w:rPr>
        <w:t>第四部分 投标人须知</w:t>
      </w:r>
      <w:bookmarkEnd w:id="10"/>
    </w:p>
    <w:p>
      <w:pPr>
        <w:pStyle w:val="5"/>
        <w:numPr>
          <w:ilvl w:val="0"/>
          <w:numId w:val="2"/>
        </w:numPr>
        <w:spacing w:before="0" w:after="0" w:line="480" w:lineRule="auto"/>
        <w:jc w:val="center"/>
        <w:rPr>
          <w:rFonts w:ascii="宋体" w:hAnsi="宋体" w:eastAsia="宋体"/>
          <w:color w:val="auto"/>
          <w:highlight w:val="none"/>
        </w:rPr>
      </w:pPr>
      <w:bookmarkStart w:id="11" w:name="_Toc19746"/>
      <w:r>
        <w:rPr>
          <w:rFonts w:hint="eastAsia" w:ascii="宋体" w:hAnsi="宋体" w:eastAsia="宋体"/>
          <w:color w:val="auto"/>
          <w:highlight w:val="none"/>
        </w:rPr>
        <w:t>说明</w:t>
      </w:r>
      <w:bookmarkEnd w:id="11"/>
    </w:p>
    <w:p>
      <w:pPr>
        <w:pStyle w:val="6"/>
        <w:widowControl w:val="0"/>
        <w:overflowPunct w:val="0"/>
        <w:spacing w:before="0" w:after="0" w:line="240" w:lineRule="auto"/>
        <w:rPr>
          <w:rFonts w:ascii="宋体" w:hAnsi="宋体" w:eastAsia="宋体"/>
          <w:color w:val="auto"/>
          <w:sz w:val="21"/>
          <w:szCs w:val="21"/>
          <w:highlight w:val="none"/>
        </w:rPr>
      </w:pPr>
      <w:bookmarkStart w:id="12" w:name="_Toc18488"/>
      <w:r>
        <w:rPr>
          <w:rFonts w:hint="eastAsia" w:ascii="宋体" w:hAnsi="宋体" w:eastAsia="宋体"/>
          <w:color w:val="auto"/>
          <w:sz w:val="21"/>
          <w:szCs w:val="21"/>
          <w:highlight w:val="none"/>
        </w:rPr>
        <w:t>1.适用范围</w:t>
      </w:r>
      <w:bookmarkEnd w:id="12"/>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招标范围：见本文件《用户需求书》</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13" w:name="_Toc13400"/>
      <w:r>
        <w:rPr>
          <w:rFonts w:hint="eastAsia" w:ascii="宋体" w:hAnsi="宋体" w:eastAsia="宋体"/>
          <w:color w:val="auto"/>
          <w:sz w:val="21"/>
          <w:szCs w:val="21"/>
          <w:highlight w:val="none"/>
        </w:rPr>
        <w:t>2.</w:t>
      </w:r>
      <w:bookmarkStart w:id="14" w:name="_Toc1530"/>
      <w:bookmarkStart w:id="15" w:name="_Toc382049092"/>
      <w:bookmarkStart w:id="16" w:name="_Toc303084246"/>
      <w:bookmarkStart w:id="17" w:name="_Toc298847174"/>
      <w:r>
        <w:rPr>
          <w:rFonts w:hint="eastAsia" w:ascii="宋体" w:hAnsi="宋体" w:eastAsia="宋体"/>
          <w:color w:val="auto"/>
          <w:sz w:val="21"/>
          <w:szCs w:val="21"/>
          <w:highlight w:val="none"/>
        </w:rPr>
        <w:t>定义</w:t>
      </w:r>
      <w:bookmarkEnd w:id="13"/>
      <w:bookmarkEnd w:id="14"/>
      <w:bookmarkEnd w:id="15"/>
      <w:bookmarkEnd w:id="16"/>
      <w:bookmarkEnd w:id="17"/>
    </w:p>
    <w:p>
      <w:pPr>
        <w:pStyle w:val="28"/>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是指依法进行政府采购的国家机关、事业单位</w:t>
      </w:r>
      <w:r>
        <w:rPr>
          <w:rFonts w:hint="eastAsia" w:ascii="宋体" w:hAnsi="宋体" w:eastAsia="宋体"/>
          <w:color w:val="auto"/>
          <w:sz w:val="21"/>
          <w:szCs w:val="21"/>
          <w:highlight w:val="none"/>
        </w:rPr>
        <w:t>等</w:t>
      </w:r>
      <w:r>
        <w:rPr>
          <w:rFonts w:ascii="宋体" w:hAnsi="宋体" w:eastAsia="宋体"/>
          <w:color w:val="auto"/>
          <w:sz w:val="21"/>
          <w:szCs w:val="21"/>
          <w:highlight w:val="none"/>
        </w:rPr>
        <w:t>团体组织</w:t>
      </w:r>
      <w:r>
        <w:rPr>
          <w:rFonts w:hint="eastAsia" w:ascii="宋体" w:hAnsi="宋体" w:eastAsia="宋体"/>
          <w:color w:val="auto"/>
          <w:sz w:val="21"/>
          <w:szCs w:val="21"/>
          <w:highlight w:val="none"/>
        </w:rPr>
        <w:t>。</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投标人：响应招标并且符合招标文件规定资格条件和参加投标竞争的法人、其他组织或者自然人。</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法人：法人是依法在国内进行注册并具有民事权利能力和民事行为能力，依法独立享有民事权利和承担民事义务的组织。</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中标人：指经评标委员会评审推荐、采购人确认的获得本项目中标资格的投标人。</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采购代理机构：广东政通招标有限公司。</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评标委员会：评标委员会是依据《中华人民共和国政府采购法》及其实施条例、《政府采购货物和服务招标投标管理办法》等组建的专门负责本次招标其评标工作的临时性机构。</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合同：指由本次招标所产生的合同或合约文件。</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公章：</w:t>
      </w:r>
      <w:r>
        <w:rPr>
          <w:rFonts w:ascii="宋体" w:hAnsi="宋体" w:eastAsia="宋体"/>
          <w:color w:val="auto"/>
          <w:sz w:val="21"/>
          <w:szCs w:val="21"/>
          <w:highlight w:val="none"/>
        </w:rPr>
        <w:t>公章是</w:t>
      </w:r>
      <w:r>
        <w:rPr>
          <w:rFonts w:ascii="宋体" w:hAnsi="宋体" w:eastAsia="宋体"/>
          <w:iCs/>
          <w:color w:val="auto"/>
          <w:sz w:val="21"/>
          <w:szCs w:val="21"/>
          <w:highlight w:val="none"/>
        </w:rPr>
        <w:t>指</w:t>
      </w:r>
      <w:r>
        <w:rPr>
          <w:rFonts w:hint="eastAsia" w:ascii="宋体" w:hAnsi="宋体" w:eastAsia="宋体"/>
          <w:iCs/>
          <w:color w:val="auto"/>
          <w:sz w:val="21"/>
          <w:szCs w:val="21"/>
          <w:highlight w:val="none"/>
        </w:rPr>
        <w:t>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eastAsia="宋体"/>
          <w:color w:val="auto"/>
          <w:sz w:val="21"/>
          <w:szCs w:val="21"/>
          <w:highlight w:val="none"/>
        </w:rPr>
        <w:t>）</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时间</w:t>
      </w:r>
      <w:r>
        <w:rPr>
          <w:rFonts w:hint="eastAsia" w:ascii="宋体" w:hAnsi="宋体" w:eastAsia="宋体"/>
          <w:iCs/>
          <w:color w:val="auto"/>
          <w:sz w:val="21"/>
          <w:szCs w:val="21"/>
          <w:highlight w:val="none"/>
        </w:rPr>
        <w:t>：本文件规定按日计算期间的，开始当天不计入，从次日开始计算。期限的最后一日是国家法定节假日的，顺延到节假日后的次日为期限的最后一日。</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18" w:name="_Toc3780"/>
      <w:r>
        <w:rPr>
          <w:rFonts w:hint="eastAsia" w:ascii="宋体" w:hAnsi="宋体" w:eastAsia="宋体"/>
          <w:color w:val="auto"/>
          <w:sz w:val="21"/>
          <w:szCs w:val="21"/>
          <w:highlight w:val="none"/>
        </w:rPr>
        <w:t>3.货物和服务</w:t>
      </w:r>
      <w:bookmarkEnd w:id="18"/>
    </w:p>
    <w:p>
      <w:pPr>
        <w:pStyle w:val="28"/>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货物</w:t>
      </w:r>
      <w:r>
        <w:rPr>
          <w:rFonts w:ascii="宋体" w:hAnsi="宋体" w:eastAsia="宋体"/>
          <w:color w:val="auto"/>
          <w:sz w:val="21"/>
          <w:szCs w:val="21"/>
          <w:highlight w:val="none"/>
        </w:rPr>
        <w:t>是指各种形态和种类的物品，包括原材料、燃料、设备、产品等</w:t>
      </w:r>
      <w:r>
        <w:rPr>
          <w:rFonts w:hint="eastAsia" w:ascii="宋体" w:hAnsi="宋体" w:eastAsia="宋体"/>
          <w:color w:val="auto"/>
          <w:sz w:val="21"/>
          <w:szCs w:val="21"/>
          <w:highlight w:val="none"/>
        </w:rPr>
        <w:t>。</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服务是指</w:t>
      </w:r>
      <w:r>
        <w:rPr>
          <w:rFonts w:ascii="宋体" w:hAnsi="宋体" w:eastAsia="宋体"/>
          <w:color w:val="auto"/>
          <w:sz w:val="21"/>
          <w:szCs w:val="21"/>
          <w:highlight w:val="none"/>
        </w:rPr>
        <w:t>除货物和工程以外的其他政府采购对象</w:t>
      </w:r>
      <w:r>
        <w:rPr>
          <w:rFonts w:hint="eastAsia" w:ascii="宋体" w:hAnsi="宋体" w:eastAsia="宋体"/>
          <w:color w:val="auto"/>
          <w:sz w:val="21"/>
          <w:szCs w:val="21"/>
          <w:highlight w:val="none"/>
        </w:rPr>
        <w:t>。</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19" w:name="_Toc15945"/>
      <w:r>
        <w:rPr>
          <w:rFonts w:hint="eastAsia" w:ascii="宋体" w:hAnsi="宋体" w:eastAsia="宋体"/>
          <w:color w:val="auto"/>
          <w:sz w:val="21"/>
          <w:szCs w:val="21"/>
          <w:highlight w:val="none"/>
        </w:rPr>
        <w:t>4.投标费用</w:t>
      </w:r>
      <w:bookmarkEnd w:id="19"/>
    </w:p>
    <w:p>
      <w:pPr>
        <w:pStyle w:val="28"/>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投标人应承担所有与编写投标文件和参加投标有关的自身的所有费用，不论投标的结果如何，采购代理机构和采购人在任何情况下均无义务和责任承担这些费用。</w:t>
      </w:r>
    </w:p>
    <w:p>
      <w:pPr>
        <w:widowControl w:val="0"/>
        <w:adjustRightInd/>
        <w:snapToGrid/>
        <w:spacing w:after="0" w:line="360" w:lineRule="exact"/>
        <w:jc w:val="both"/>
        <w:rPr>
          <w:rFonts w:ascii="宋体" w:hAnsi="宋体" w:eastAsia="宋体"/>
          <w:color w:val="auto"/>
          <w:sz w:val="21"/>
          <w:szCs w:val="21"/>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20" w:name="_Toc25040"/>
      <w:r>
        <w:rPr>
          <w:rFonts w:hint="eastAsia" w:ascii="宋体" w:hAnsi="宋体" w:eastAsia="宋体"/>
          <w:color w:val="auto"/>
          <w:sz w:val="21"/>
          <w:szCs w:val="21"/>
          <w:highlight w:val="none"/>
        </w:rPr>
        <w:t>5.知识产权</w:t>
      </w:r>
      <w:bookmarkEnd w:id="20"/>
    </w:p>
    <w:p>
      <w:pPr>
        <w:pStyle w:val="28"/>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采购人享有本项目实施过程中产生的知识成果及知识产权。</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投标人如欲在项目实施过程中采用自有知识成果，需在投标文件中声明，并提供相关知识产权证明文件。使用该知识成果后，投标人需提供开发接口和开发手册等技术文档。</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采购货物为计算机办公设备时，投标人提供的产品必须是预装正版操作系统软件的计算机产品。</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投标人提供的服务、货物经认定存在侵权行为的，其投标无效，并上报相关监管部门。</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21" w:name="_Toc21930"/>
      <w:r>
        <w:rPr>
          <w:rFonts w:hint="eastAsia" w:ascii="宋体" w:hAnsi="宋体" w:eastAsia="宋体"/>
          <w:color w:val="auto"/>
          <w:sz w:val="21"/>
          <w:szCs w:val="21"/>
          <w:highlight w:val="none"/>
        </w:rPr>
        <w:t>6.关于联合体投标</w:t>
      </w:r>
      <w:bookmarkEnd w:id="21"/>
    </w:p>
    <w:p>
      <w:pPr>
        <w:pStyle w:val="28"/>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对接受联合体投标的项目：两个以上的自然人、法人或者其他组织可以组成一个联合体，以一个投标人的身份共同参加政府采购。</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以联合体形式参与项目的供应商在领购招标文件时，应提供所有联合体组成成员的营业执照复印件，并加盖各联合体组成成员的公章。</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联合体各方均应当符合《政府采购法》第二十二条规定的条件。</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采购人根据采购项目的特殊要求规定投标人特定条件的，联合体各方中至少应当有一方符合采购人规定的特定条件。</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联合体各方之间应当签订共同投标协议并</w:t>
      </w:r>
      <w:r>
        <w:rPr>
          <w:rFonts w:ascii="宋体" w:hAnsi="宋体" w:eastAsia="宋体"/>
          <w:color w:val="auto"/>
          <w:sz w:val="21"/>
          <w:szCs w:val="21"/>
          <w:highlight w:val="none"/>
        </w:rPr>
        <w:t>在投标文件内提交</w:t>
      </w:r>
      <w:r>
        <w:rPr>
          <w:rFonts w:hint="eastAsia" w:ascii="宋体" w:hAnsi="宋体" w:eastAsia="宋体"/>
          <w:color w:val="auto"/>
          <w:sz w:val="21"/>
          <w:szCs w:val="21"/>
          <w:highlight w:val="none"/>
        </w:rPr>
        <w:t>，明确约定联合体各方承担的工作和相应的责任。联合体各方签订共同投标协议后，不得再以自己名义单独在同一项目中投标，也不得组成新的联合体参加同一项目投标。</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供应商为联合体的，可以由联合体中的任意一方交纳保证金，其交纳的保证金对联合体各方均具有约束力。</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联合体中有同类资质的投标人按照联合体分工承担相同工作的，应当按照资质等级较低的供应商确定资质等级。</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以联合体形式参加政府采购活动，联合体各方均为中小企业的，联合体视同中小企业。其中，联合体各方均为小微企业的，联合体视同小微企业。双方均应提供《中小企业声明函》。</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除联合体协议明确授权盖章单位外，联合体投标时投标文件中所有要求盖章的地方均须加盖联合体所有组成成员的公章，否则该处盖章无效。</w:t>
      </w:r>
    </w:p>
    <w:p>
      <w:pPr>
        <w:widowControl w:val="0"/>
        <w:numPr>
          <w:ilvl w:val="1"/>
          <w:numId w:val="3"/>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联合体进行评分时，业绩、奖项等的认定和评分根据共同投标协议约定的各方承担的工作和相应责任，确定一方打分，不累加打分；评审标准不明确或难以明确以哪一方计算评分情况时，则按主体方情况评分。</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22" w:name="_Toc16571"/>
      <w:r>
        <w:rPr>
          <w:rFonts w:hint="eastAsia" w:ascii="宋体" w:hAnsi="宋体" w:eastAsia="宋体"/>
          <w:color w:val="auto"/>
          <w:sz w:val="21"/>
          <w:szCs w:val="21"/>
          <w:highlight w:val="none"/>
        </w:rPr>
        <w:t>7.关于分支机构投标</w:t>
      </w:r>
      <w:bookmarkEnd w:id="22"/>
    </w:p>
    <w:p>
      <w:pPr>
        <w:pStyle w:val="28"/>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bookmarkStart w:id="23" w:name="EB389f116341dd4693875bc7987e7327f3"/>
    </w:p>
    <w:p>
      <w:pPr>
        <w:widowControl w:val="0"/>
        <w:numPr>
          <w:ilvl w:val="1"/>
          <w:numId w:val="3"/>
        </w:numPr>
        <w:adjustRightInd/>
        <w:snapToGrid/>
        <w:spacing w:after="0"/>
        <w:jc w:val="both"/>
        <w:rPr>
          <w:rFonts w:ascii="宋体" w:hAnsi="宋体" w:eastAsia="宋体"/>
          <w:color w:val="auto"/>
          <w:sz w:val="21"/>
          <w:szCs w:val="21"/>
          <w:highlight w:val="none"/>
        </w:rPr>
      </w:pPr>
      <w:r>
        <w:rPr>
          <w:rFonts w:ascii="宋体" w:hAnsi="宋体" w:eastAsia="宋体"/>
          <w:color w:val="auto"/>
          <w:sz w:val="21"/>
          <w:szCs w:val="21"/>
          <w:highlight w:val="none"/>
        </w:rPr>
        <w:t>对可接受</w:t>
      </w:r>
      <w:r>
        <w:rPr>
          <w:rFonts w:hint="eastAsia" w:ascii="宋体" w:hAnsi="宋体" w:eastAsia="宋体"/>
          <w:color w:val="auto"/>
          <w:sz w:val="21"/>
          <w:szCs w:val="21"/>
          <w:highlight w:val="none"/>
        </w:rPr>
        <w:t>分支机构</w:t>
      </w:r>
      <w:r>
        <w:rPr>
          <w:rFonts w:ascii="宋体" w:hAnsi="宋体" w:eastAsia="宋体"/>
          <w:color w:val="auto"/>
          <w:sz w:val="21"/>
          <w:szCs w:val="21"/>
          <w:highlight w:val="none"/>
        </w:rPr>
        <w:t>投标的项目，</w:t>
      </w:r>
      <w:r>
        <w:rPr>
          <w:rFonts w:hint="eastAsia" w:ascii="宋体" w:hAnsi="宋体" w:eastAsia="宋体"/>
          <w:color w:val="auto"/>
          <w:sz w:val="21"/>
          <w:szCs w:val="21"/>
          <w:highlight w:val="none"/>
        </w:rPr>
        <w:t>分支机构</w:t>
      </w:r>
      <w:r>
        <w:rPr>
          <w:rFonts w:ascii="宋体" w:hAnsi="宋体" w:eastAsia="宋体"/>
          <w:color w:val="auto"/>
          <w:sz w:val="21"/>
          <w:szCs w:val="21"/>
          <w:highlight w:val="none"/>
        </w:rPr>
        <w:t>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23"/>
    </w:p>
    <w:p>
      <w:pPr>
        <w:rPr>
          <w:color w:val="auto"/>
          <w:highlight w:val="none"/>
        </w:rPr>
      </w:pPr>
    </w:p>
    <w:p>
      <w:pPr>
        <w:pStyle w:val="5"/>
        <w:numPr>
          <w:ilvl w:val="0"/>
          <w:numId w:val="2"/>
        </w:numPr>
        <w:spacing w:before="0" w:after="0" w:line="480" w:lineRule="auto"/>
        <w:jc w:val="center"/>
        <w:rPr>
          <w:rFonts w:ascii="宋体" w:hAnsi="宋体" w:eastAsia="宋体"/>
          <w:color w:val="auto"/>
          <w:highlight w:val="none"/>
        </w:rPr>
      </w:pPr>
      <w:bookmarkStart w:id="24" w:name="_Toc17879"/>
      <w:r>
        <w:rPr>
          <w:rFonts w:hint="eastAsia" w:ascii="宋体" w:hAnsi="宋体" w:eastAsia="宋体"/>
          <w:color w:val="auto"/>
          <w:highlight w:val="none"/>
        </w:rPr>
        <w:t>招标文件</w:t>
      </w:r>
      <w:bookmarkEnd w:id="24"/>
    </w:p>
    <w:p>
      <w:pPr>
        <w:pStyle w:val="6"/>
        <w:widowControl w:val="0"/>
        <w:overflowPunct w:val="0"/>
        <w:spacing w:before="0" w:after="0" w:line="240" w:lineRule="auto"/>
        <w:rPr>
          <w:rFonts w:ascii="宋体" w:hAnsi="宋体" w:eastAsia="宋体"/>
          <w:color w:val="auto"/>
          <w:sz w:val="21"/>
          <w:szCs w:val="21"/>
          <w:highlight w:val="none"/>
        </w:rPr>
      </w:pPr>
      <w:bookmarkStart w:id="25" w:name="_Toc21771"/>
      <w:r>
        <w:rPr>
          <w:rFonts w:hint="eastAsia" w:ascii="宋体" w:hAnsi="宋体" w:eastAsia="宋体"/>
          <w:color w:val="auto"/>
          <w:sz w:val="21"/>
          <w:szCs w:val="21"/>
          <w:highlight w:val="none"/>
        </w:rPr>
        <w:t>8.招标文件的组成</w:t>
      </w:r>
      <w:bookmarkEnd w:id="25"/>
    </w:p>
    <w:p>
      <w:pPr>
        <w:pStyle w:val="28"/>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（1）投标邀请书；</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（2）投标资料表；</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（3）用户需求书；</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（4）投标人须知；</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（5）合同文本参考格式；</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（6）投标文件参考格式；</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（7）在招标过程中由采购代理机构发出的澄清更正文件等。</w:t>
      </w:r>
    </w:p>
    <w:p>
      <w:pPr>
        <w:spacing w:after="0"/>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26" w:name="_Toc14217"/>
      <w:r>
        <w:rPr>
          <w:rFonts w:hint="eastAsia" w:ascii="宋体" w:hAnsi="宋体" w:eastAsia="宋体"/>
          <w:color w:val="auto"/>
          <w:sz w:val="21"/>
          <w:szCs w:val="21"/>
          <w:highlight w:val="none"/>
        </w:rPr>
        <w:t>9.招标文件的澄清或修改</w:t>
      </w:r>
      <w:bookmarkEnd w:id="26"/>
    </w:p>
    <w:p>
      <w:pPr>
        <w:pStyle w:val="28"/>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采购人或者采购代理机构可以对已发出的招标文件、资格预审文件、投标邀请书进行必要的澄清或者修改。澄清或者修改的内容为招标文件、资格预审文件、投标邀请书的组成部分，</w:t>
      </w:r>
      <w:r>
        <w:rPr>
          <w:rFonts w:ascii="宋体" w:hAnsi="宋体" w:eastAsia="宋体"/>
          <w:color w:val="auto"/>
          <w:sz w:val="21"/>
          <w:szCs w:val="21"/>
          <w:highlight w:val="none"/>
        </w:rPr>
        <w:t>具有约束作用</w:t>
      </w:r>
      <w:r>
        <w:rPr>
          <w:rFonts w:hint="eastAsia" w:ascii="宋体" w:hAnsi="宋体" w:eastAsia="宋体"/>
          <w:color w:val="auto"/>
          <w:sz w:val="21"/>
          <w:szCs w:val="21"/>
          <w:highlight w:val="none"/>
        </w:rPr>
        <w:t>。</w:t>
      </w:r>
      <w:r>
        <w:rPr>
          <w:rFonts w:ascii="宋体" w:hAnsi="宋体" w:eastAsia="宋体"/>
          <w:color w:val="auto"/>
          <w:sz w:val="21"/>
          <w:szCs w:val="21"/>
          <w:highlight w:val="none"/>
        </w:rPr>
        <w:t>当招标文件、招标文件的澄清</w:t>
      </w:r>
      <w:r>
        <w:rPr>
          <w:rFonts w:hint="eastAsia" w:ascii="宋体" w:hAnsi="宋体" w:eastAsia="宋体"/>
          <w:color w:val="auto"/>
          <w:sz w:val="21"/>
          <w:szCs w:val="21"/>
          <w:highlight w:val="none"/>
        </w:rPr>
        <w:t>或</w:t>
      </w:r>
      <w:r>
        <w:rPr>
          <w:rFonts w:ascii="宋体" w:hAnsi="宋体" w:eastAsia="宋体"/>
          <w:color w:val="auto"/>
          <w:sz w:val="21"/>
          <w:szCs w:val="21"/>
          <w:highlight w:val="none"/>
        </w:rPr>
        <w:t>修改等在同一内容的表述上不一致时，以最后发出的书面文件</w:t>
      </w:r>
      <w:r>
        <w:rPr>
          <w:rFonts w:hint="eastAsia" w:ascii="宋体" w:hAnsi="宋体" w:eastAsia="宋体"/>
          <w:color w:val="auto"/>
          <w:sz w:val="21"/>
          <w:szCs w:val="21"/>
          <w:highlight w:val="none"/>
        </w:rPr>
        <w:t>及公告</w:t>
      </w:r>
      <w:r>
        <w:rPr>
          <w:rFonts w:ascii="宋体" w:hAnsi="宋体" w:eastAsia="宋体"/>
          <w:color w:val="auto"/>
          <w:sz w:val="21"/>
          <w:szCs w:val="21"/>
          <w:highlight w:val="none"/>
        </w:rPr>
        <w:t>为准。</w:t>
      </w:r>
    </w:p>
    <w:p>
      <w:pPr>
        <w:widowControl w:val="0"/>
        <w:numPr>
          <w:ilvl w:val="1"/>
          <w:numId w:val="3"/>
        </w:numPr>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招标期间，投标人有义务上网查看，公告一经上网发布，即视为送达。因投标人未及时上网查看而造成的所有后果，由投标人自行承担。</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5"/>
        <w:numPr>
          <w:ilvl w:val="0"/>
          <w:numId w:val="2"/>
        </w:numPr>
        <w:spacing w:before="0" w:after="0" w:line="480" w:lineRule="auto"/>
        <w:jc w:val="center"/>
        <w:rPr>
          <w:rFonts w:ascii="宋体" w:hAnsi="宋体" w:eastAsia="宋体"/>
          <w:color w:val="auto"/>
          <w:highlight w:val="none"/>
        </w:rPr>
      </w:pPr>
      <w:bookmarkStart w:id="27" w:name="_Toc23726"/>
      <w:r>
        <w:rPr>
          <w:rFonts w:hint="eastAsia" w:ascii="宋体" w:hAnsi="宋体" w:eastAsia="宋体"/>
          <w:color w:val="auto"/>
          <w:highlight w:val="none"/>
        </w:rPr>
        <w:t>投标文件的编制</w:t>
      </w:r>
      <w:bookmarkEnd w:id="27"/>
    </w:p>
    <w:p>
      <w:pPr>
        <w:pStyle w:val="6"/>
        <w:widowControl w:val="0"/>
        <w:overflowPunct w:val="0"/>
        <w:spacing w:before="0" w:after="0" w:line="240" w:lineRule="auto"/>
        <w:rPr>
          <w:rFonts w:ascii="宋体" w:hAnsi="宋体" w:eastAsia="宋体"/>
          <w:color w:val="auto"/>
          <w:sz w:val="21"/>
          <w:szCs w:val="21"/>
          <w:highlight w:val="none"/>
        </w:rPr>
      </w:pPr>
      <w:bookmarkStart w:id="28" w:name="_Toc20623"/>
      <w:r>
        <w:rPr>
          <w:rFonts w:hint="eastAsia" w:ascii="宋体" w:hAnsi="宋体" w:eastAsia="宋体"/>
          <w:color w:val="auto"/>
          <w:sz w:val="21"/>
          <w:szCs w:val="21"/>
          <w:highlight w:val="none"/>
        </w:rPr>
        <w:t>10.投标文件的语言及度量衡单位</w:t>
      </w:r>
      <w:bookmarkEnd w:id="28"/>
    </w:p>
    <w:p>
      <w:pPr>
        <w:pStyle w:val="28"/>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除非招标文件在技术规格中另有规定，投标人在投标文件中及其与采购代理机构和采购人所有往来文件中的所有</w:t>
      </w:r>
      <w:r>
        <w:rPr>
          <w:rFonts w:ascii="宋体" w:hAnsi="宋体" w:eastAsia="宋体"/>
          <w:color w:val="auto"/>
          <w:sz w:val="21"/>
          <w:szCs w:val="21"/>
          <w:highlight w:val="none"/>
        </w:rPr>
        <w:t>计量单位</w:t>
      </w:r>
      <w:r>
        <w:rPr>
          <w:rFonts w:hint="eastAsia" w:ascii="宋体" w:hAnsi="宋体" w:eastAsia="宋体"/>
          <w:color w:val="auto"/>
          <w:sz w:val="21"/>
          <w:szCs w:val="21"/>
          <w:highlight w:val="none"/>
        </w:rPr>
        <w:t>均应采用中华人民共和国法定计量单位</w:t>
      </w:r>
      <w:r>
        <w:rPr>
          <w:rFonts w:ascii="宋体" w:hAnsi="宋体" w:eastAsia="宋体"/>
          <w:color w:val="auto"/>
          <w:sz w:val="21"/>
          <w:szCs w:val="21"/>
          <w:highlight w:val="none"/>
        </w:rPr>
        <w:t>。</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29" w:name="_Toc28866"/>
      <w:bookmarkStart w:id="30" w:name="_Toc12145"/>
      <w:bookmarkStart w:id="31" w:name="_Toc303084256"/>
      <w:bookmarkStart w:id="32" w:name="_Toc382049103"/>
      <w:bookmarkStart w:id="33" w:name="_Toc307934854"/>
      <w:r>
        <w:rPr>
          <w:rFonts w:hint="eastAsia" w:ascii="宋体" w:hAnsi="宋体" w:eastAsia="宋体"/>
          <w:color w:val="auto"/>
          <w:sz w:val="21"/>
          <w:szCs w:val="21"/>
          <w:highlight w:val="none"/>
        </w:rPr>
        <w:t>11.</w:t>
      </w:r>
      <w:r>
        <w:rPr>
          <w:rFonts w:ascii="宋体" w:hAnsi="宋体" w:eastAsia="宋体"/>
          <w:color w:val="auto"/>
          <w:sz w:val="21"/>
          <w:szCs w:val="21"/>
          <w:highlight w:val="none"/>
        </w:rPr>
        <w:t>投标文件的组成</w:t>
      </w:r>
      <w:bookmarkEnd w:id="29"/>
      <w:bookmarkEnd w:id="30"/>
      <w:bookmarkEnd w:id="31"/>
      <w:bookmarkEnd w:id="32"/>
      <w:bookmarkEnd w:id="33"/>
    </w:p>
    <w:p>
      <w:pPr>
        <w:pStyle w:val="28"/>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包括但不限于招标文件附件格式中要求提供的表格。</w:t>
      </w:r>
    </w:p>
    <w:p>
      <w:pPr>
        <w:widowControl w:val="0"/>
        <w:numPr>
          <w:ilvl w:val="1"/>
          <w:numId w:val="3"/>
        </w:numPr>
        <w:adjustRightInd/>
        <w:snapToGrid/>
        <w:spacing w:after="0" w:line="360" w:lineRule="exact"/>
        <w:jc w:val="both"/>
        <w:rPr>
          <w:color w:val="auto"/>
          <w:highlight w:val="none"/>
        </w:rPr>
      </w:pPr>
      <w:r>
        <w:rPr>
          <w:rFonts w:hint="eastAsia" w:ascii="宋体" w:hAnsi="宋体" w:eastAsia="宋体"/>
          <w:color w:val="auto"/>
          <w:sz w:val="21"/>
          <w:szCs w:val="21"/>
          <w:highlight w:val="none"/>
        </w:rPr>
        <w:t>上述文件须按顺序装订成册，并编制投标文件目录。除上述文件资料外投标人还须按投标人须知的要求制作“开标文件”。“开标文件”作为投标文件的一部分，但须单独密封。</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34" w:name="_Toc30189"/>
      <w:r>
        <w:rPr>
          <w:rFonts w:hint="eastAsia" w:ascii="宋体" w:hAnsi="宋体" w:eastAsia="宋体"/>
          <w:color w:val="auto"/>
          <w:sz w:val="21"/>
          <w:szCs w:val="21"/>
          <w:highlight w:val="none"/>
        </w:rPr>
        <w:t>12.投标文件编制</w:t>
      </w:r>
      <w:bookmarkEnd w:id="34"/>
    </w:p>
    <w:p>
      <w:pPr>
        <w:pStyle w:val="28"/>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bookmarkStart w:id="35" w:name="_Toc303084258"/>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投标人应按招标文件的规定以及附件要求的内容和格式完整地填写</w:t>
      </w:r>
      <w:r>
        <w:rPr>
          <w:rFonts w:ascii="宋体" w:hAnsi="宋体" w:eastAsia="宋体"/>
          <w:color w:val="auto"/>
          <w:sz w:val="21"/>
          <w:szCs w:val="21"/>
          <w:highlight w:val="none"/>
        </w:rPr>
        <w:t>（表格可以按同样格式扩展）</w:t>
      </w:r>
      <w:r>
        <w:rPr>
          <w:rFonts w:hint="eastAsia" w:ascii="宋体" w:hAnsi="宋体" w:eastAsia="宋体"/>
          <w:color w:val="auto"/>
          <w:sz w:val="21"/>
          <w:szCs w:val="21"/>
          <w:highlight w:val="none"/>
        </w:rPr>
        <w:t>和提供资料，投标人必须对投标文件所提供的全部材料的真实性承担法律责任，并无条件接受采购人或采购代理机构及政府采购监督管理部门等对其中任何资料进行核实的要求。</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因投标文件编制存在歧义对投标人产生负面影响的，投标人自行承担后果。</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投标单位名称与投标人公章不一致，若投标单位名称已进行变更，应在投标文件中提供相应的证明材料并加盖公章，否则投标文件无效。</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投标文件密封、标记及内容与本项目采购信息不符，导致无法分辨所投项目为本项目的，投标文件无效。</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投标文件若出现以下内容，经评标委员会认定有可能间接影响评审秩序，其投标无效：</w:t>
      </w:r>
    </w:p>
    <w:p>
      <w:pPr>
        <w:pStyle w:val="28"/>
        <w:widowControl w:val="0"/>
        <w:adjustRightInd/>
        <w:snapToGrid/>
        <w:spacing w:after="0" w:line="360" w:lineRule="exact"/>
        <w:ind w:firstLine="0" w:firstLineChars="0"/>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（1）投标文件内出现无官方证明文件的行业地域排名或</w:t>
      </w:r>
      <w:r>
        <w:rPr>
          <w:rFonts w:ascii="宋体" w:hAnsi="宋体" w:eastAsia="宋体"/>
          <w:color w:val="auto"/>
          <w:sz w:val="21"/>
          <w:szCs w:val="21"/>
          <w:highlight w:val="none"/>
        </w:rPr>
        <w:t>使用“国家级”、“最高级”、“最佳”等用语</w:t>
      </w:r>
      <w:r>
        <w:rPr>
          <w:rFonts w:hint="eastAsia" w:ascii="宋体" w:hAnsi="宋体" w:eastAsia="宋体"/>
          <w:color w:val="auto"/>
          <w:sz w:val="21"/>
          <w:szCs w:val="21"/>
          <w:highlight w:val="none"/>
        </w:rPr>
        <w:t>字眼的。</w:t>
      </w:r>
    </w:p>
    <w:p>
      <w:pPr>
        <w:pStyle w:val="28"/>
        <w:widowControl w:val="0"/>
        <w:adjustRightInd/>
        <w:snapToGrid/>
        <w:spacing w:after="0" w:line="360" w:lineRule="exact"/>
        <w:ind w:firstLine="0" w:firstLineChars="0"/>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（2）投标文件内出现恶意诋毁、</w:t>
      </w:r>
      <w:r>
        <w:rPr>
          <w:rFonts w:ascii="宋体" w:hAnsi="宋体" w:eastAsia="宋体"/>
          <w:color w:val="auto"/>
          <w:sz w:val="21"/>
          <w:szCs w:val="21"/>
          <w:highlight w:val="none"/>
        </w:rPr>
        <w:t>贬低其他生产经营者的商品或者服务</w:t>
      </w:r>
      <w:r>
        <w:rPr>
          <w:rFonts w:hint="eastAsia" w:ascii="宋体" w:hAnsi="宋体" w:eastAsia="宋体"/>
          <w:color w:val="auto"/>
          <w:sz w:val="21"/>
          <w:szCs w:val="21"/>
          <w:highlight w:val="none"/>
        </w:rPr>
        <w:t>的内容。</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有下列情形之一的，视为投标人串通投标，其投标无效：</w:t>
      </w:r>
    </w:p>
    <w:bookmarkEnd w:id="35"/>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（一）不同投标人的投标文件由同一单位或者个人编制；</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（二）不同投标人委托同一单位或者个人办理投标事宜；</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（三）不同投标人的投标文件载明的项目管理成员或者联系人员为同一人；</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（四）不同投标人的投标文件异常一致或者投标报价呈规律性差异；</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（五）不同投标人的投标文件相互混装；</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（六）不同投标人的投标保证金从同一单位或者个人的账户转出。</w:t>
      </w:r>
    </w:p>
    <w:p>
      <w:pPr>
        <w:widowControl w:val="0"/>
        <w:adjustRightInd/>
        <w:snapToGrid/>
        <w:spacing w:after="0" w:line="360" w:lineRule="exact"/>
        <w:jc w:val="both"/>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36" w:name="_Toc259"/>
      <w:r>
        <w:rPr>
          <w:rFonts w:hint="eastAsia" w:ascii="宋体" w:hAnsi="宋体" w:eastAsia="宋体"/>
          <w:color w:val="auto"/>
          <w:sz w:val="21"/>
          <w:szCs w:val="21"/>
          <w:highlight w:val="none"/>
        </w:rPr>
        <w:t>13.投标报价说明</w:t>
      </w:r>
      <w:bookmarkEnd w:id="36"/>
    </w:p>
    <w:p>
      <w:pPr>
        <w:pStyle w:val="28"/>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本次招标，投标人应按用户需求中的要求进行投标报价，少报无效。</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投标人所提供的货物或服务均以人民币（或相关费率）报价。</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投标报价应包含完成本次招标所有服务内容的费用，包含各种税务费及合同实施过程中的全部费用和售后服务费等。</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中标后开出的所有发票必须与中标人的名称一致。</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37" w:name="_Toc27724"/>
      <w:r>
        <w:rPr>
          <w:rFonts w:hint="eastAsia" w:ascii="宋体" w:hAnsi="宋体" w:eastAsia="宋体"/>
          <w:color w:val="auto"/>
          <w:sz w:val="21"/>
          <w:szCs w:val="21"/>
          <w:highlight w:val="none"/>
        </w:rPr>
        <w:t>14.投标人所提供的服务或货物的证明文件</w:t>
      </w:r>
      <w:bookmarkEnd w:id="37"/>
    </w:p>
    <w:p>
      <w:pPr>
        <w:pStyle w:val="28"/>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bookmarkStart w:id="38" w:name="_Hlt107925668"/>
      <w:bookmarkEnd w:id="38"/>
      <w:bookmarkStart w:id="39" w:name="_Hlt107925638"/>
      <w:bookmarkEnd w:id="39"/>
      <w:r>
        <w:rPr>
          <w:rFonts w:hint="eastAsia" w:ascii="宋体" w:hAnsi="宋体" w:eastAsia="宋体"/>
          <w:color w:val="auto"/>
          <w:sz w:val="21"/>
          <w:szCs w:val="21"/>
          <w:highlight w:val="none"/>
        </w:rPr>
        <w:t>证明服务或货物的文件，它可以是文字资料、图纸和数据包括但不限于：服务主要内容、标准、质量、人员资质、计划安排、报告审核等的详细说明；对招标文件第三部分《用户需求书》中规定的要求进行详细应答和说明。</w:t>
      </w:r>
    </w:p>
    <w:p>
      <w:pPr>
        <w:pStyle w:val="28"/>
        <w:widowControl w:val="0"/>
        <w:adjustRightInd/>
        <w:snapToGrid/>
        <w:spacing w:after="0" w:line="360" w:lineRule="exact"/>
        <w:ind w:left="425" w:firstLine="0" w:firstLineChars="0"/>
        <w:jc w:val="both"/>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40" w:name="_Toc19520"/>
      <w:r>
        <w:rPr>
          <w:rFonts w:hint="eastAsia" w:ascii="宋体" w:hAnsi="宋体" w:eastAsia="宋体"/>
          <w:color w:val="auto"/>
          <w:sz w:val="21"/>
          <w:szCs w:val="21"/>
          <w:highlight w:val="none"/>
        </w:rPr>
        <w:t>15.★投标有效期</w:t>
      </w:r>
      <w:bookmarkEnd w:id="40"/>
    </w:p>
    <w:p>
      <w:pPr>
        <w:pStyle w:val="28"/>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投标文件应根据投标人须知的规定在投标截止日后的90天内保持有效。</w:t>
      </w:r>
    </w:p>
    <w:p>
      <w:pPr>
        <w:widowControl w:val="0"/>
        <w:adjustRightInd/>
        <w:snapToGrid/>
        <w:spacing w:after="0" w:line="360" w:lineRule="exact"/>
        <w:ind w:left="567"/>
        <w:jc w:val="both"/>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41" w:name="_Toc12456"/>
      <w:r>
        <w:rPr>
          <w:rFonts w:hint="eastAsia" w:ascii="宋体" w:hAnsi="宋体" w:eastAsia="宋体"/>
          <w:color w:val="auto"/>
          <w:sz w:val="21"/>
          <w:szCs w:val="21"/>
          <w:highlight w:val="none"/>
        </w:rPr>
        <w:t>16.★投标保证金</w:t>
      </w:r>
      <w:bookmarkEnd w:id="41"/>
    </w:p>
    <w:p>
      <w:pPr>
        <w:pStyle w:val="28"/>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bookmarkStart w:id="42" w:name="_Ref179619405"/>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投标人应按投标资料表中规定数额及法律规定的时间按相应包号保证金金额要求一次性提交投标保证金，以多次汇入达到招标文件要求金额的投标保证金无效。</w:t>
      </w:r>
      <w:bookmarkEnd w:id="42"/>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投标保证金金额与招标文件要求金额保持一致（详见投标资料表）。</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投标保证金有效期与投标有效期保持一致。</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投标人应一次性缴交招标文件规定数额的投标保证金，投标人与交款人名称必须一致，非投标人缴纳的投标保证金无效。</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采用银行转账、电汇方式提交的,付至采购代理机构指定账户上。 (详见投标人资料表)</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担保。是指由担保机构为供应商交纳投标保证金向采购人或者采购代理机构提供的保证担保。供应商在投标有效期内撤回投标文件或中标后不签订政府采购合同的，由担保机构按照担保函的约定履行支付投标保证金的责任。（投标担保格式详见附件《政府采购投标担保函》）</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采用《政府采购投标担保函》提交的，应符合下列规定：</w:t>
      </w:r>
    </w:p>
    <w:p>
      <w:pPr>
        <w:spacing w:after="0"/>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①投标担保函有效期应与投标有效期一致；</w:t>
      </w:r>
    </w:p>
    <w:p>
      <w:pPr>
        <w:spacing w:after="0"/>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②投标担保金额应与本项目的投标保证金一致；</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保证金不接受现金方式（包括以存现方式）提交，未按要求提交投标保证金的将导致废标。</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未中标的投标人的保证金在采购结果公示发出后5个工作日内退还，中标投标人的保证金在采购合同签订后5个工作日内退还。</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为方便退还未中标的投保人的保证金，投标人应制作《投标保证金汇入情况说明》随开标文件一并递交。</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有下列情形之一的，投标保证金将不予退还：</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（1）投标人在提交响应文件截止时间后撤回响应文件的；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（2）投标人在响应文件中提供虚假材料的；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（3）除因不可抗力或谈判文件、询价通知书认可的情形以外，中标单位不与采购人签订合同的；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（4）投标人与采购人、其他供应商或者采购代理机构恶意串通的；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（5）招标文件规定的其他情形。</w:t>
      </w:r>
    </w:p>
    <w:p>
      <w:pPr>
        <w:rPr>
          <w:color w:val="auto"/>
          <w:highlight w:val="none"/>
        </w:rPr>
      </w:pPr>
    </w:p>
    <w:p>
      <w:pPr>
        <w:pStyle w:val="5"/>
        <w:numPr>
          <w:ilvl w:val="0"/>
          <w:numId w:val="2"/>
        </w:numPr>
        <w:spacing w:before="0" w:after="0" w:line="480" w:lineRule="auto"/>
        <w:jc w:val="center"/>
        <w:rPr>
          <w:rFonts w:ascii="宋体" w:hAnsi="宋体" w:eastAsia="宋体"/>
          <w:color w:val="auto"/>
          <w:highlight w:val="none"/>
        </w:rPr>
      </w:pPr>
      <w:bookmarkStart w:id="43" w:name="_Toc31124"/>
      <w:r>
        <w:rPr>
          <w:rFonts w:hint="eastAsia" w:ascii="宋体" w:hAnsi="宋体" w:eastAsia="宋体"/>
          <w:color w:val="auto"/>
          <w:highlight w:val="none"/>
        </w:rPr>
        <w:t>投标文件的递交</w:t>
      </w:r>
      <w:bookmarkEnd w:id="43"/>
    </w:p>
    <w:p>
      <w:pPr>
        <w:pStyle w:val="6"/>
        <w:widowControl w:val="0"/>
        <w:overflowPunct w:val="0"/>
        <w:spacing w:before="0" w:after="0" w:line="240" w:lineRule="auto"/>
        <w:rPr>
          <w:rFonts w:ascii="宋体" w:hAnsi="宋体" w:eastAsia="宋体"/>
          <w:color w:val="auto"/>
          <w:sz w:val="21"/>
          <w:szCs w:val="21"/>
          <w:highlight w:val="none"/>
        </w:rPr>
      </w:pPr>
      <w:bookmarkStart w:id="44" w:name="_Toc303084264"/>
      <w:bookmarkStart w:id="45" w:name="_Toc382049111"/>
      <w:bookmarkStart w:id="46" w:name="_Toc29590"/>
      <w:bookmarkStart w:id="47" w:name="_Toc24997"/>
      <w:r>
        <w:rPr>
          <w:rFonts w:hint="eastAsia" w:ascii="宋体" w:hAnsi="宋体" w:eastAsia="宋体"/>
          <w:color w:val="auto"/>
          <w:sz w:val="21"/>
          <w:szCs w:val="21"/>
          <w:highlight w:val="none"/>
        </w:rPr>
        <w:t>17.</w:t>
      </w:r>
      <w:r>
        <w:rPr>
          <w:rFonts w:ascii="宋体" w:hAnsi="宋体" w:eastAsia="宋体"/>
          <w:color w:val="auto"/>
          <w:sz w:val="21"/>
          <w:szCs w:val="21"/>
          <w:highlight w:val="none"/>
        </w:rPr>
        <w:t>投标文件的</w:t>
      </w:r>
      <w:r>
        <w:rPr>
          <w:rFonts w:hint="eastAsia" w:ascii="宋体" w:hAnsi="宋体" w:eastAsia="宋体"/>
          <w:color w:val="auto"/>
          <w:sz w:val="21"/>
          <w:szCs w:val="21"/>
          <w:highlight w:val="none"/>
        </w:rPr>
        <w:t>装订，签署，</w:t>
      </w:r>
      <w:r>
        <w:rPr>
          <w:rFonts w:ascii="宋体" w:hAnsi="宋体" w:eastAsia="宋体"/>
          <w:color w:val="auto"/>
          <w:sz w:val="21"/>
          <w:szCs w:val="21"/>
          <w:highlight w:val="none"/>
        </w:rPr>
        <w:t>密封和标记</w:t>
      </w:r>
      <w:bookmarkEnd w:id="44"/>
      <w:bookmarkEnd w:id="45"/>
      <w:bookmarkEnd w:id="46"/>
      <w:bookmarkEnd w:id="47"/>
    </w:p>
    <w:p>
      <w:pPr>
        <w:pStyle w:val="28"/>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为方便评标委员会对投标文件进行评审</w:t>
      </w:r>
      <w:r>
        <w:rPr>
          <w:rFonts w:ascii="宋体" w:hAnsi="宋体" w:eastAsia="宋体"/>
          <w:color w:val="auto"/>
          <w:sz w:val="21"/>
          <w:szCs w:val="21"/>
          <w:highlight w:val="none"/>
        </w:rPr>
        <w:t>，</w:t>
      </w:r>
      <w:r>
        <w:rPr>
          <w:rFonts w:hint="eastAsia" w:ascii="宋体" w:hAnsi="宋体" w:eastAsia="宋体"/>
          <w:color w:val="auto"/>
          <w:sz w:val="21"/>
          <w:szCs w:val="21"/>
          <w:highlight w:val="none"/>
        </w:rPr>
        <w:t>建议投标人对投标文件进行装订，</w:t>
      </w:r>
      <w:r>
        <w:rPr>
          <w:rFonts w:ascii="宋体" w:hAnsi="宋体" w:eastAsia="宋体"/>
          <w:color w:val="auto"/>
          <w:sz w:val="21"/>
          <w:szCs w:val="21"/>
          <w:highlight w:val="none"/>
        </w:rPr>
        <w:t>对未经装订的投标文件可能发生的文件缺</w:t>
      </w:r>
      <w:r>
        <w:rPr>
          <w:rFonts w:hint="eastAsia" w:ascii="宋体" w:hAnsi="宋体" w:eastAsia="宋体"/>
          <w:color w:val="auto"/>
          <w:sz w:val="21"/>
          <w:szCs w:val="21"/>
          <w:highlight w:val="none"/>
        </w:rPr>
        <w:t>损</w:t>
      </w:r>
      <w:r>
        <w:rPr>
          <w:rFonts w:ascii="宋体" w:hAnsi="宋体" w:eastAsia="宋体"/>
          <w:color w:val="auto"/>
          <w:sz w:val="21"/>
          <w:szCs w:val="21"/>
          <w:highlight w:val="none"/>
        </w:rPr>
        <w:t>，由此产生的后果由投标人承担。</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投标文件</w:t>
      </w:r>
      <w:r>
        <w:rPr>
          <w:rFonts w:hint="eastAsia" w:ascii="宋体" w:hAnsi="宋体" w:eastAsia="宋体"/>
          <w:color w:val="auto"/>
          <w:sz w:val="21"/>
          <w:szCs w:val="21"/>
          <w:highlight w:val="none"/>
        </w:rPr>
        <w:t>正本均须用不褪色墨水书写或打印。投标文件的副本可采用投标文件的正本复印件，每套</w:t>
      </w:r>
      <w:r>
        <w:rPr>
          <w:rFonts w:ascii="宋体" w:hAnsi="宋体" w:eastAsia="宋体"/>
          <w:color w:val="auto"/>
          <w:sz w:val="21"/>
          <w:szCs w:val="21"/>
          <w:highlight w:val="none"/>
        </w:rPr>
        <w:t>投标文件</w:t>
      </w:r>
      <w:r>
        <w:rPr>
          <w:rFonts w:hint="eastAsia" w:ascii="宋体" w:hAnsi="宋体" w:eastAsia="宋体"/>
          <w:color w:val="auto"/>
          <w:sz w:val="21"/>
          <w:szCs w:val="21"/>
          <w:highlight w:val="none"/>
        </w:rPr>
        <w:t>应当标</w:t>
      </w:r>
      <w:r>
        <w:rPr>
          <w:rFonts w:ascii="宋体" w:hAnsi="宋体" w:eastAsia="宋体"/>
          <w:color w:val="auto"/>
          <w:sz w:val="21"/>
          <w:szCs w:val="21"/>
          <w:highlight w:val="none"/>
        </w:rPr>
        <w:t>明“正本”</w:t>
      </w:r>
      <w:r>
        <w:rPr>
          <w:rFonts w:hint="eastAsia" w:ascii="宋体" w:hAnsi="宋体" w:eastAsia="宋体"/>
          <w:color w:val="auto"/>
          <w:sz w:val="21"/>
          <w:szCs w:val="21"/>
          <w:highlight w:val="none"/>
        </w:rPr>
        <w:t>、</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的字样</w:t>
      </w:r>
      <w:r>
        <w:rPr>
          <w:rFonts w:ascii="宋体" w:hAnsi="宋体" w:eastAsia="宋体"/>
          <w:color w:val="auto"/>
          <w:sz w:val="21"/>
          <w:szCs w:val="21"/>
          <w:highlight w:val="none"/>
        </w:rPr>
        <w:t>。</w:t>
      </w:r>
      <w:r>
        <w:rPr>
          <w:rFonts w:hint="eastAsia" w:ascii="宋体" w:hAnsi="宋体" w:eastAsia="宋体"/>
          <w:color w:val="auto"/>
          <w:sz w:val="21"/>
          <w:szCs w:val="21"/>
          <w:highlight w:val="none"/>
        </w:rPr>
        <w:t>投标文件的【正本】及所有【副本】的封面及骑缝均须加盖投标人公章（文件每页盖章等同于盖骑缝章）。若</w:t>
      </w:r>
      <w:r>
        <w:rPr>
          <w:rFonts w:ascii="宋体" w:hAnsi="宋体" w:eastAsia="宋体"/>
          <w:color w:val="auto"/>
          <w:sz w:val="21"/>
          <w:szCs w:val="21"/>
          <w:highlight w:val="none"/>
        </w:rPr>
        <w:t>正本</w:t>
      </w:r>
      <w:r>
        <w:rPr>
          <w:rFonts w:hint="eastAsia" w:ascii="宋体" w:hAnsi="宋体" w:eastAsia="宋体"/>
          <w:color w:val="auto"/>
          <w:sz w:val="21"/>
          <w:szCs w:val="21"/>
          <w:highlight w:val="none"/>
        </w:rPr>
        <w:t>与</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不符，以</w:t>
      </w:r>
      <w:r>
        <w:rPr>
          <w:rFonts w:ascii="宋体" w:hAnsi="宋体" w:eastAsia="宋体"/>
          <w:color w:val="auto"/>
          <w:sz w:val="21"/>
          <w:szCs w:val="21"/>
          <w:highlight w:val="none"/>
        </w:rPr>
        <w:t>正本为准。</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联合体投标文件的【正本】及【副本】的封面及骑缝均须加盖所有联合体组成成员的公章。（文件每页盖章等同于盖骑缝章）</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建议投标人将投标文件正本和所有的副本分开密封装在单独的信封中，且在信封上标明“正本”“副本”字样。然后再将所有信封封装在一个外层信封中。电子文件与正本密封包装，随正本提交。</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电子文件内容包括：由投标人自行制作的与正本文件一致的所有文件。电子文件</w:t>
      </w:r>
      <w:r>
        <w:rPr>
          <w:rFonts w:hint="eastAsia" w:ascii="宋体" w:hAnsi="宋体" w:eastAsia="宋体"/>
          <w:color w:val="auto"/>
          <w:sz w:val="21"/>
          <w:szCs w:val="21"/>
          <w:highlight w:val="none"/>
        </w:rPr>
        <w:t>由</w:t>
      </w:r>
      <w:r>
        <w:rPr>
          <w:rFonts w:ascii="宋体" w:hAnsi="宋体" w:eastAsia="宋体"/>
          <w:color w:val="auto"/>
          <w:sz w:val="21"/>
          <w:szCs w:val="21"/>
          <w:highlight w:val="none"/>
        </w:rPr>
        <w:t>光盘</w:t>
      </w:r>
      <w:r>
        <w:rPr>
          <w:rFonts w:hint="eastAsia" w:ascii="宋体" w:hAnsi="宋体" w:eastAsia="宋体"/>
          <w:color w:val="auto"/>
          <w:sz w:val="21"/>
          <w:szCs w:val="21"/>
          <w:highlight w:val="none"/>
        </w:rPr>
        <w:t>或U盘</w:t>
      </w:r>
      <w:r>
        <w:rPr>
          <w:rFonts w:ascii="宋体" w:hAnsi="宋体" w:eastAsia="宋体"/>
          <w:color w:val="auto"/>
          <w:sz w:val="21"/>
          <w:szCs w:val="21"/>
          <w:highlight w:val="none"/>
        </w:rPr>
        <w:t>储存</w:t>
      </w:r>
      <w:r>
        <w:rPr>
          <w:rFonts w:hint="eastAsia" w:ascii="宋体" w:hAnsi="宋体" w:eastAsia="宋体"/>
          <w:color w:val="auto"/>
          <w:sz w:val="21"/>
          <w:szCs w:val="21"/>
          <w:highlight w:val="none"/>
        </w:rPr>
        <w:t>，并注明投标人名称及项目名称、采购项目编号，随投标文件一同密封提交。</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除投标人对错误处修改外，全套投标文件应无涂改或行间插字和增删。如有修改，修改处</w:t>
      </w:r>
      <w:r>
        <w:rPr>
          <w:rFonts w:hint="eastAsia" w:ascii="宋体" w:hAnsi="宋体" w:eastAsia="宋体"/>
          <w:color w:val="auto"/>
          <w:sz w:val="21"/>
          <w:szCs w:val="21"/>
          <w:highlight w:val="none"/>
        </w:rPr>
        <w:t>须由法定代表人或其正式授权代表在旁边签字及盖章</w:t>
      </w:r>
      <w:r>
        <w:rPr>
          <w:rFonts w:ascii="宋体" w:hAnsi="宋体" w:eastAsia="宋体"/>
          <w:color w:val="auto"/>
          <w:sz w:val="21"/>
          <w:szCs w:val="21"/>
          <w:highlight w:val="none"/>
        </w:rPr>
        <w:t>。</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开标唱标，投标人应将开标一览表和授权委托书单独密封提交，并在信封上标明“开标文件”字样。开标文件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开标文件”份数及签章等要求与投标文件正本相同（1份）。</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所有的信封均应注明： </w:t>
      </w:r>
    </w:p>
    <w:p>
      <w:pPr>
        <w:widowControl w:val="0"/>
        <w:numPr>
          <w:ilvl w:val="0"/>
          <w:numId w:val="4"/>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收件人：广东政通招标有限公司</w:t>
      </w:r>
    </w:p>
    <w:p>
      <w:pPr>
        <w:widowControl w:val="0"/>
        <w:numPr>
          <w:ilvl w:val="0"/>
          <w:numId w:val="4"/>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投标单位名称：</w:t>
      </w:r>
    </w:p>
    <w:p>
      <w:pPr>
        <w:widowControl w:val="0"/>
        <w:numPr>
          <w:ilvl w:val="0"/>
          <w:numId w:val="4"/>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p>
      <w:pPr>
        <w:widowControl w:val="0"/>
        <w:numPr>
          <w:ilvl w:val="0"/>
          <w:numId w:val="4"/>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采购项目编号：</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采购代理机构将拒绝接收出现以下情况的投标文件：</w:t>
      </w:r>
    </w:p>
    <w:p>
      <w:pPr>
        <w:widowControl w:val="0"/>
        <w:numPr>
          <w:ilvl w:val="0"/>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采用透明包装进行密封或未进行密封的投标文件；</w:t>
      </w:r>
    </w:p>
    <w:p>
      <w:pPr>
        <w:widowControl w:val="0"/>
        <w:numPr>
          <w:ilvl w:val="0"/>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密封破损导致投标文件内容直接或间接泄露的投标文件；</w:t>
      </w:r>
    </w:p>
    <w:p>
      <w:pPr>
        <w:widowControl w:val="0"/>
        <w:numPr>
          <w:ilvl w:val="0"/>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密封信封上项目编号错误的投标文件；</w:t>
      </w:r>
    </w:p>
    <w:p>
      <w:pPr>
        <w:widowControl w:val="0"/>
        <w:numPr>
          <w:ilvl w:val="0"/>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未在规定时间内领购文件的投标人的投标文件；</w:t>
      </w:r>
    </w:p>
    <w:p>
      <w:pPr>
        <w:widowControl w:val="0"/>
        <w:numPr>
          <w:ilvl w:val="0"/>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项目名称出现严重歧义或未标注所投项目信息导致无法分辨所投项目为本项目的投标文件；</w:t>
      </w:r>
    </w:p>
    <w:p>
      <w:pPr>
        <w:widowControl w:val="0"/>
        <w:numPr>
          <w:ilvl w:val="0"/>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采用传真、电传的投标文件；</w:t>
      </w:r>
    </w:p>
    <w:p>
      <w:pPr>
        <w:widowControl w:val="0"/>
        <w:numPr>
          <w:ilvl w:val="0"/>
          <w:numId w:val="5"/>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招标文件规定的其他情形。</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采购代理机构对所有投标文件的误投或提前启封概不负责。</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投标人同时参加几个包投标时必须按招标文件要求按包号分别制作投标文件，分别密封递交。</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递交的投标文件中所提供的通讯方式应保持联络畅通，因联系不上而导致的所有后果由投标人自行承担。</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48" w:name="_Toc8628"/>
      <w:r>
        <w:rPr>
          <w:rFonts w:hint="eastAsia" w:ascii="宋体" w:hAnsi="宋体" w:eastAsia="宋体"/>
          <w:color w:val="auto"/>
          <w:sz w:val="21"/>
          <w:szCs w:val="21"/>
          <w:highlight w:val="none"/>
        </w:rPr>
        <w:t>18.迟交的投标文件</w:t>
      </w:r>
      <w:bookmarkEnd w:id="48"/>
    </w:p>
    <w:p>
      <w:pPr>
        <w:pStyle w:val="28"/>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投标人在投标截止时间之后提交的投标文件，采购代理机构将拒绝接收</w:t>
      </w:r>
      <w:r>
        <w:rPr>
          <w:rFonts w:ascii="宋体" w:hAnsi="宋体" w:eastAsia="宋体"/>
          <w:color w:val="auto"/>
          <w:sz w:val="21"/>
          <w:szCs w:val="21"/>
          <w:highlight w:val="none"/>
        </w:rPr>
        <w:t>。</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有违反其他法律规定情形的，采购代理机构将拒绝接收。</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49" w:name="_Toc13212"/>
      <w:r>
        <w:rPr>
          <w:rFonts w:hint="eastAsia" w:ascii="宋体" w:hAnsi="宋体" w:eastAsia="宋体"/>
          <w:color w:val="auto"/>
          <w:sz w:val="21"/>
          <w:szCs w:val="21"/>
          <w:highlight w:val="none"/>
        </w:rPr>
        <w:t>19.投标样品（如需提交）</w:t>
      </w:r>
      <w:bookmarkEnd w:id="49"/>
    </w:p>
    <w:p>
      <w:pPr>
        <w:pStyle w:val="28"/>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如有必要，采购代理机构可以要求投标人提供本服务项目涉及的部分设备或产品样品，投标人在投标时应提交《样品清单》。</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为方便评标，投标人在提供样品时，应在所提供的样品表面显著位置标注投标人的名称、包号、样品名称、招标文件规定的服务或货物编号。</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50" w:name="_Toc5900"/>
      <w:bookmarkStart w:id="51" w:name="_Toc382049112"/>
      <w:bookmarkStart w:id="52" w:name="_Toc9777"/>
      <w:bookmarkStart w:id="53" w:name="_Toc303084265"/>
      <w:r>
        <w:rPr>
          <w:rFonts w:hint="eastAsia" w:ascii="宋体" w:hAnsi="宋体" w:eastAsia="宋体"/>
          <w:color w:val="auto"/>
          <w:sz w:val="21"/>
          <w:szCs w:val="21"/>
          <w:highlight w:val="none"/>
        </w:rPr>
        <w:t>20.投标截止期</w:t>
      </w:r>
      <w:bookmarkEnd w:id="50"/>
      <w:bookmarkEnd w:id="51"/>
      <w:bookmarkEnd w:id="52"/>
      <w:bookmarkEnd w:id="53"/>
    </w:p>
    <w:p>
      <w:pPr>
        <w:pStyle w:val="28"/>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投标人应在招标文件规定的截止日期和时间内，将投标文件送达到指定地点。</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可按本须知规定以</w:t>
      </w:r>
      <w:r>
        <w:rPr>
          <w:rFonts w:hint="eastAsia" w:ascii="宋体" w:hAnsi="宋体" w:eastAsia="宋体"/>
          <w:color w:val="auto"/>
          <w:sz w:val="21"/>
          <w:szCs w:val="21"/>
          <w:highlight w:val="none"/>
        </w:rPr>
        <w:t>澄清或</w:t>
      </w:r>
      <w:r>
        <w:rPr>
          <w:rFonts w:ascii="宋体" w:hAnsi="宋体" w:eastAsia="宋体"/>
          <w:color w:val="auto"/>
          <w:sz w:val="21"/>
          <w:szCs w:val="21"/>
          <w:highlight w:val="none"/>
        </w:rPr>
        <w:t>修改通知的方式，酌情延长</w:t>
      </w:r>
      <w:r>
        <w:rPr>
          <w:rFonts w:hint="eastAsia" w:ascii="宋体" w:hAnsi="宋体" w:eastAsia="宋体"/>
          <w:color w:val="auto"/>
          <w:sz w:val="21"/>
          <w:szCs w:val="21"/>
          <w:highlight w:val="none"/>
        </w:rPr>
        <w:t>递</w:t>
      </w:r>
      <w:r>
        <w:rPr>
          <w:rFonts w:ascii="宋体" w:hAnsi="宋体" w:eastAsia="宋体"/>
          <w:color w:val="auto"/>
          <w:sz w:val="21"/>
          <w:szCs w:val="21"/>
          <w:highlight w:val="none"/>
        </w:rPr>
        <w:t>交投标文件的截止时间。在此情况下，投标人的所有权利和义务以及投标人受制约的截止时间，均以延长后新的投标截止时间为准。</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54" w:name="_Toc6003"/>
      <w:r>
        <w:rPr>
          <w:rFonts w:hint="eastAsia" w:ascii="宋体" w:hAnsi="宋体" w:eastAsia="宋体"/>
          <w:color w:val="auto"/>
          <w:sz w:val="21"/>
          <w:szCs w:val="21"/>
          <w:highlight w:val="none"/>
        </w:rPr>
        <w:t>21.投标文件的补充、修改与撤回</w:t>
      </w:r>
      <w:bookmarkEnd w:id="54"/>
    </w:p>
    <w:p>
      <w:pPr>
        <w:pStyle w:val="28"/>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投标人在提交投标文件截止时间前，可以对所提交的投标文件进行补充、修改或撤回，并以纸质版形式通知采购代理机构。在提交投标文件截止时间之后，投标人不得对其投标文件做出任何的补充和修改。</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投标文件一经递交不予退还。</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在提交投标文件截止时间至投标有效期满之前，投标人不得撤回其投标，否则其投标保证金将不予退还。</w:t>
      </w:r>
    </w:p>
    <w:p>
      <w:pPr>
        <w:pStyle w:val="2"/>
        <w:rPr>
          <w:color w:val="auto"/>
          <w:highlight w:val="none"/>
        </w:rPr>
      </w:pPr>
    </w:p>
    <w:p>
      <w:pPr>
        <w:pStyle w:val="5"/>
        <w:numPr>
          <w:ilvl w:val="0"/>
          <w:numId w:val="2"/>
        </w:numPr>
        <w:spacing w:before="0" w:after="0" w:line="480" w:lineRule="auto"/>
        <w:jc w:val="center"/>
        <w:rPr>
          <w:rFonts w:ascii="宋体" w:hAnsi="宋体" w:eastAsia="宋体"/>
          <w:color w:val="auto"/>
          <w:highlight w:val="none"/>
        </w:rPr>
      </w:pPr>
      <w:bookmarkStart w:id="55" w:name="_Toc29574"/>
      <w:r>
        <w:rPr>
          <w:rFonts w:hint="eastAsia" w:ascii="宋体" w:hAnsi="宋体" w:eastAsia="宋体"/>
          <w:color w:val="auto"/>
          <w:highlight w:val="none"/>
        </w:rPr>
        <w:t>开标与评标</w:t>
      </w:r>
      <w:bookmarkEnd w:id="55"/>
    </w:p>
    <w:p>
      <w:pPr>
        <w:pStyle w:val="6"/>
        <w:widowControl w:val="0"/>
        <w:overflowPunct w:val="0"/>
        <w:spacing w:before="0" w:after="0" w:line="240" w:lineRule="auto"/>
        <w:rPr>
          <w:rFonts w:ascii="宋体" w:hAnsi="宋体" w:eastAsia="宋体"/>
          <w:color w:val="auto"/>
          <w:sz w:val="21"/>
          <w:szCs w:val="21"/>
          <w:highlight w:val="none"/>
        </w:rPr>
      </w:pPr>
      <w:bookmarkStart w:id="56" w:name="_Toc28458"/>
      <w:r>
        <w:rPr>
          <w:rFonts w:hint="eastAsia" w:ascii="宋体" w:hAnsi="宋体" w:eastAsia="宋体"/>
          <w:color w:val="auto"/>
          <w:sz w:val="21"/>
          <w:szCs w:val="21"/>
          <w:highlight w:val="none"/>
        </w:rPr>
        <w:t>22.开标</w:t>
      </w:r>
      <w:bookmarkEnd w:id="56"/>
    </w:p>
    <w:p>
      <w:pPr>
        <w:pStyle w:val="28"/>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采购代理机构按</w:t>
      </w:r>
      <w:r>
        <w:rPr>
          <w:rFonts w:ascii="宋体" w:hAnsi="宋体" w:eastAsia="宋体"/>
          <w:color w:val="auto"/>
          <w:sz w:val="21"/>
          <w:szCs w:val="21"/>
          <w:highlight w:val="none"/>
        </w:rPr>
        <w:t>本</w:t>
      </w:r>
      <w:r>
        <w:rPr>
          <w:rFonts w:hint="eastAsia" w:ascii="宋体" w:hAnsi="宋体" w:eastAsia="宋体"/>
          <w:color w:val="auto"/>
          <w:sz w:val="21"/>
          <w:szCs w:val="21"/>
          <w:highlight w:val="none"/>
        </w:rPr>
        <w:t>招标文件</w:t>
      </w:r>
      <w:r>
        <w:rPr>
          <w:rFonts w:ascii="宋体" w:hAnsi="宋体" w:eastAsia="宋体"/>
          <w:color w:val="auto"/>
          <w:sz w:val="21"/>
          <w:szCs w:val="21"/>
          <w:highlight w:val="none"/>
        </w:rPr>
        <w:t>所规定的时间和地点公开开标，并邀请所有投标人</w:t>
      </w:r>
      <w:r>
        <w:rPr>
          <w:rFonts w:hint="eastAsia" w:ascii="宋体" w:hAnsi="宋体" w:eastAsia="宋体"/>
          <w:color w:val="auto"/>
          <w:sz w:val="21"/>
          <w:szCs w:val="21"/>
          <w:highlight w:val="none"/>
        </w:rPr>
        <w:t>代表</w:t>
      </w:r>
      <w:r>
        <w:rPr>
          <w:rFonts w:ascii="宋体" w:hAnsi="宋体" w:eastAsia="宋体"/>
          <w:color w:val="auto"/>
          <w:sz w:val="21"/>
          <w:szCs w:val="21"/>
          <w:highlight w:val="none"/>
        </w:rPr>
        <w:t>参加。</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开标程序：</w:t>
      </w:r>
    </w:p>
    <w:p>
      <w:pPr>
        <w:widowControl w:val="0"/>
        <w:numPr>
          <w:ilvl w:val="2"/>
          <w:numId w:val="3"/>
        </w:numPr>
        <w:tabs>
          <w:tab w:val="left" w:pos="567"/>
          <w:tab w:val="clear" w:pos="794"/>
        </w:tabs>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开标</w:t>
      </w:r>
      <w:r>
        <w:rPr>
          <w:rFonts w:hint="eastAsia" w:ascii="宋体" w:hAnsi="宋体" w:eastAsia="宋体"/>
          <w:color w:val="auto"/>
          <w:sz w:val="21"/>
          <w:szCs w:val="21"/>
          <w:highlight w:val="none"/>
        </w:rPr>
        <w:t>会</w:t>
      </w:r>
      <w:r>
        <w:rPr>
          <w:rFonts w:ascii="宋体" w:hAnsi="宋体" w:eastAsia="宋体"/>
          <w:color w:val="auto"/>
          <w:sz w:val="21"/>
          <w:szCs w:val="21"/>
          <w:highlight w:val="none"/>
        </w:rPr>
        <w:t>由</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主持</w:t>
      </w:r>
      <w:r>
        <w:rPr>
          <w:rFonts w:hint="eastAsia" w:ascii="宋体" w:hAnsi="宋体" w:eastAsia="宋体"/>
          <w:color w:val="auto"/>
          <w:sz w:val="21"/>
          <w:szCs w:val="21"/>
          <w:highlight w:val="none"/>
        </w:rPr>
        <w:t>，投标人的法定代表人或其授权代表携带有效身份证明准时参加开标会并签名报到。</w:t>
      </w:r>
    </w:p>
    <w:p>
      <w:pPr>
        <w:widowControl w:val="0"/>
        <w:numPr>
          <w:ilvl w:val="2"/>
          <w:numId w:val="3"/>
        </w:numPr>
        <w:tabs>
          <w:tab w:val="left" w:pos="567"/>
          <w:tab w:val="clear" w:pos="794"/>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开标时，由投标人或者其推选的代表检查投标文件的密封情况；经确认无误后，由采购人或者采购代理机构工作人员当众拆封，宣布投标人名称、投标价格和招标文件规定的需要宣布的其他内容；</w:t>
      </w:r>
    </w:p>
    <w:p>
      <w:pPr>
        <w:widowControl w:val="0"/>
        <w:numPr>
          <w:ilvl w:val="2"/>
          <w:numId w:val="3"/>
        </w:numPr>
        <w:tabs>
          <w:tab w:val="left" w:pos="567"/>
          <w:tab w:val="clear" w:pos="794"/>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投标人未参加开标的，视同认可开标结果。</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合格投标人不足3家的，不得开标；</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开标过程应当由采购人或者采购代理机构负责记录，由参加开标的各投标人代表和相关工作人员签字确认。</w:t>
      </w:r>
    </w:p>
    <w:p>
      <w:pPr>
        <w:widowControl w:val="0"/>
        <w:adjustRightInd/>
        <w:snapToGrid/>
        <w:spacing w:after="0" w:line="360" w:lineRule="exact"/>
        <w:ind w:left="567"/>
        <w:jc w:val="both"/>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57" w:name="_Toc5524"/>
      <w:r>
        <w:rPr>
          <w:rFonts w:hint="eastAsia" w:ascii="宋体" w:hAnsi="宋体" w:eastAsia="宋体"/>
          <w:color w:val="auto"/>
          <w:sz w:val="21"/>
          <w:szCs w:val="21"/>
          <w:highlight w:val="none"/>
        </w:rPr>
        <w:t>23.评标委员会及评标方法</w:t>
      </w:r>
      <w:bookmarkEnd w:id="57"/>
    </w:p>
    <w:p>
      <w:pPr>
        <w:pStyle w:val="28"/>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评标委员会根据招标项目的特点进行组建，并负责评标工作。</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评审方法：本次招标的评审方法采用综合评分法。</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定标原则：在最大限度</w:t>
      </w:r>
      <w:r>
        <w:rPr>
          <w:rFonts w:ascii="宋体" w:hAnsi="宋体" w:eastAsia="宋体"/>
          <w:color w:val="auto"/>
          <w:sz w:val="21"/>
          <w:szCs w:val="21"/>
          <w:highlight w:val="none"/>
        </w:rPr>
        <w:t>满足招标文件</w:t>
      </w:r>
      <w:r>
        <w:rPr>
          <w:rFonts w:hint="eastAsia" w:ascii="宋体" w:hAnsi="宋体" w:eastAsia="宋体"/>
          <w:color w:val="auto"/>
          <w:sz w:val="21"/>
          <w:szCs w:val="21"/>
          <w:highlight w:val="none"/>
        </w:rPr>
        <w:t>实质性要求前提下，按照招标文件规定的各项评价因素进行量化打分，以评标总得分最高的投标人作为中标候选人或中标人。</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评标委员会对投标文件的评审内容，分为商务评议、技术评议和价格评议。评审流程包括符合性检查、澄清问题、比较与评价、推荐中标候选人或确定中标人、编写评标报告等步骤。</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通过资格性和符合性审查的有效供应商方有资格提交最终报价及进入综合评审。磋商文件中要求供应商提供的相关资质证书证明材料因国家政策变动导致新旧证书名称不一致，旧证书未取消且新旧证书具有同等效力的，供应商提供新证书与提供在有效期内的旧证书给予同等认可。</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58" w:name="_Toc15231"/>
      <w:r>
        <w:rPr>
          <w:rFonts w:hint="eastAsia" w:ascii="宋体" w:hAnsi="宋体" w:eastAsia="宋体"/>
          <w:color w:val="auto"/>
          <w:sz w:val="21"/>
          <w:szCs w:val="21"/>
          <w:highlight w:val="none"/>
        </w:rPr>
        <w:t>24.评审原则及评标过程的保密</w:t>
      </w:r>
      <w:bookmarkEnd w:id="58"/>
    </w:p>
    <w:p>
      <w:pPr>
        <w:pStyle w:val="28"/>
        <w:widowControl w:val="0"/>
        <w:numPr>
          <w:ilvl w:val="0"/>
          <w:numId w:val="3"/>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评审的基本原则：评标委员会将依据《中华人民共和国政府采购法》及国家和地方政府有关法规的规定，遵循“客观、公正、审慎”的原则进行评审工作。</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从公开开标到签订合同，凡与审查、澄清、评审和投标有关的资料以及定标意见相关的事项，均不得向投标人及与评标无关的其他人透露。</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任何单位和个人不得非法干预、影响评标的过程和结果。</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59" w:name="_Toc3762"/>
      <w:r>
        <w:rPr>
          <w:rFonts w:hint="eastAsia" w:ascii="宋体" w:hAnsi="宋体" w:eastAsia="宋体"/>
          <w:color w:val="auto"/>
          <w:sz w:val="21"/>
          <w:szCs w:val="21"/>
          <w:highlight w:val="none"/>
        </w:rPr>
        <w:t>25.投标文件的初审</w:t>
      </w:r>
      <w:bookmarkEnd w:id="59"/>
    </w:p>
    <w:p>
      <w:pPr>
        <w:pStyle w:val="28"/>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开标结束后，采购人或者采购代理机构将依法对投标人的资格进行审查。资格审查时，投标人存在不符合资格性检查所要求事项情况的，投标无效。未通过资格审查的投标人不进入符合性审查的评审，</w:t>
      </w:r>
      <w:r>
        <w:rPr>
          <w:rFonts w:hint="eastAsia" w:ascii="宋体" w:hAnsi="宋体" w:eastAsia="宋体"/>
          <w:b/>
          <w:color w:val="auto"/>
          <w:sz w:val="21"/>
          <w:szCs w:val="21"/>
          <w:highlight w:val="none"/>
        </w:rPr>
        <w:t>资格性检查中发现下列情形之一的，其投标作无效处理：</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1) 资格瑕疵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资格证明文件未提供或不符合招标文件要求的；②资格证明文件有效期过期的；③《营业执照》复印件（加盖公章）或《事业单位法人证书》复印件（加盖公章）或其他主体证书复印件（加盖公章）未提供或有效期过期的；④提供的资质材料模糊不清导致无法辨认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2) 投标保证金瑕疵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包括但不限于：①投标人未按招标文件要求提交投标保证金；②提交方式、提交时间、提交金额不符合招标文件要求；③投标保证金有效期不符合招标文件要求。</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eastAsia="宋体"/>
          <w:b/>
          <w:color w:val="auto"/>
          <w:sz w:val="21"/>
          <w:szCs w:val="21"/>
          <w:highlight w:val="none"/>
        </w:rPr>
        <w:t>发现下列情况之一的，其投标将作无效处理</w:t>
      </w:r>
      <w:r>
        <w:rPr>
          <w:rFonts w:hint="eastAsia" w:ascii="宋体" w:hAnsi="宋体" w:eastAsia="宋体"/>
          <w:color w:val="auto"/>
          <w:sz w:val="21"/>
          <w:szCs w:val="21"/>
          <w:highlight w:val="none"/>
        </w:rPr>
        <w:t>：</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1) 投标文件的有效性、完整性瑕疵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2) 技术响应瑕疵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规格偏离表》未提供的；⑤将一个包中的内容拆开投标的；⑥投标人对同一货物或服务投标时，投标方案不唯一；⑦明显不符合技术规格、技术标准要求的；⑧其他未实质性响应招标文件技术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3) 商务响应瑕疵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采购人不能接受的条件的；⑥其他未实质性响应招标文件商务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4）投标报价瑕疵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5）违规行为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6)法律法规及招标文件中规定的其它情形。</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根据项目情况，评标委员会有权决定招标文件中“可能导致废标”或“可能导致其投标被拒绝”等具体条款是否实施“废标”或“投标被拒绝”，但对同一条款的裁决应适用于每个投标人。</w:t>
      </w:r>
    </w:p>
    <w:p>
      <w:pPr>
        <w:widowControl w:val="0"/>
        <w:numPr>
          <w:ilvl w:val="1"/>
          <w:numId w:val="3"/>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对于投标文件中不构成实质性偏差的不正规、不一致或不规则，评标委员会可以接受，但这种接受不能损害或影响任何投标人的相对排序。</w:t>
      </w:r>
    </w:p>
    <w:p>
      <w:pPr>
        <w:widowControl w:val="0"/>
        <w:numPr>
          <w:ilvl w:val="1"/>
          <w:numId w:val="3"/>
        </w:numPr>
        <w:adjustRightInd/>
        <w:snapToGrid/>
        <w:spacing w:after="0" w:line="360" w:lineRule="exact"/>
        <w:jc w:val="both"/>
        <w:rPr>
          <w:color w:val="auto"/>
          <w:highlight w:val="none"/>
        </w:rPr>
      </w:pPr>
      <w:r>
        <w:rPr>
          <w:rFonts w:hint="eastAsia" w:ascii="宋体" w:hAnsi="宋体" w:eastAsia="宋体"/>
          <w:color w:val="auto"/>
          <w:sz w:val="21"/>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60" w:name="_Toc21742"/>
      <w:r>
        <w:rPr>
          <w:rFonts w:hint="eastAsia" w:ascii="宋体" w:hAnsi="宋体" w:eastAsia="宋体"/>
          <w:color w:val="auto"/>
          <w:sz w:val="21"/>
          <w:szCs w:val="21"/>
          <w:highlight w:val="none"/>
        </w:rPr>
        <w:t>26.商务、技术、价格评审（具体评审项目详见投标资料表）</w:t>
      </w:r>
      <w:bookmarkEnd w:id="60"/>
    </w:p>
    <w:p>
      <w:pPr>
        <w:pStyle w:val="28"/>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对通过符合性检查的投标人进行商务技术综合评议，针对投标文件对招标文件的响应情况对各个投标人进行商务和技术评分</w:t>
      </w:r>
      <w:r>
        <w:rPr>
          <w:rFonts w:hint="eastAsia" w:ascii="宋体" w:hAnsi="宋体" w:eastAsia="宋体"/>
          <w:color w:val="auto"/>
          <w:sz w:val="21"/>
          <w:szCs w:val="21"/>
          <w:highlight w:val="none"/>
        </w:rPr>
        <w:t xml:space="preserve">。 </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投标文件报价出现前后不一致的，评标委员会按照下列规定修正：</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投标文件中开标一览表（报价表）内容与投标文件中相应内容不一致的，以开标一览表（报价表）为准；</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大写金额和小写金额不一致的，以大写金额为准；</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单价金额小数点或者百分比有明显错位的，以开标一览表的总价为准，并修改单价；</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总价金额与按单价汇总金额不一致的，以单价金额计算结果为准。</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同时出现两种以上不一致的，按照前款规定的顺序修正。修正后的报价按照经投标人确认后产生约束力，投标人不确认的，其投标无效。</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61" w:name="_Toc22192"/>
      <w:r>
        <w:rPr>
          <w:rFonts w:hint="eastAsia" w:ascii="宋体" w:hAnsi="宋体" w:eastAsia="宋体"/>
          <w:color w:val="auto"/>
          <w:sz w:val="21"/>
          <w:szCs w:val="21"/>
          <w:highlight w:val="none"/>
        </w:rPr>
        <w:t>27.优惠政策</w:t>
      </w:r>
      <w:bookmarkEnd w:id="61"/>
    </w:p>
    <w:p>
      <w:pPr>
        <w:pStyle w:val="28"/>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对小型或微型企业、监狱企业、残疾人福利性单位投标的扶持：</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财政部、工业和信息化部制定了《政府采购促进中小企业发展管理办法》（财库〔2020〕46号）的规定，对小型或微型企业产品的价格给予一定比例扣除，用扣除后的价格参与评审。（参加政府采购活动的中小企业应按照招标文件中投标文件格式提出《中小企业声明函》）残疾人福利性单位、监狱企业（注：参加政府采购活动的监狱企业必须提供由省级以上监狱管理局、戒毒管理局(含新疆生产建设兵团)出具的监狱企业证明文件）视同小型、微型企业。</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符合中小企业划分标准：应当符合《工业和信息化部、国家统计局、国家发展和改革委员会、财政部关于印发中小企业划型标准规定的通知》（工信部联企业〔2011〕300号）的规定；提供本企业制造的货物、承担的工程或者服务，或者提供其他小型或微型企业的制造的货物。本项所称货物不包括使用大型企业注册商标的货物。</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投标人为小型或微型企业且投标产品含小型或微型企业产品时，其对应产品价格的扣除详见投标资料表。</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在货物采购项目中，供应商提供的货物既有中小企业制造货物，也有大型企业制造货物的，不享受“财政部 工业和信息化部关于印发《政府采购促进中小企业发展管理办法》的通知（财库〔2020〕46号）”规定的中小企业扶持政策。</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投标人同时为小型、微型企业、监狱企业、残疾人福利性单位任两种或以上情况的，评审中只享受一次价格扣除，不重复进行价格扣除。</w:t>
      </w:r>
    </w:p>
    <w:p>
      <w:pPr>
        <w:widowControl w:val="0"/>
        <w:numPr>
          <w:ilvl w:val="1"/>
          <w:numId w:val="3"/>
        </w:numPr>
        <w:tabs>
          <w:tab w:val="left" w:pos="907"/>
        </w:tabs>
        <w:adjustRightInd/>
        <w:snapToGrid/>
        <w:spacing w:after="0" w:line="360" w:lineRule="exact"/>
        <w:jc w:val="both"/>
        <w:rPr>
          <w:rFonts w:ascii="宋体" w:hAnsi="宋体" w:eastAsia="宋体"/>
          <w:b/>
          <w:bCs/>
          <w:color w:val="auto"/>
          <w:sz w:val="21"/>
          <w:szCs w:val="21"/>
          <w:highlight w:val="none"/>
          <w:u w:val="single"/>
        </w:rPr>
      </w:pPr>
      <w:r>
        <w:rPr>
          <w:rFonts w:hint="eastAsia" w:ascii="宋体" w:hAnsi="宋体" w:eastAsia="宋体"/>
          <w:b/>
          <w:bCs/>
          <w:color w:val="auto"/>
          <w:sz w:val="21"/>
          <w:szCs w:val="21"/>
          <w:highlight w:val="none"/>
          <w:u w:val="single"/>
        </w:rPr>
        <w:t>中标、成交供应商享受本办法（财库〔2020〕46号）规定的中小企业扶持政策的，采购代理机构将随中标、成交结果公开中标、成交供应商的《中小企业声明函》。各供应商不得提供虚假声明，提供虚假声明取消中标、成交资格，并追究其法律责任。</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符合享受政府采购支持政策的残疾人福利性单位划分标准（根据财政部 民政部 中国残疾人联合会关于促进残疾人就业政府采购政策的通知(财库[2017]141号)）：</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（1）安置的残疾人占本单位在职职工人数的比例不低于25%（含25%），并且安置的残疾人人数不少于10人（含10人）；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（2）依法与安置的每位残疾人签订了一年以上（含一年）的劳动合同或服务协议；</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（3）为安置的每位残疾人按月足额缴纳了基本养老保险、基本医疗保险、失业保险、工伤保险和生育保险等社会保险费；</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（4）通过银行等金融机构向安置的每位残疾人，按月支付了不低于单位所在区县适用的经省级人民政府批准的月最低工资标准的工资；</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（5）提供本单位制造的货物、承担的工程或者服务（以下简称产品），或者提供其他残疾人福利性单位制造的货物（不包括使用非残疾人福利性单位注册商标的货物）。</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对节能产品或环境标志产品的扶持：</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根据《关于调整优化节能产品、环境标志产品政府采购执行机制的通知》（财库〔2019〕9号）及《转发财政部 发展改革委 生态环境部 市场监管总局关于调整优化节能产品 环境标志产品政府采购执行机制的通知》（粤财采购函〔2019〕1号）的规定，对提供节能产品或环境标志产品的投标单位的价格给予一定比例扣除（扣除比例详见投标资料表）。</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提供节能产品或环境标志产品的投标人其产品应符合以下规定：</w:t>
      </w:r>
    </w:p>
    <w:p>
      <w:pPr>
        <w:widowControl w:val="0"/>
        <w:numPr>
          <w:ilvl w:val="0"/>
          <w:numId w:val="6"/>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所投产品属于《节能产品政府采购品目清单》或《环境标志产品政府采购品目清单》的，投标人应如实填写《节能产品或环境标志产品列价表》并提供在有效期内的“节能产品认证证书”或“环境标志产品认证证书”。</w:t>
      </w:r>
    </w:p>
    <w:p>
      <w:pPr>
        <w:widowControl w:val="0"/>
        <w:numPr>
          <w:ilvl w:val="0"/>
          <w:numId w:val="6"/>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所投节能产品或环境标志产品其认证证书的认证机构应属于《市场监管总局关于发布参与实施政府采购节能产品、环境标志产品认证机构名录的公告（2019年第16号）》公告中所公示的认证机构，若投标人所提供的产品认证证书其认证机构不属于以上公示中的机构，则视为无效认证，不给予价格扣除优惠。</w:t>
      </w:r>
    </w:p>
    <w:p>
      <w:pPr>
        <w:widowControl w:val="0"/>
        <w:numPr>
          <w:ilvl w:val="0"/>
          <w:numId w:val="6"/>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若用户需求中含有《节能产品政府采购品目清单》中的政府强制采购产品，投标人应根据要求提供所对应的节能产品，否则做投标无效处理。</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62" w:name="_Toc316375620"/>
      <w:bookmarkStart w:id="63" w:name="_Toc382049120"/>
      <w:bookmarkStart w:id="64" w:name="_Toc22591"/>
      <w:bookmarkStart w:id="65" w:name="_Toc20328"/>
      <w:r>
        <w:rPr>
          <w:rFonts w:hint="eastAsia" w:ascii="宋体" w:hAnsi="宋体" w:eastAsia="宋体"/>
          <w:color w:val="auto"/>
          <w:sz w:val="21"/>
          <w:szCs w:val="21"/>
          <w:highlight w:val="none"/>
        </w:rPr>
        <w:t>28.纪律和</w:t>
      </w:r>
      <w:r>
        <w:rPr>
          <w:rFonts w:ascii="宋体" w:hAnsi="宋体" w:eastAsia="宋体"/>
          <w:color w:val="auto"/>
          <w:sz w:val="21"/>
          <w:szCs w:val="21"/>
          <w:highlight w:val="none"/>
        </w:rPr>
        <w:t>保密</w:t>
      </w:r>
      <w:bookmarkEnd w:id="62"/>
      <w:r>
        <w:rPr>
          <w:rFonts w:hint="eastAsia" w:ascii="宋体" w:hAnsi="宋体" w:eastAsia="宋体"/>
          <w:color w:val="auto"/>
          <w:sz w:val="21"/>
          <w:szCs w:val="21"/>
          <w:highlight w:val="none"/>
        </w:rPr>
        <w:t>事项</w:t>
      </w:r>
      <w:bookmarkEnd w:id="63"/>
      <w:bookmarkEnd w:id="64"/>
      <w:bookmarkEnd w:id="65"/>
    </w:p>
    <w:p>
      <w:pPr>
        <w:pStyle w:val="28"/>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投标人不得串通作弊，以不正当的手段妨碍、排挤其他投标人，扰乱招标市场，破坏公平竞争原则。否则将按相关法律规定严肃处理。</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5"/>
        <w:numPr>
          <w:ilvl w:val="0"/>
          <w:numId w:val="2"/>
        </w:numPr>
        <w:spacing w:before="0" w:after="0" w:line="480" w:lineRule="auto"/>
        <w:jc w:val="center"/>
        <w:rPr>
          <w:rFonts w:ascii="宋体" w:hAnsi="宋体" w:eastAsia="宋体"/>
          <w:color w:val="auto"/>
          <w:highlight w:val="none"/>
        </w:rPr>
      </w:pPr>
      <w:bookmarkStart w:id="66" w:name="_Toc29310"/>
      <w:r>
        <w:rPr>
          <w:rFonts w:hint="eastAsia" w:ascii="宋体" w:hAnsi="宋体" w:eastAsia="宋体"/>
          <w:color w:val="auto"/>
          <w:highlight w:val="none"/>
        </w:rPr>
        <w:t>授予合同</w:t>
      </w:r>
      <w:bookmarkEnd w:id="66"/>
    </w:p>
    <w:p>
      <w:pPr>
        <w:pStyle w:val="6"/>
        <w:widowControl w:val="0"/>
        <w:overflowPunct w:val="0"/>
        <w:spacing w:before="0" w:after="0" w:line="240" w:lineRule="auto"/>
        <w:rPr>
          <w:rFonts w:ascii="宋体" w:hAnsi="宋体" w:eastAsia="宋体"/>
          <w:color w:val="auto"/>
          <w:sz w:val="21"/>
          <w:szCs w:val="21"/>
          <w:highlight w:val="none"/>
        </w:rPr>
      </w:pPr>
      <w:bookmarkStart w:id="67" w:name="_Toc508284011"/>
      <w:bookmarkStart w:id="68" w:name="_Toc27817"/>
      <w:r>
        <w:rPr>
          <w:rFonts w:hint="eastAsia" w:ascii="宋体" w:hAnsi="宋体" w:eastAsia="宋体"/>
          <w:color w:val="auto"/>
          <w:sz w:val="21"/>
          <w:szCs w:val="21"/>
          <w:highlight w:val="none"/>
        </w:rPr>
        <w:t>29.</w:t>
      </w:r>
      <w:r>
        <w:rPr>
          <w:rFonts w:ascii="宋体" w:hAnsi="宋体" w:eastAsia="宋体"/>
          <w:color w:val="auto"/>
          <w:sz w:val="21"/>
          <w:szCs w:val="21"/>
          <w:highlight w:val="none"/>
        </w:rPr>
        <w:t>合同授予标准</w:t>
      </w:r>
      <w:bookmarkEnd w:id="67"/>
      <w:bookmarkEnd w:id="68"/>
    </w:p>
    <w:p>
      <w:pPr>
        <w:pStyle w:val="28"/>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根据评标委员会的评审结果，采购人按照评审报告推荐的中标候选人中按顺序依法确定中标人</w:t>
      </w:r>
      <w:r>
        <w:rPr>
          <w:rFonts w:ascii="宋体" w:hAnsi="宋体" w:eastAsia="宋体"/>
          <w:color w:val="auto"/>
          <w:sz w:val="21"/>
          <w:szCs w:val="21"/>
          <w:highlight w:val="none"/>
        </w:rPr>
        <w:t>。</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69" w:name="_Toc29283"/>
      <w:bookmarkStart w:id="70" w:name="_Toc508284013"/>
      <w:r>
        <w:rPr>
          <w:rFonts w:hint="eastAsia" w:ascii="宋体" w:hAnsi="宋体" w:eastAsia="宋体"/>
          <w:color w:val="auto"/>
          <w:sz w:val="21"/>
          <w:szCs w:val="21"/>
          <w:highlight w:val="none"/>
        </w:rPr>
        <w:t>30.发布采购结果</w:t>
      </w:r>
      <w:bookmarkEnd w:id="69"/>
      <w:bookmarkEnd w:id="70"/>
    </w:p>
    <w:p>
      <w:pPr>
        <w:pStyle w:val="28"/>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评标委员会提出评标书面报告和推荐中标意见报采购人确认后，采购代理机构将在指定的信息发布媒体上发布公告。</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中标公告期限为1个工作日。</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结果公示发布后，中标单位应及时领取中标通知书。《中标通知书》是合同的一个组成部分，《中标通知书》对采购人和中标人均具有同等法律效力。</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中标人无正当理由不得放弃中标，因中标人放弃中标而对采购人造成的损失由放弃中标的中标人承担。</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中标人为残疾人福利性单位的，采购人或者其委托的采购代理机构应当随中标、成交结果同时公告其《残疾人福利性单位声明函》，接受社会监督。</w:t>
      </w:r>
    </w:p>
    <w:p>
      <w:pPr>
        <w:widowControl w:val="0"/>
        <w:numPr>
          <w:ilvl w:val="1"/>
          <w:numId w:val="3"/>
        </w:numPr>
        <w:tabs>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原件核查</w:t>
      </w:r>
    </w:p>
    <w:p>
      <w:pPr>
        <w:widowControl w:val="0"/>
        <w:numPr>
          <w:ilvl w:val="2"/>
          <w:numId w:val="3"/>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采购结果发布后，采购代理机构或采购人有权对中标单位进行原件核查，中标单位应在五个工作日内把相关原件递交至采购代理机构办公地址或采购人指定地址进行核查。</w:t>
      </w:r>
    </w:p>
    <w:p>
      <w:pPr>
        <w:widowControl w:val="0"/>
        <w:numPr>
          <w:ilvl w:val="2"/>
          <w:numId w:val="3"/>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中标单位有下列情形之一的，取消中标资格：</w:t>
      </w:r>
    </w:p>
    <w:p>
      <w:pPr>
        <w:widowControl w:val="0"/>
        <w:numPr>
          <w:ilvl w:val="0"/>
          <w:numId w:val="7"/>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拒绝采购人或采购代理机构原件核查要求的；</w:t>
      </w:r>
    </w:p>
    <w:p>
      <w:pPr>
        <w:widowControl w:val="0"/>
        <w:numPr>
          <w:ilvl w:val="0"/>
          <w:numId w:val="7"/>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未在规定时间内将原件递交到到采购代理机构办公地址或采购人指定地址进行核查的；</w:t>
      </w:r>
    </w:p>
    <w:p>
      <w:pPr>
        <w:widowControl w:val="0"/>
        <w:numPr>
          <w:ilvl w:val="0"/>
          <w:numId w:val="7"/>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在规定时间内递交的原件数量、内容与采购人、采购代理机构要求不一致的；</w:t>
      </w:r>
    </w:p>
    <w:p>
      <w:pPr>
        <w:widowControl w:val="0"/>
        <w:numPr>
          <w:ilvl w:val="0"/>
          <w:numId w:val="7"/>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因原件续期、更改等原因不能按时递交原件且未能在规定时间内提供相应部门开具的变更、续期等证明的；</w:t>
      </w:r>
    </w:p>
    <w:p>
      <w:pPr>
        <w:widowControl w:val="0"/>
        <w:numPr>
          <w:ilvl w:val="0"/>
          <w:numId w:val="7"/>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经查原件，投标文件内容有造假行为的。</w:t>
      </w:r>
    </w:p>
    <w:p>
      <w:pPr>
        <w:widowControl w:val="0"/>
        <w:numPr>
          <w:ilvl w:val="2"/>
          <w:numId w:val="3"/>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采购结果发布后，采购代理机构或采购人有权对递交了投标文件的未中标投标人进行原件核查。投标人应在采购代理机构或采购人发出纸质通知五个工作日内将原件递交到采购代理机构办公地址或采购人指定地址进行核查。</w:t>
      </w:r>
    </w:p>
    <w:p>
      <w:pPr>
        <w:widowControl w:val="0"/>
        <w:numPr>
          <w:ilvl w:val="2"/>
          <w:numId w:val="3"/>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投标人有下列情形之一的，投标文件作无效处理，其投标无效：</w:t>
      </w:r>
    </w:p>
    <w:p>
      <w:pPr>
        <w:widowControl w:val="0"/>
        <w:numPr>
          <w:ilvl w:val="0"/>
          <w:numId w:val="8"/>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拒绝采购人或采购代理机构原件核查要求的；</w:t>
      </w:r>
    </w:p>
    <w:p>
      <w:pPr>
        <w:widowControl w:val="0"/>
        <w:numPr>
          <w:ilvl w:val="0"/>
          <w:numId w:val="8"/>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未在规定时间内将原件递交到到采购代理机构办公地址或采购人指定地址进行核查的；</w:t>
      </w:r>
    </w:p>
    <w:p>
      <w:pPr>
        <w:widowControl w:val="0"/>
        <w:numPr>
          <w:ilvl w:val="0"/>
          <w:numId w:val="8"/>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在规定时间内递交的原件数量、内容不符合采购人、采购代理机构要求的；</w:t>
      </w:r>
    </w:p>
    <w:p>
      <w:pPr>
        <w:widowControl w:val="0"/>
        <w:numPr>
          <w:ilvl w:val="0"/>
          <w:numId w:val="8"/>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因原件续期、更改等原因不能按时递交原件且未能在规定时间内提供相应部门开具的变更、续期等证明的；</w:t>
      </w:r>
    </w:p>
    <w:p>
      <w:pPr>
        <w:widowControl w:val="0"/>
        <w:numPr>
          <w:ilvl w:val="0"/>
          <w:numId w:val="8"/>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经查原件，投标文件内容有造假行为的。</w:t>
      </w:r>
    </w:p>
    <w:p>
      <w:pPr>
        <w:widowControl w:val="0"/>
        <w:numPr>
          <w:ilvl w:val="2"/>
          <w:numId w:val="3"/>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若投标人出现虚假应标情况，投标文件作无效处理，其投标、中标无效。并根据相关法律上报相关监管部门。</w:t>
      </w:r>
    </w:p>
    <w:p>
      <w:pPr>
        <w:widowControl w:val="0"/>
        <w:numPr>
          <w:ilvl w:val="2"/>
          <w:numId w:val="3"/>
        </w:numPr>
        <w:tabs>
          <w:tab w:val="left" w:pos="567"/>
          <w:tab w:val="left" w:pos="907"/>
          <w:tab w:val="clear" w:pos="794"/>
        </w:tabs>
        <w:adjustRightInd/>
        <w:snapToGrid/>
        <w:spacing w:after="0" w:line="360" w:lineRule="exact"/>
        <w:jc w:val="both"/>
        <w:rPr>
          <w:color w:val="auto"/>
          <w:highlight w:val="none"/>
        </w:rPr>
      </w:pPr>
      <w:r>
        <w:rPr>
          <w:rFonts w:hint="eastAsia" w:ascii="宋体" w:hAnsi="宋体" w:eastAsia="宋体"/>
          <w:color w:val="auto"/>
          <w:sz w:val="21"/>
          <w:szCs w:val="21"/>
          <w:highlight w:val="none"/>
        </w:rPr>
        <w:t>属于建办市函[2016]462号通知内的证件可不提供原件，仅提供带二维码原件的复印件即可。</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71" w:name="_Toc22451"/>
      <w:r>
        <w:rPr>
          <w:rFonts w:hint="eastAsia" w:ascii="宋体" w:hAnsi="宋体" w:eastAsia="宋体"/>
          <w:color w:val="auto"/>
          <w:sz w:val="21"/>
          <w:szCs w:val="21"/>
          <w:highlight w:val="none"/>
        </w:rPr>
        <w:t>31.合同的签订与履行</w:t>
      </w:r>
      <w:bookmarkEnd w:id="71"/>
    </w:p>
    <w:p>
      <w:pPr>
        <w:pStyle w:val="28"/>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采购人应当自采购结果公示发出之日起30日内，按照招标文件和中标人投标文件的规定，与中标人签订书面合同。所签订的合同不得对招标文件确定的事项和中标人投标文件作实质性修改。</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采购人与中标人应当根据合同的约定依法履行合同义务。</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政府采购合同的履行、违约责任和解决争议的方法等适用《中华人民共和国民法典》。</w:t>
      </w:r>
    </w:p>
    <w:p>
      <w:pPr>
        <w:widowControl w:val="0"/>
        <w:numPr>
          <w:ilvl w:val="1"/>
          <w:numId w:val="3"/>
        </w:numPr>
        <w:tabs>
          <w:tab w:val="left" w:pos="907"/>
        </w:tabs>
        <w:adjustRightInd/>
        <w:snapToGrid/>
        <w:spacing w:after="0" w:line="360" w:lineRule="exact"/>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合同签订之日起2个工作日内，中标人应将所签订的合同副本（加盖公章）交至广东政通招标有限公司归档。</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投标人在评审结束当天至合同履行结束，若因不可抗力的因素（如国家出台新法律法规等）造成投标人资质的变动，投标人应以纸质版形式通知采购人。若资质变动导致中标投标人不再具备履行合同资质要求，采购人有权中止合同。</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中标人拒绝与采购人签订合同的，采购人可以按照评审报告推荐的中标候选人名单排序，确定下一候选人为中标人，也可以重新开展政府采购活动。</w:t>
      </w:r>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72" w:name="_Toc29009"/>
      <w:bookmarkStart w:id="73" w:name="_Toc2744"/>
      <w:bookmarkStart w:id="74" w:name="_Toc382049124"/>
      <w:bookmarkStart w:id="75" w:name="_Toc303084277"/>
      <w:r>
        <w:rPr>
          <w:rFonts w:hint="eastAsia" w:ascii="宋体" w:hAnsi="宋体" w:eastAsia="宋体"/>
          <w:color w:val="auto"/>
          <w:sz w:val="21"/>
          <w:szCs w:val="21"/>
          <w:highlight w:val="none"/>
        </w:rPr>
        <w:t>32.</w:t>
      </w:r>
      <w:r>
        <w:rPr>
          <w:rFonts w:ascii="宋体" w:hAnsi="宋体" w:eastAsia="宋体"/>
          <w:color w:val="auto"/>
          <w:sz w:val="21"/>
          <w:szCs w:val="21"/>
          <w:highlight w:val="none"/>
        </w:rPr>
        <w:t>履约</w:t>
      </w:r>
      <w:r>
        <w:rPr>
          <w:rFonts w:hint="eastAsia" w:ascii="宋体" w:hAnsi="宋体" w:eastAsia="宋体"/>
          <w:color w:val="auto"/>
          <w:sz w:val="21"/>
          <w:szCs w:val="21"/>
          <w:highlight w:val="none"/>
        </w:rPr>
        <w:t>保证金</w:t>
      </w:r>
      <w:bookmarkEnd w:id="72"/>
      <w:bookmarkEnd w:id="73"/>
      <w:bookmarkEnd w:id="74"/>
      <w:bookmarkEnd w:id="75"/>
      <w:r>
        <w:rPr>
          <w:rFonts w:hint="eastAsia" w:ascii="宋体" w:hAnsi="宋体" w:eastAsia="宋体"/>
          <w:color w:val="auto"/>
          <w:sz w:val="21"/>
          <w:szCs w:val="21"/>
          <w:highlight w:val="none"/>
        </w:rPr>
        <w:t>（以履约保函的形式提交）</w:t>
      </w:r>
    </w:p>
    <w:p>
      <w:pPr>
        <w:pStyle w:val="28"/>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应在领取中标通知书之后签订合同之前递交履约保证金（履约保函的提交与履约保证金的提交时间一致）。给采购人造成的损失超过投标担保数额的，还应当由其对超过部分予以赔偿，并依法追究其责任。中标人应在汇入履约保证金时在汇款单备注中注明：中标项目名称及中标项目编号。</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采用保证金（银行转帐、电汇）方式：中标人必须保证资金在签订合同前到帐。履约保证金账户采购人另行通知，到期后无息退还。</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履约保函方式：履约担保。是指由担保机构为供应商交纳履约保证金向采购人或采购代理机构提供的保证担保。供应商未按政府采购合同履行约定义务的，由担保机构按照担保函约定履行支付履约保证金的责任。（投标担保格式详见附件《政府采购投标担保函》）</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中标人须将履约保证金的汇款凭证 (注明中标通知书或项目编号)或履约保函（采购人注明原件已收到并盖章）用A4纸复印一式四份并加盖中标人的公章送至采购代理机构。</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履约保证金退回：履约保证金在项目验收合格后，中标人向采购人提交退回履约保证金的申请、履约保证金汇款凭证复印件、采购合同、采购项目验收报告原件、中标通知书复印件，前往采购人办理履约保证金退还手续。</w:t>
      </w:r>
    </w:p>
    <w:p>
      <w:pPr>
        <w:rPr>
          <w:color w:val="auto"/>
          <w:highlight w:val="none"/>
        </w:rPr>
      </w:pPr>
    </w:p>
    <w:p>
      <w:pPr>
        <w:pStyle w:val="5"/>
        <w:numPr>
          <w:ilvl w:val="0"/>
          <w:numId w:val="2"/>
        </w:numPr>
        <w:spacing w:before="0" w:after="0" w:line="480" w:lineRule="auto"/>
        <w:jc w:val="center"/>
        <w:rPr>
          <w:rFonts w:ascii="宋体" w:hAnsi="宋体" w:eastAsia="宋体"/>
          <w:color w:val="auto"/>
          <w:highlight w:val="none"/>
        </w:rPr>
      </w:pPr>
      <w:bookmarkStart w:id="76" w:name="_Toc13694"/>
      <w:r>
        <w:rPr>
          <w:rFonts w:hint="eastAsia" w:ascii="宋体" w:hAnsi="宋体" w:eastAsia="宋体"/>
          <w:color w:val="auto"/>
          <w:highlight w:val="none"/>
        </w:rPr>
        <w:t>询问或质疑</w:t>
      </w:r>
      <w:bookmarkEnd w:id="76"/>
    </w:p>
    <w:p>
      <w:pPr>
        <w:pStyle w:val="6"/>
        <w:widowControl w:val="0"/>
        <w:overflowPunct w:val="0"/>
        <w:spacing w:before="0" w:after="0" w:line="240" w:lineRule="auto"/>
        <w:rPr>
          <w:rFonts w:ascii="宋体" w:hAnsi="宋体" w:eastAsia="宋体"/>
          <w:color w:val="auto"/>
          <w:sz w:val="21"/>
          <w:szCs w:val="21"/>
          <w:highlight w:val="none"/>
        </w:rPr>
      </w:pPr>
      <w:bookmarkStart w:id="77" w:name="_Toc25498"/>
      <w:r>
        <w:rPr>
          <w:rFonts w:hint="eastAsia" w:ascii="宋体" w:hAnsi="宋体" w:eastAsia="宋体"/>
          <w:color w:val="auto"/>
          <w:sz w:val="21"/>
          <w:szCs w:val="21"/>
          <w:highlight w:val="none"/>
        </w:rPr>
        <w:t>33.询问</w:t>
      </w:r>
      <w:bookmarkEnd w:id="77"/>
    </w:p>
    <w:p>
      <w:pPr>
        <w:pStyle w:val="28"/>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投标人对政府采购活动事项（招标文件、采购过程和采购结果）有疑问的，可以按规定向采购代理机构提出询问。</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78" w:name="_Toc8234"/>
      <w:r>
        <w:rPr>
          <w:rFonts w:hint="eastAsia" w:ascii="宋体" w:hAnsi="宋体" w:eastAsia="宋体"/>
          <w:color w:val="auto"/>
          <w:sz w:val="21"/>
          <w:szCs w:val="21"/>
          <w:highlight w:val="none"/>
        </w:rPr>
        <w:t>34.质疑</w:t>
      </w:r>
      <w:bookmarkEnd w:id="78"/>
    </w:p>
    <w:p>
      <w:pPr>
        <w:pStyle w:val="28"/>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提出质疑的投标人应当是参与所质疑项目采购活动的供应商或是在规定的时间内已依法获取其可质疑的招标文件的潜在供应商。</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供应商认为招标文件、采购过程、中标或者成交结果使自己的权益受到损害的，可以在知道或者应知其权益受到损害之日起7个工作日内，以书面形式向采购人、采购代理机构提出质疑。超过规定时间提交的质疑函不予受理。</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投标人在法定质疑期内须一次性提出针对同一采购程序环节的质疑，对同一采购程序环节的二次质疑采购代理机构不予受理。</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将招标文件所规定的纸质版形式（质疑须提交以下资料并加盖投标人公章：质疑函原件、营业执照复印件、法人身份证复印件、联系方式及法人授权委托书原件加盖公章；若质疑由法人提交，则将提供法人授权委托书原件加盖公章更换为提供法人身份证复印件加盖公章且签字）的质疑按法律规定提交至采购代理机构指定办公地点（递交地点、联系人详见投标邀请书）。投标人以电话、传真或电邮形式提交的质疑属于无效质疑。</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授权委托书应当载明代理人的姓名或者名称、代理事项、具体权限、期限和相关事项。</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投标人提出质疑应当提交质疑函和必要的证明材料（须注明法律依据），因缺少相关证明材料或证明材料存在不真实而导致的后果由投标人自行承担。</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不涉及对投标人利益造成损害的相关内容，不能作为质疑内容提交。</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投诉人在全国范围12个月内三次以上投诉查无实据的，由财政部门列入不良行为记录名单。</w:t>
      </w:r>
    </w:p>
    <w:p>
      <w:pPr>
        <w:widowControl w:val="0"/>
        <w:numPr>
          <w:ilvl w:val="1"/>
          <w:numId w:val="3"/>
        </w:numPr>
        <w:tabs>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投诉人有下列行为之一的，属于虚假、恶意投诉，由财政部门列入不良行为记录名单，禁止其1至3年内参加全国范围内的政府采购活动：</w:t>
      </w:r>
    </w:p>
    <w:p>
      <w:pPr>
        <w:widowControl w:val="0"/>
        <w:tabs>
          <w:tab w:val="left" w:pos="907"/>
        </w:tabs>
        <w:adjustRightInd/>
        <w:snapToGrid/>
        <w:spacing w:after="0" w:line="360" w:lineRule="exact"/>
        <w:ind w:left="567"/>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（一）捏造事实;</w:t>
      </w:r>
    </w:p>
    <w:p>
      <w:pPr>
        <w:widowControl w:val="0"/>
        <w:tabs>
          <w:tab w:val="left" w:pos="907"/>
        </w:tabs>
        <w:adjustRightInd/>
        <w:snapToGrid/>
        <w:spacing w:after="0" w:line="360" w:lineRule="exact"/>
        <w:ind w:left="567"/>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（二）提供虚假材料;</w:t>
      </w:r>
    </w:p>
    <w:p>
      <w:pPr>
        <w:widowControl w:val="0"/>
        <w:tabs>
          <w:tab w:val="left" w:pos="907"/>
        </w:tabs>
        <w:adjustRightInd/>
        <w:snapToGrid/>
        <w:spacing w:after="0" w:line="360" w:lineRule="exact"/>
        <w:ind w:left="567"/>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（三）以非法手段取得证明材料。证据来源的合法性存在明显疑问，投诉人无法证明其取得方式合法的，视为以非法手段取得证明材料。</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以联合体形式参加政府采购活动的，其质疑应当由组成联合体的所有投标人共同提出。</w:t>
      </w:r>
    </w:p>
    <w:p>
      <w:pPr>
        <w:rPr>
          <w:color w:val="auto"/>
          <w:highlight w:val="none"/>
        </w:rPr>
      </w:pPr>
    </w:p>
    <w:p>
      <w:pPr>
        <w:pStyle w:val="5"/>
        <w:numPr>
          <w:ilvl w:val="0"/>
          <w:numId w:val="2"/>
        </w:numPr>
        <w:spacing w:before="0" w:after="0" w:line="480" w:lineRule="auto"/>
        <w:jc w:val="center"/>
        <w:rPr>
          <w:rFonts w:ascii="宋体" w:hAnsi="宋体" w:eastAsia="宋体"/>
          <w:color w:val="auto"/>
          <w:highlight w:val="none"/>
        </w:rPr>
      </w:pPr>
      <w:bookmarkStart w:id="79" w:name="_Toc24383"/>
      <w:r>
        <w:rPr>
          <w:rFonts w:hint="eastAsia" w:ascii="宋体" w:hAnsi="宋体" w:eastAsia="宋体"/>
          <w:color w:val="auto"/>
          <w:highlight w:val="none"/>
        </w:rPr>
        <w:t>其他</w:t>
      </w:r>
      <w:bookmarkEnd w:id="79"/>
    </w:p>
    <w:p>
      <w:pPr>
        <w:pStyle w:val="6"/>
        <w:widowControl w:val="0"/>
        <w:overflowPunct w:val="0"/>
        <w:spacing w:before="0" w:after="0" w:line="240" w:lineRule="auto"/>
        <w:rPr>
          <w:rFonts w:ascii="宋体" w:hAnsi="宋体" w:eastAsia="宋体"/>
          <w:color w:val="auto"/>
          <w:sz w:val="21"/>
          <w:szCs w:val="21"/>
          <w:highlight w:val="none"/>
        </w:rPr>
      </w:pPr>
      <w:bookmarkStart w:id="80" w:name="_Toc10082"/>
      <w:r>
        <w:rPr>
          <w:rFonts w:hint="eastAsia" w:ascii="宋体" w:hAnsi="宋体" w:eastAsia="宋体"/>
          <w:color w:val="auto"/>
          <w:sz w:val="21"/>
          <w:szCs w:val="21"/>
          <w:highlight w:val="none"/>
        </w:rPr>
        <w:t>35.招标文件的解释权</w:t>
      </w:r>
      <w:bookmarkEnd w:id="80"/>
    </w:p>
    <w:p>
      <w:pPr>
        <w:pStyle w:val="28"/>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招标文件版本号：广东政通20210101。</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本招标文件是根据国家有关法律、法规以及政府采购管理有关规定和参照国际惯例编制，解释权属本采购代理机构。</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4"/>
        <w:spacing w:before="0" w:after="0" w:line="240" w:lineRule="auto"/>
        <w:rPr>
          <w:color w:val="auto"/>
          <w:sz w:val="28"/>
          <w:szCs w:val="28"/>
          <w:highlight w:val="none"/>
        </w:rPr>
      </w:pPr>
      <w:bookmarkStart w:id="81" w:name="_Toc21448"/>
      <w:r>
        <w:rPr>
          <w:rFonts w:hint="eastAsia"/>
          <w:color w:val="auto"/>
          <w:sz w:val="28"/>
          <w:szCs w:val="28"/>
          <w:highlight w:val="none"/>
        </w:rPr>
        <w:t>第五部分 合同格式（仅供参考）</w:t>
      </w:r>
      <w:bookmarkEnd w:id="81"/>
      <w:bookmarkStart w:id="82" w:name="_Toc1534"/>
      <w:bookmarkStart w:id="83" w:name="_Toc13430"/>
      <w:bookmarkStart w:id="84" w:name="_Toc21155"/>
    </w:p>
    <w:p>
      <w:pPr>
        <w:pStyle w:val="5"/>
        <w:spacing w:before="0" w:after="0" w:line="240" w:lineRule="auto"/>
        <w:jc w:val="center"/>
        <w:rPr>
          <w:rFonts w:ascii="宋体" w:hAnsi="宋体" w:eastAsia="宋体" w:cs="宋体"/>
          <w:color w:val="auto"/>
          <w:highlight w:val="none"/>
        </w:rPr>
      </w:pPr>
      <w:bookmarkStart w:id="85" w:name="_Toc16730"/>
      <w:r>
        <w:rPr>
          <w:rFonts w:hint="eastAsia" w:ascii="宋体" w:hAnsi="宋体" w:eastAsia="宋体" w:cs="宋体"/>
          <w:color w:val="auto"/>
          <w:highlight w:val="none"/>
        </w:rPr>
        <w:t>合同格式</w:t>
      </w:r>
      <w:bookmarkEnd w:id="82"/>
      <w:bookmarkEnd w:id="83"/>
      <w:bookmarkEnd w:id="84"/>
      <w:bookmarkEnd w:id="85"/>
    </w:p>
    <w:p>
      <w:pPr>
        <w:spacing w:line="420" w:lineRule="atLeast"/>
        <w:ind w:right="560"/>
        <w:rPr>
          <w:rFonts w:ascii="宋体" w:hAnsi="宋体" w:eastAsia="宋体"/>
          <w:color w:val="auto"/>
          <w:sz w:val="21"/>
          <w:szCs w:val="21"/>
          <w:highlight w:val="none"/>
        </w:rPr>
      </w:pPr>
      <w:r>
        <w:rPr>
          <w:rFonts w:hint="eastAsia" w:ascii="宋体" w:hAnsi="宋体" w:eastAsia="宋体"/>
          <w:color w:val="auto"/>
          <w:sz w:val="21"/>
          <w:szCs w:val="21"/>
          <w:highlight w:val="none"/>
        </w:rPr>
        <w:t>合同编号：</w:t>
      </w:r>
    </w:p>
    <w:p>
      <w:pPr>
        <w:spacing w:line="420" w:lineRule="atLeast"/>
        <w:rPr>
          <w:rFonts w:ascii="宋体" w:hAnsi="宋体" w:eastAsia="宋体"/>
          <w:color w:val="auto"/>
          <w:sz w:val="21"/>
          <w:szCs w:val="21"/>
          <w:highlight w:val="none"/>
        </w:rPr>
      </w:pPr>
      <w:r>
        <w:rPr>
          <w:rFonts w:hint="eastAsia" w:ascii="宋体" w:hAnsi="宋体" w:eastAsia="宋体"/>
          <w:color w:val="auto"/>
          <w:sz w:val="21"/>
          <w:szCs w:val="21"/>
          <w:highlight w:val="none"/>
        </w:rPr>
        <w:t>甲方：</w:t>
      </w:r>
    </w:p>
    <w:p>
      <w:pPr>
        <w:spacing w:line="420" w:lineRule="atLeast"/>
        <w:rPr>
          <w:rFonts w:ascii="宋体" w:hAnsi="宋体" w:eastAsia="宋体"/>
          <w:color w:val="auto"/>
          <w:sz w:val="21"/>
          <w:szCs w:val="21"/>
          <w:highlight w:val="none"/>
        </w:rPr>
      </w:pPr>
      <w:r>
        <w:rPr>
          <w:rFonts w:hint="eastAsia" w:ascii="宋体" w:hAnsi="宋体" w:eastAsia="宋体"/>
          <w:color w:val="auto"/>
          <w:sz w:val="21"/>
          <w:szCs w:val="21"/>
          <w:highlight w:val="none"/>
        </w:rPr>
        <w:t>乙方：“ ”为中标单位</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受甲方委托，</w:t>
      </w:r>
      <w:r>
        <w:rPr>
          <w:rFonts w:hint="eastAsia" w:ascii="宋体" w:hAnsi="宋体" w:eastAsia="宋体"/>
          <w:color w:val="auto"/>
          <w:sz w:val="21"/>
          <w:szCs w:val="21"/>
          <w:highlight w:val="none"/>
          <w:u w:val="single"/>
        </w:rPr>
        <w:t xml:space="preserve">           (采购代理机构)</w:t>
      </w:r>
      <w:r>
        <w:rPr>
          <w:rFonts w:hint="eastAsia" w:ascii="宋体" w:hAnsi="宋体" w:eastAsia="宋体"/>
          <w:color w:val="auto"/>
          <w:sz w:val="21"/>
          <w:szCs w:val="21"/>
          <w:highlight w:val="none"/>
        </w:rPr>
        <w:t>组织对</w:t>
      </w:r>
      <w:r>
        <w:rPr>
          <w:rFonts w:hint="eastAsia" w:ascii="宋体" w:hAnsi="宋体" w:eastAsia="宋体"/>
          <w:color w:val="auto"/>
          <w:sz w:val="21"/>
          <w:szCs w:val="21"/>
          <w:highlight w:val="none"/>
          <w:u w:val="single"/>
        </w:rPr>
        <w:t xml:space="preserve">         （项目名称）</w:t>
      </w:r>
      <w:r>
        <w:rPr>
          <w:rFonts w:hint="eastAsia" w:ascii="宋体" w:hAnsi="宋体" w:eastAsia="宋体"/>
          <w:color w:val="auto"/>
          <w:sz w:val="21"/>
          <w:szCs w:val="21"/>
          <w:highlight w:val="none"/>
        </w:rPr>
        <w:t>采购项目（采购项目编号为）进行采购，于年月日通过公开招标，经评标委员会评定乙方为中标单位。为了保护甲、乙双方合法权益，根据《中华人民共和国政府采购法》及其实施条例、《中华人民共和国</w:t>
      </w:r>
      <w:r>
        <w:rPr>
          <w:rFonts w:hint="eastAsia" w:eastAsia="宋体"/>
          <w:color w:val="auto"/>
          <w:highlight w:val="none"/>
        </w:rPr>
        <w:t>民法典</w:t>
      </w:r>
      <w:r>
        <w:rPr>
          <w:rFonts w:hint="eastAsia" w:ascii="宋体" w:hAnsi="宋体" w:eastAsia="宋体"/>
          <w:color w:val="auto"/>
          <w:sz w:val="21"/>
          <w:szCs w:val="21"/>
          <w:highlight w:val="none"/>
        </w:rPr>
        <w:t>》，在平等自愿的基础上，按照下面的条款和条件，签署本合同。</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第一条 合同项目</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1、项目名称：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2、采购项目编号：                   。</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第二条 合同组成</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1、合同文件组成内容包括：本合同书 、中标通知书、投标文件（含澄清内容）、招标文件（含招标文件澄清通知）等。</w:t>
      </w:r>
    </w:p>
    <w:p>
      <w:pPr>
        <w:spacing w:after="0" w:line="360" w:lineRule="auto"/>
        <w:ind w:firstLine="422" w:firstLineChars="200"/>
        <w:rPr>
          <w:rFonts w:ascii="宋体" w:hAnsi="宋体" w:eastAsia="宋体"/>
          <w:b/>
          <w:color w:val="auto"/>
          <w:sz w:val="21"/>
          <w:szCs w:val="21"/>
          <w:highlight w:val="none"/>
        </w:rPr>
      </w:pPr>
      <w:bookmarkStart w:id="86" w:name="_Toc86481558"/>
      <w:r>
        <w:rPr>
          <w:rFonts w:hint="eastAsia" w:ascii="宋体" w:hAnsi="宋体" w:eastAsia="宋体"/>
          <w:b/>
          <w:color w:val="auto"/>
          <w:sz w:val="21"/>
          <w:szCs w:val="21"/>
          <w:highlight w:val="none"/>
        </w:rPr>
        <w:t>第三条 服务内容、标准及要求</w:t>
      </w:r>
    </w:p>
    <w:p>
      <w:pPr>
        <w:spacing w:after="0" w:line="360" w:lineRule="auto"/>
        <w:rPr>
          <w:rFonts w:ascii="宋体" w:hAnsi="宋体" w:eastAsia="宋体" w:cs="仿宋"/>
          <w:color w:val="auto"/>
          <w:sz w:val="21"/>
          <w:szCs w:val="21"/>
          <w:highlight w:val="none"/>
          <w:u w:val="single"/>
          <w:shd w:val="clear" w:color="auto" w:fill="FFFFFF"/>
        </w:rPr>
      </w:pPr>
      <w:r>
        <w:rPr>
          <w:rFonts w:hint="eastAsia" w:ascii="宋体" w:hAnsi="宋体" w:eastAsia="宋体" w:cs="仿宋"/>
          <w:color w:val="auto"/>
          <w:sz w:val="21"/>
          <w:szCs w:val="21"/>
          <w:highlight w:val="none"/>
          <w:shd w:val="clear" w:color="auto" w:fill="FFFFFF"/>
        </w:rPr>
        <w:t>1、采购内容：</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2、采购标准：</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3、采购要求：</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4、具体采购内容采购标准及要求以招标文件用户需求书及乙方投标文件承诺条款及方案为准。</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第四条 价格</w:t>
      </w:r>
    </w:p>
    <w:p>
      <w:pPr>
        <w:spacing w:after="0" w:line="360" w:lineRule="auto"/>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1、合同总价包含：人工费、材料费、设备使用费、各种税费、保险费及合同实施过程中的不可预见费用等全部费用，按本次招标范围及中标价一次包干，结算时不作调整。</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2、合同总价：（人民币）大写 （¥）</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3、本合同价为固定不变价。</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第五条 服务期限及地点</w:t>
      </w:r>
    </w:p>
    <w:p>
      <w:pPr>
        <w:spacing w:after="0" w:line="360" w:lineRule="auto"/>
        <w:ind w:firstLine="495" w:firstLineChars="236"/>
        <w:rPr>
          <w:rFonts w:ascii="宋体" w:hAnsi="宋体" w:eastAsia="宋体"/>
          <w:color w:val="auto"/>
          <w:sz w:val="21"/>
          <w:szCs w:val="21"/>
          <w:highlight w:val="none"/>
        </w:rPr>
      </w:pPr>
      <w:r>
        <w:rPr>
          <w:rFonts w:hint="eastAsia" w:ascii="宋体" w:hAnsi="宋体" w:eastAsia="宋体"/>
          <w:color w:val="auto"/>
          <w:sz w:val="21"/>
          <w:szCs w:val="21"/>
          <w:highlight w:val="none"/>
        </w:rPr>
        <w:t>1、服务期：  年，合同生效之日自       年  月  日至     年  月  日止。</w:t>
      </w:r>
    </w:p>
    <w:p>
      <w:pPr>
        <w:spacing w:after="0" w:line="360" w:lineRule="auto"/>
        <w:ind w:firstLine="495" w:firstLineChars="236"/>
        <w:rPr>
          <w:rFonts w:ascii="宋体" w:hAnsi="宋体" w:eastAsia="宋体"/>
          <w:color w:val="auto"/>
          <w:sz w:val="21"/>
          <w:szCs w:val="21"/>
          <w:highlight w:val="none"/>
        </w:rPr>
      </w:pPr>
      <w:r>
        <w:rPr>
          <w:rFonts w:hint="eastAsia" w:ascii="宋体" w:hAnsi="宋体" w:eastAsia="宋体"/>
          <w:color w:val="auto"/>
          <w:sz w:val="21"/>
          <w:szCs w:val="21"/>
          <w:highlight w:val="none"/>
        </w:rPr>
        <w:t>2、服务地点：              或甲方指定地点。</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第六条 付款方式</w:t>
      </w:r>
    </w:p>
    <w:p>
      <w:pPr>
        <w:pStyle w:val="17"/>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1、本合同的付款方式为：。</w:t>
      </w:r>
    </w:p>
    <w:p>
      <w:pPr>
        <w:pStyle w:val="17"/>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第七条 验收方式</w:t>
      </w:r>
    </w:p>
    <w:p>
      <w:pPr>
        <w:pStyle w:val="17"/>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1、验收应在甲乙双方共同参加下进行，依据招标文件及本合同的有关规定制定的方案进行验收，并按国家有关规定、规范进行。</w:t>
      </w:r>
    </w:p>
    <w:p>
      <w:pPr>
        <w:pStyle w:val="17"/>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2、甲方组织项目验收小组按国家有关规定、规范进行验收，必要时邀请相关专业人员或机构参与验收。</w:t>
      </w:r>
    </w:p>
    <w:p>
      <w:pPr>
        <w:pStyle w:val="17"/>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3、对验收不合格的部分，乙方应在甲方规定时间内及时整改完善直至合格。</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第八条 税和关税</w:t>
      </w:r>
    </w:p>
    <w:p>
      <w:pPr>
        <w:pStyle w:val="17"/>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1、中国政府根据现行税法对甲方征收的与本合同有关的一切税费均应由甲方承担。</w:t>
      </w:r>
    </w:p>
    <w:p>
      <w:pPr>
        <w:pStyle w:val="17"/>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2、中国政府根据现行税法规定对乙方或其雇员征收的与本合同有关的一切税费应由乙方承担。</w:t>
      </w:r>
    </w:p>
    <w:p>
      <w:pPr>
        <w:pStyle w:val="17"/>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3、在中国境外发生的与本合同执行有关的一切税费均应由乙方承担。</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第九条 其它约定</w:t>
      </w:r>
    </w:p>
    <w:p>
      <w:pPr>
        <w:spacing w:after="0"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1</w:t>
      </w:r>
      <w:r>
        <w:rPr>
          <w:rFonts w:hint="eastAsia" w:ascii="宋体" w:hAnsi="宋体" w:eastAsia="宋体"/>
          <w:color w:val="auto"/>
          <w:sz w:val="21"/>
          <w:szCs w:val="21"/>
          <w:highlight w:val="none"/>
        </w:rPr>
        <w:t>、严禁转包，未经甲方书面同意不得分包。</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2、乙方全部工作人员，须符合东莞市政府用工标准要求。</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3、乙方服务人员进行服务期间的过失或故意行为，造成甲方经济损失的，由乙方负责赔偿。</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4、服务人员的劳动关系隶属乙方，乙方负责服务人员的工资、节假日和超时加班补助费、社会保险、住宿、伙食等。</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5、乙方负责本项目服务人员购买因意外身故或伤残和因意外事故住院治疗保险，并负责办理一切保险赔偿手续。</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第十条 违约责任</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1、合同双方任何一方不履行合同条款或不按合同约定履行条款的其它情况，均属违约，由违约方承担违约责任，赔偿因其违约造成的损失，并支付合同价款总额%的违约金。</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2、由于乙方的原因，导致双方签订的合同终止，乙方因此而遭受的损失，将由乙方独立承担，甲方对此不负任何责任，也不作任何赔偿。</w:t>
      </w:r>
    </w:p>
    <w:bookmarkEnd w:id="86"/>
    <w:p>
      <w:pPr>
        <w:spacing w:after="0" w:line="360" w:lineRule="auto"/>
        <w:ind w:firstLine="422" w:firstLineChars="200"/>
        <w:rPr>
          <w:rFonts w:ascii="宋体" w:hAnsi="宋体" w:eastAsia="宋体"/>
          <w:b/>
          <w:color w:val="auto"/>
          <w:sz w:val="21"/>
          <w:szCs w:val="21"/>
          <w:highlight w:val="none"/>
        </w:rPr>
      </w:pPr>
      <w:bookmarkStart w:id="87" w:name="_Toc86481570"/>
      <w:r>
        <w:rPr>
          <w:rFonts w:hint="eastAsia" w:ascii="宋体" w:hAnsi="宋体" w:eastAsia="宋体"/>
          <w:b/>
          <w:color w:val="auto"/>
          <w:sz w:val="21"/>
          <w:szCs w:val="21"/>
          <w:highlight w:val="none"/>
        </w:rPr>
        <w:t>第十一条 争议的解决</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1、凡与本合同有关而引起的一切争议，甲乙双方应首先通过友好协商解决，如经协商后仍不能达成协议时，任何一方可以向法院提出诉讼。</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2、本合同发生的诉讼管辖地为东莞市有管辖权的法院。</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3、在进行法院审理期间，除提交法院审理的事项外，合同其他部分仍继续履行。</w:t>
      </w:r>
    </w:p>
    <w:p>
      <w:pPr>
        <w:spacing w:after="0" w:line="360" w:lineRule="auto"/>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宋体"/>
          <w:color w:val="auto"/>
          <w:sz w:val="21"/>
          <w:szCs w:val="21"/>
          <w:highlight w:val="none"/>
        </w:rPr>
        <w:t>4、本合同按照中华人民共和国的法律进行解释</w:t>
      </w:r>
      <w:r>
        <w:rPr>
          <w:rFonts w:hint="eastAsia" w:ascii="宋体" w:hAnsi="宋体" w:eastAsia="宋体" w:cs="仿宋"/>
          <w:color w:val="auto"/>
          <w:sz w:val="21"/>
          <w:szCs w:val="21"/>
          <w:highlight w:val="none"/>
          <w:shd w:val="clear" w:color="auto" w:fill="FFFFFF"/>
        </w:rPr>
        <w:t>。</w:t>
      </w:r>
    </w:p>
    <w:p>
      <w:pPr>
        <w:spacing w:after="0" w:line="360" w:lineRule="auto"/>
        <w:ind w:firstLine="422" w:firstLineChars="200"/>
        <w:rPr>
          <w:rFonts w:ascii="宋体" w:hAnsi="宋体" w:eastAsia="宋体"/>
          <w:b/>
          <w:color w:val="auto"/>
          <w:sz w:val="21"/>
          <w:szCs w:val="21"/>
          <w:highlight w:val="none"/>
        </w:rPr>
      </w:pPr>
      <w:bookmarkStart w:id="88" w:name="_Toc86481569"/>
      <w:r>
        <w:rPr>
          <w:rFonts w:hint="eastAsia" w:ascii="宋体" w:hAnsi="宋体" w:eastAsia="宋体"/>
          <w:b/>
          <w:color w:val="auto"/>
          <w:sz w:val="21"/>
          <w:szCs w:val="21"/>
          <w:highlight w:val="none"/>
        </w:rPr>
        <w:t>第十二条 合同生效</w:t>
      </w:r>
      <w:bookmarkEnd w:id="88"/>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1、本合同由双方法定代表人或委托代理人签字盖章后立即生效，具有同等法律效力，合同有效期随服务期结束而自然终止。</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2、本合同一式    份，其中甲方    份、乙方    份，采购代理机构 壹 份（须在合同签订之日起7个工作日内递交）。</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第十三条 其它</w:t>
      </w:r>
      <w:bookmarkEnd w:id="87"/>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1、本合同未尽事宜，双方可签订补充合同，补充合同与所有附件均为合同的有效组成部分，与本合同具有同等法律效力。</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2、在执行本合同的过程中，所有经甲乙双方签署确认的文件（包括会议纪要、补充协议、往来信函、合同附件等）即成为本合同的有效组成部分，其生效日期为双方签字盖章或确认之日期。</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本合同合计   页A4纸张，缺页之合同为无效合同。</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甲方（盖章）：                      乙方（盖章）：</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法定代表(签字)：                   法定代表(签字)：</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地址：                             地址：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电话：                             电话：</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传真：</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传真：</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开户银行：</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 xml:space="preserve">                     开户银行：</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账号：                             账号：</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签约时间：</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签约地点：</w:t>
      </w: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t>此仅为合同书样本，中标人需根据实际情况和甲方签订相应的合同！</w:t>
      </w: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br w:type="page"/>
      </w:r>
    </w:p>
    <w:p>
      <w:pPr>
        <w:pStyle w:val="4"/>
        <w:spacing w:before="0" w:after="0" w:line="240" w:lineRule="auto"/>
        <w:rPr>
          <w:color w:val="auto"/>
          <w:sz w:val="28"/>
          <w:szCs w:val="28"/>
          <w:highlight w:val="none"/>
        </w:rPr>
      </w:pPr>
      <w:bookmarkStart w:id="89" w:name="_Toc23749"/>
      <w:r>
        <w:rPr>
          <w:rFonts w:hint="eastAsia"/>
          <w:color w:val="auto"/>
          <w:sz w:val="28"/>
          <w:szCs w:val="28"/>
          <w:highlight w:val="none"/>
        </w:rPr>
        <w:t>第六部分  附件－投标文件格式</w:t>
      </w:r>
      <w:bookmarkEnd w:id="89"/>
    </w:p>
    <w:p>
      <w:pPr>
        <w:rPr>
          <w:color w:val="auto"/>
          <w:highlight w:val="none"/>
        </w:rPr>
      </w:pPr>
    </w:p>
    <w:p>
      <w:pPr>
        <w:pStyle w:val="6"/>
        <w:widowControl w:val="0"/>
        <w:overflowPunct w:val="0"/>
        <w:spacing w:before="0" w:after="0" w:line="240" w:lineRule="auto"/>
        <w:rPr>
          <w:rFonts w:ascii="宋体" w:hAnsi="宋体" w:eastAsia="宋体"/>
          <w:color w:val="auto"/>
          <w:sz w:val="21"/>
          <w:szCs w:val="21"/>
          <w:highlight w:val="none"/>
        </w:rPr>
      </w:pPr>
      <w:bookmarkStart w:id="90" w:name="_Toc26830"/>
      <w:r>
        <w:rPr>
          <w:rFonts w:hint="eastAsia" w:ascii="宋体" w:hAnsi="宋体" w:eastAsia="宋体"/>
          <w:color w:val="auto"/>
          <w:sz w:val="21"/>
          <w:szCs w:val="21"/>
          <w:highlight w:val="none"/>
        </w:rPr>
        <w:t>附件1.投标文件目录</w:t>
      </w:r>
      <w:bookmarkEnd w:id="90"/>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目录</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格式自理。</w:t>
      </w: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1、投标人制作的投标文件应当具备目录。</w:t>
      </w:r>
      <w:r>
        <w:rPr>
          <w:rFonts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91" w:name="_Toc18893"/>
      <w:r>
        <w:rPr>
          <w:rFonts w:hint="eastAsia" w:ascii="宋体" w:hAnsi="宋体" w:eastAsia="宋体"/>
          <w:color w:val="auto"/>
          <w:sz w:val="21"/>
          <w:szCs w:val="21"/>
          <w:highlight w:val="none"/>
        </w:rPr>
        <w:t>附件1-1 评分标准索引表</w:t>
      </w:r>
      <w:bookmarkEnd w:id="91"/>
    </w:p>
    <w:p>
      <w:pPr>
        <w:adjustRightInd/>
        <w:snapToGrid/>
        <w:spacing w:line="276" w:lineRule="auto"/>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评分标准索引表</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序号</w:t>
            </w:r>
          </w:p>
        </w:tc>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评审项目</w:t>
            </w:r>
          </w:p>
        </w:tc>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评分细则</w:t>
            </w:r>
          </w:p>
        </w:tc>
        <w:tc>
          <w:tcPr>
            <w:tcW w:w="1705"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分值</w:t>
            </w:r>
          </w:p>
        </w:tc>
        <w:tc>
          <w:tcPr>
            <w:tcW w:w="1705"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ascii="宋体" w:hAnsi="宋体" w:eastAsia="宋体" w:cs="宋体"/>
                <w:color w:val="auto"/>
                <w:highlight w:val="none"/>
              </w:rPr>
            </w:pPr>
            <w:r>
              <w:rPr>
                <w:rFonts w:hint="eastAsia" w:ascii="宋体" w:hAnsi="宋体" w:eastAsia="宋体" w:cs="宋体"/>
                <w:color w:val="auto"/>
                <w:highlight w:val="none"/>
              </w:rPr>
              <w:t>商务评审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ascii="宋体" w:hAnsi="宋体" w:eastAsia="宋体" w:cs="宋体"/>
                <w:color w:val="auto"/>
                <w:highlight w:val="none"/>
              </w:rPr>
            </w:pPr>
            <w:r>
              <w:rPr>
                <w:rFonts w:hint="eastAsia" w:ascii="宋体" w:hAnsi="宋体" w:eastAsia="宋体" w:cs="宋体"/>
                <w:color w:val="auto"/>
                <w:highlight w:val="none"/>
              </w:rPr>
              <w:t>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numPr>
          <w:ilvl w:val="0"/>
          <w:numId w:val="9"/>
        </w:numPr>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该表格为参考格式，投标人可按实际情况自行制订评分标准索引表。</w:t>
      </w:r>
    </w:p>
    <w:p>
      <w:pPr>
        <w:pStyle w:val="2"/>
        <w:spacing w:before="0"/>
        <w:ind w:left="0"/>
        <w:rPr>
          <w:color w:val="auto"/>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92" w:name="_Toc30640"/>
      <w:r>
        <w:rPr>
          <w:rFonts w:hint="eastAsia" w:ascii="宋体" w:hAnsi="宋体" w:eastAsia="宋体"/>
          <w:color w:val="auto"/>
          <w:sz w:val="21"/>
          <w:szCs w:val="21"/>
          <w:highlight w:val="none"/>
        </w:rPr>
        <w:t>附件2.投标书格式</w:t>
      </w:r>
      <w:bookmarkEnd w:id="92"/>
    </w:p>
    <w:p>
      <w:pPr>
        <w:jc w:val="center"/>
        <w:rPr>
          <w:rFonts w:ascii="宋体" w:hAnsi="宋体" w:eastAsia="宋体"/>
          <w:color w:val="auto"/>
          <w:sz w:val="21"/>
          <w:szCs w:val="21"/>
          <w:highlight w:val="none"/>
        </w:rPr>
      </w:pPr>
      <w:r>
        <w:rPr>
          <w:rFonts w:hint="eastAsia" w:ascii="黑体" w:eastAsia="黑体"/>
          <w:color w:val="auto"/>
          <w:sz w:val="32"/>
          <w:szCs w:val="32"/>
          <w:highlight w:val="none"/>
        </w:rPr>
        <w:t>投标书</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致：广东政通招标有限公司：</w:t>
      </w:r>
    </w:p>
    <w:p>
      <w:pPr>
        <w:spacing w:after="0" w:line="360" w:lineRule="auto"/>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根据贵方为</w:t>
      </w:r>
      <w:r>
        <w:rPr>
          <w:rFonts w:hint="eastAsia" w:ascii="宋体" w:hAnsi="宋体" w:eastAsia="宋体"/>
          <w:color w:val="auto"/>
          <w:sz w:val="21"/>
          <w:szCs w:val="21"/>
          <w:highlight w:val="none"/>
          <w:u w:val="single"/>
        </w:rPr>
        <w:t>（项目名称）（采购项目编号）</w:t>
      </w:r>
      <w:r>
        <w:rPr>
          <w:rFonts w:hint="eastAsia" w:ascii="宋体" w:hAnsi="宋体" w:eastAsia="宋体"/>
          <w:color w:val="auto"/>
          <w:sz w:val="21"/>
          <w:szCs w:val="21"/>
          <w:highlight w:val="none"/>
        </w:rPr>
        <w:t>项目招标公告/招标邀请，签字代表</w:t>
      </w:r>
      <w:r>
        <w:rPr>
          <w:rFonts w:hint="eastAsia" w:ascii="宋体" w:hAnsi="宋体" w:eastAsia="宋体"/>
          <w:color w:val="auto"/>
          <w:sz w:val="21"/>
          <w:szCs w:val="21"/>
          <w:highlight w:val="none"/>
          <w:u w:val="single"/>
        </w:rPr>
        <w:t>（姓名、职务）</w:t>
      </w:r>
      <w:r>
        <w:rPr>
          <w:rFonts w:hint="eastAsia" w:ascii="宋体" w:hAnsi="宋体" w:eastAsia="宋体"/>
          <w:color w:val="auto"/>
          <w:sz w:val="21"/>
          <w:szCs w:val="21"/>
          <w:highlight w:val="none"/>
        </w:rPr>
        <w:t>经正式授权并代表投标人</w:t>
      </w:r>
      <w:r>
        <w:rPr>
          <w:rFonts w:hint="eastAsia" w:ascii="宋体" w:hAnsi="宋体" w:eastAsia="宋体"/>
          <w:color w:val="auto"/>
          <w:sz w:val="21"/>
          <w:szCs w:val="21"/>
          <w:highlight w:val="none"/>
          <w:u w:val="single"/>
        </w:rPr>
        <w:t>（投标人名称、地址）</w:t>
      </w:r>
      <w:r>
        <w:rPr>
          <w:rFonts w:hint="eastAsia" w:ascii="宋体" w:hAnsi="宋体" w:eastAsia="宋体"/>
          <w:color w:val="auto"/>
          <w:sz w:val="21"/>
          <w:szCs w:val="21"/>
          <w:highlight w:val="none"/>
        </w:rPr>
        <w:t>提交投标文件及“开标文件”：</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在此，签字代表宣布同意如下： </w:t>
      </w:r>
    </w:p>
    <w:p>
      <w:pPr>
        <w:widowControl w:val="0"/>
        <w:numPr>
          <w:ilvl w:val="0"/>
          <w:numId w:val="10"/>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我方将按招标文件的规定履行合同责任和义务。 </w:t>
      </w:r>
    </w:p>
    <w:p>
      <w:pPr>
        <w:widowControl w:val="0"/>
        <w:numPr>
          <w:ilvl w:val="0"/>
          <w:numId w:val="10"/>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我方已完整阅读了本项目招标文件的所有内容（包括澄清，以及所有已提供的参考资料和有关附件），并完全理解上述文件所表达的意思，该项目递交投标文件时间截止后，我方承诺不再对上述文件内容进行询问或质疑。</w:t>
      </w:r>
    </w:p>
    <w:p>
      <w:pPr>
        <w:widowControl w:val="0"/>
        <w:numPr>
          <w:ilvl w:val="0"/>
          <w:numId w:val="10"/>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本投标有效期为自开标日起</w:t>
      </w:r>
      <w:r>
        <w:rPr>
          <w:rFonts w:hint="eastAsia" w:ascii="宋体" w:hAnsi="宋体" w:eastAsia="宋体"/>
          <w:color w:val="auto"/>
          <w:sz w:val="21"/>
          <w:szCs w:val="21"/>
          <w:highlight w:val="none"/>
          <w:u w:val="single"/>
        </w:rPr>
        <w:t>90</w:t>
      </w:r>
      <w:r>
        <w:rPr>
          <w:rFonts w:hint="eastAsia" w:ascii="宋体" w:hAnsi="宋体" w:eastAsia="宋体"/>
          <w:color w:val="auto"/>
          <w:sz w:val="21"/>
          <w:szCs w:val="21"/>
          <w:highlight w:val="none"/>
        </w:rPr>
        <w:t xml:space="preserve">个日历日。 </w:t>
      </w:r>
    </w:p>
    <w:p>
      <w:pPr>
        <w:widowControl w:val="0"/>
        <w:numPr>
          <w:ilvl w:val="0"/>
          <w:numId w:val="10"/>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我方保证遵守投标人须知中关于没收投标保证金的规定。</w:t>
      </w:r>
    </w:p>
    <w:p>
      <w:pPr>
        <w:widowControl w:val="0"/>
        <w:numPr>
          <w:ilvl w:val="0"/>
          <w:numId w:val="10"/>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我方承诺，与买方聘请的为此项目提供咨询服务的公司及任何附属机构均无关联，我方不是买方的附属机构。 </w:t>
      </w:r>
    </w:p>
    <w:p>
      <w:pPr>
        <w:widowControl w:val="0"/>
        <w:numPr>
          <w:ilvl w:val="0"/>
          <w:numId w:val="10"/>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承诺，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pPr>
        <w:widowControl w:val="0"/>
        <w:numPr>
          <w:ilvl w:val="0"/>
          <w:numId w:val="10"/>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我方同意提供按照贵方可能要求的与其投标有关的一切数据或资料。</w:t>
      </w:r>
    </w:p>
    <w:p>
      <w:pPr>
        <w:widowControl w:val="0"/>
        <w:numPr>
          <w:ilvl w:val="0"/>
          <w:numId w:val="10"/>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与本投标有关的一切正式信函请寄：</w:t>
      </w:r>
    </w:p>
    <w:p>
      <w:pPr>
        <w:spacing w:after="0" w:line="360" w:lineRule="auto"/>
        <w:rPr>
          <w:rFonts w:ascii="宋体" w:hAnsi="宋体" w:eastAsia="宋体"/>
          <w:color w:val="auto"/>
          <w:sz w:val="21"/>
          <w:szCs w:val="21"/>
          <w:highlight w:val="none"/>
        </w:rPr>
      </w:pP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地址：　　　　　　　　　　　　　　　　　　　传真：</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电话/移动电话：　　　　　　　　　　　　　　　电子函件：</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投标人代表签字：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投标人名称（全称）：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投标人盖章：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投标人开户银行（全称）：</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投标人银行帐号：</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pStyle w:val="6"/>
        <w:widowControl w:val="0"/>
        <w:overflowPunct w:val="0"/>
        <w:spacing w:before="0" w:after="0" w:line="240" w:lineRule="auto"/>
        <w:rPr>
          <w:rFonts w:ascii="宋体" w:hAnsi="宋体" w:eastAsia="宋体"/>
          <w:color w:val="auto"/>
          <w:sz w:val="21"/>
          <w:szCs w:val="21"/>
          <w:highlight w:val="none"/>
        </w:rPr>
      </w:pPr>
      <w:bookmarkStart w:id="93" w:name="_Toc6866"/>
      <w:r>
        <w:rPr>
          <w:rFonts w:hint="eastAsia" w:ascii="宋体" w:hAnsi="宋体" w:eastAsia="宋体"/>
          <w:color w:val="auto"/>
          <w:sz w:val="21"/>
          <w:szCs w:val="21"/>
          <w:highlight w:val="none"/>
        </w:rPr>
        <w:t>附件3.开标一览表格式</w:t>
      </w:r>
      <w:bookmarkEnd w:id="93"/>
    </w:p>
    <w:p>
      <w:pPr>
        <w:jc w:val="center"/>
        <w:rPr>
          <w:rFonts w:ascii="黑体" w:eastAsia="黑体"/>
          <w:color w:val="auto"/>
          <w:sz w:val="32"/>
          <w:szCs w:val="32"/>
          <w:highlight w:val="none"/>
        </w:rPr>
      </w:pPr>
      <w:r>
        <w:rPr>
          <w:rFonts w:hint="eastAsia" w:ascii="黑体" w:eastAsia="黑体"/>
          <w:color w:val="auto"/>
          <w:sz w:val="32"/>
          <w:szCs w:val="32"/>
          <w:highlight w:val="none"/>
        </w:rPr>
        <w:t>开标一览表</w:t>
      </w:r>
    </w:p>
    <w:p>
      <w:pPr>
        <w:spacing w:line="360" w:lineRule="auto"/>
        <w:rPr>
          <w:color w:val="auto"/>
          <w:highlight w:val="none"/>
        </w:rPr>
      </w:pP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投标人名称：</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采购项目编号：</w:t>
      </w:r>
    </w:p>
    <w:tbl>
      <w:tblPr>
        <w:tblStyle w:val="19"/>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4"/>
        <w:gridCol w:w="3085"/>
        <w:gridCol w:w="3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714"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投标总价</w:t>
            </w:r>
          </w:p>
        </w:tc>
        <w:tc>
          <w:tcPr>
            <w:tcW w:w="3262"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restart"/>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小写：</w:t>
            </w:r>
          </w:p>
        </w:tc>
        <w:tc>
          <w:tcPr>
            <w:tcW w:w="3262" w:type="dxa"/>
            <w:vMerge w:val="restart"/>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continue"/>
          </w:tcPr>
          <w:p>
            <w:pPr>
              <w:tabs>
                <w:tab w:val="left" w:pos="654"/>
                <w:tab w:val="left" w:pos="1734"/>
                <w:tab w:val="left" w:pos="2814"/>
                <w:tab w:val="left" w:pos="3894"/>
                <w:tab w:val="left" w:pos="5334"/>
                <w:tab w:val="left" w:pos="6414"/>
                <w:tab w:val="left" w:pos="7254"/>
                <w:tab w:val="left" w:pos="8574"/>
                <w:tab w:val="left" w:pos="9654"/>
              </w:tabs>
              <w:spacing w:after="0"/>
              <w:jc w:val="both"/>
              <w:rPr>
                <w:color w:val="auto"/>
                <w:highlight w:val="none"/>
              </w:rPr>
            </w:pP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大写：</w:t>
            </w:r>
          </w:p>
        </w:tc>
        <w:tc>
          <w:tcPr>
            <w:tcW w:w="3262" w:type="dxa"/>
            <w:vMerge w:val="continue"/>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p>
        </w:tc>
      </w:tr>
    </w:tbl>
    <w:p>
      <w:pPr>
        <w:spacing w:after="0" w:line="360" w:lineRule="auto"/>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spacing w:after="0" w:line="360" w:lineRule="auto"/>
        <w:ind w:firstLine="359" w:firstLineChars="171"/>
        <w:rPr>
          <w:rFonts w:ascii="宋体" w:hAnsi="宋体" w:eastAsia="宋体"/>
          <w:color w:val="auto"/>
          <w:sz w:val="21"/>
          <w:szCs w:val="21"/>
          <w:highlight w:val="none"/>
        </w:rPr>
      </w:pPr>
    </w:p>
    <w:p>
      <w:pPr>
        <w:spacing w:after="0" w:line="360" w:lineRule="auto"/>
        <w:ind w:left="391" w:hanging="390" w:hangingChars="186"/>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注：1、投标总价栏须</w:t>
      </w:r>
      <w:r>
        <w:rPr>
          <w:rFonts w:ascii="宋体" w:hAnsi="宋体" w:eastAsia="宋体"/>
          <w:color w:val="auto"/>
          <w:sz w:val="21"/>
          <w:szCs w:val="21"/>
          <w:highlight w:val="none"/>
        </w:rPr>
        <w:t>用</w:t>
      </w:r>
      <w:r>
        <w:rPr>
          <w:rFonts w:hint="eastAsia" w:ascii="宋体" w:hAnsi="宋体" w:eastAsia="宋体"/>
          <w:color w:val="auto"/>
          <w:sz w:val="21"/>
          <w:szCs w:val="21"/>
          <w:highlight w:val="none"/>
        </w:rPr>
        <w:t>大写金额和小写金额两种方式</w:t>
      </w:r>
      <w:r>
        <w:rPr>
          <w:rFonts w:ascii="宋体" w:hAnsi="宋体" w:eastAsia="宋体"/>
          <w:color w:val="auto"/>
          <w:sz w:val="21"/>
          <w:szCs w:val="21"/>
          <w:highlight w:val="none"/>
        </w:rPr>
        <w:t>表示的投标总价</w:t>
      </w:r>
      <w:r>
        <w:rPr>
          <w:rFonts w:hint="eastAsia" w:ascii="宋体" w:hAnsi="宋体" w:eastAsia="宋体"/>
          <w:color w:val="auto"/>
          <w:sz w:val="21"/>
          <w:szCs w:val="21"/>
          <w:highlight w:val="none"/>
        </w:rPr>
        <w:t>，报价保留小数点后两位。投标总价大小写不一致，以大写为准。投标总价必须准确唯一且应包含招标文件要求的所有费用。</w:t>
      </w:r>
    </w:p>
    <w:p>
      <w:pPr>
        <w:spacing w:after="0" w:line="360" w:lineRule="auto"/>
        <w:ind w:left="374" w:leftChars="170"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2、此表应按投标人须知的规定密封标记并与《授权委托书》、《投标保证金汇入情况说明》同密封单独提交。</w:t>
      </w:r>
    </w:p>
    <w:p>
      <w:pPr>
        <w:spacing w:after="0" w:line="360" w:lineRule="auto"/>
        <w:ind w:left="374" w:leftChars="170"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3、未按招标文件要求报价、填写开标一览表是导致投标人废标的常见问题，请投标人仔细填写，认真核对。</w:t>
      </w:r>
    </w:p>
    <w:p>
      <w:pPr>
        <w:adjustRightInd/>
        <w:snapToGrid/>
        <w:spacing w:line="276" w:lineRule="auto"/>
        <w:rPr>
          <w:color w:val="auto"/>
          <w:highlight w:val="none"/>
        </w:rPr>
      </w:pPr>
    </w:p>
    <w:p>
      <w:pPr>
        <w:adjustRightInd/>
        <w:snapToGrid/>
        <w:spacing w:line="276" w:lineRule="auto"/>
        <w:rPr>
          <w:color w:val="auto"/>
          <w:highlight w:val="none"/>
        </w:rPr>
      </w:pPr>
      <w:r>
        <w:rPr>
          <w:color w:val="auto"/>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94" w:name="_Toc3254"/>
      <w:r>
        <w:rPr>
          <w:rFonts w:hint="eastAsia" w:ascii="宋体" w:hAnsi="宋体" w:eastAsia="宋体"/>
          <w:color w:val="auto"/>
          <w:sz w:val="21"/>
          <w:szCs w:val="21"/>
          <w:highlight w:val="none"/>
        </w:rPr>
        <w:t xml:space="preserve">附件4. </w:t>
      </w:r>
      <w:r>
        <w:rPr>
          <w:rFonts w:hint="eastAsia" w:ascii="宋体" w:hAnsi="宋体" w:eastAsia="宋体" w:cs="Times New Roman"/>
          <w:color w:val="auto"/>
          <w:sz w:val="21"/>
          <w:szCs w:val="21"/>
          <w:highlight w:val="none"/>
        </w:rPr>
        <w:t>投标分项报价表格式</w:t>
      </w:r>
      <w:bookmarkEnd w:id="94"/>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货物（服务）分项报价表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77"/>
        <w:gridCol w:w="1917"/>
        <w:gridCol w:w="1050"/>
        <w:gridCol w:w="1100"/>
        <w:gridCol w:w="1183"/>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37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货物（服务）名称</w:t>
            </w: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规格型号（服务内容）</w:t>
            </w: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数量</w:t>
            </w: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单价</w:t>
            </w: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服务要求</w:t>
            </w: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261" w:type="dxa"/>
            <w:gridSpan w:val="5"/>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总价</w:t>
            </w:r>
          </w:p>
        </w:tc>
        <w:tc>
          <w:tcPr>
            <w:tcW w:w="2261" w:type="dxa"/>
            <w:gridSpan w:val="2"/>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522" w:type="dxa"/>
            <w:gridSpan w:val="7"/>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tc>
      </w:tr>
    </w:tbl>
    <w:p>
      <w:pPr>
        <w:rPr>
          <w:rFonts w:ascii="宋体" w:hAnsi="宋体" w:eastAsia="宋体" w:cs="宋体"/>
          <w:b/>
          <w:color w:val="auto"/>
          <w:sz w:val="21"/>
          <w:szCs w:val="21"/>
          <w:highlight w:val="none"/>
        </w:rPr>
      </w:pPr>
    </w:p>
    <w:p>
      <w:pP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小型和微型企业（货物、承担的工程或者服务）列价表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587"/>
        <w:gridCol w:w="1575"/>
        <w:gridCol w:w="1180"/>
        <w:gridCol w:w="778"/>
        <w:gridCol w:w="777"/>
        <w:gridCol w:w="778"/>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8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575" w:type="dxa"/>
            <w:vAlign w:val="center"/>
          </w:tcPr>
          <w:p>
            <w:pPr>
              <w:spacing w:after="0"/>
              <w:ind w:hanging="148"/>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品牌及原产地</w:t>
            </w:r>
          </w:p>
        </w:tc>
        <w:tc>
          <w:tcPr>
            <w:tcW w:w="118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778"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7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778"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972"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462" w:type="dxa"/>
            <w:gridSpan w:val="2"/>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060" w:type="dxa"/>
            <w:gridSpan w:val="6"/>
            <w:vAlign w:val="center"/>
          </w:tcPr>
          <w:p>
            <w:pPr>
              <w:spacing w:after="0"/>
              <w:rPr>
                <w:rFonts w:ascii="宋体" w:hAnsi="宋体" w:eastAsia="宋体" w:cs="宋体"/>
                <w:color w:val="auto"/>
                <w:sz w:val="21"/>
                <w:szCs w:val="21"/>
                <w:highlight w:val="none"/>
              </w:rPr>
            </w:pPr>
            <w:r>
              <w:rPr>
                <w:rStyle w:val="38"/>
                <w:rFonts w:hint="eastAsia" w:ascii="宋体" w:hAnsi="宋体" w:eastAsia="宋体" w:cs="宋体"/>
                <w:color w:val="auto"/>
                <w:sz w:val="21"/>
                <w:szCs w:val="21"/>
                <w:highlight w:val="none"/>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spacing w:after="0"/>
              <w:rPr>
                <w:rStyle w:val="38"/>
                <w:rFonts w:ascii="宋体" w:hAnsi="宋体" w:eastAsia="宋体" w:cs="宋体"/>
                <w:b/>
                <w:color w:val="auto"/>
                <w:sz w:val="21"/>
                <w:szCs w:val="21"/>
                <w:highlight w:val="none"/>
              </w:rPr>
            </w:pPr>
            <w:r>
              <w:rPr>
                <w:rStyle w:val="38"/>
                <w:rFonts w:hint="eastAsia" w:ascii="宋体" w:hAnsi="宋体" w:eastAsia="宋体" w:cs="宋体"/>
                <w:b/>
                <w:color w:val="auto"/>
                <w:sz w:val="21"/>
                <w:szCs w:val="21"/>
                <w:highlight w:val="none"/>
              </w:rPr>
              <w:t>注：1、投标人在“货物（服务）分项报价表”中的报价内容中，如有属于</w:t>
            </w:r>
            <w:r>
              <w:rPr>
                <w:rFonts w:hint="eastAsia" w:ascii="宋体" w:hAnsi="宋体" w:eastAsia="宋体" w:cs="宋体"/>
                <w:b/>
                <w:color w:val="auto"/>
                <w:sz w:val="21"/>
                <w:szCs w:val="21"/>
                <w:highlight w:val="none"/>
              </w:rPr>
              <w:t>小型和微型企业产品（货物、承担的工程或者服务）的，必须在此表单独列明</w:t>
            </w:r>
            <w:r>
              <w:rPr>
                <w:rStyle w:val="38"/>
                <w:rFonts w:hint="eastAsia" w:ascii="宋体" w:hAnsi="宋体" w:eastAsia="宋体" w:cs="宋体"/>
                <w:b/>
                <w:color w:val="auto"/>
                <w:sz w:val="21"/>
                <w:szCs w:val="21"/>
                <w:highlight w:val="none"/>
              </w:rPr>
              <w:t>；</w:t>
            </w:r>
          </w:p>
          <w:p>
            <w:pPr>
              <w:tabs>
                <w:tab w:val="left" w:pos="284"/>
              </w:tabs>
              <w:spacing w:after="0"/>
              <w:rPr>
                <w:rStyle w:val="38"/>
                <w:rFonts w:ascii="宋体" w:hAnsi="宋体" w:eastAsia="宋体" w:cs="宋体"/>
                <w:b/>
                <w:color w:val="auto"/>
                <w:sz w:val="21"/>
                <w:szCs w:val="21"/>
                <w:highlight w:val="none"/>
              </w:rPr>
            </w:pPr>
            <w:r>
              <w:rPr>
                <w:rStyle w:val="38"/>
                <w:rFonts w:hint="eastAsia" w:ascii="宋体" w:hAnsi="宋体" w:eastAsia="宋体" w:cs="宋体"/>
                <w:b/>
                <w:color w:val="auto"/>
                <w:sz w:val="21"/>
                <w:szCs w:val="21"/>
                <w:highlight w:val="none"/>
              </w:rPr>
              <w:t>2、投标人应该如实填写，如投标人所投产品中无小型和微型企业产品的，请留空或删除此表！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tabs>
                <w:tab w:val="left" w:pos="284"/>
              </w:tabs>
              <w:spacing w:after="0"/>
              <w:rPr>
                <w:rStyle w:val="38"/>
                <w:rFonts w:ascii="宋体" w:hAnsi="宋体" w:eastAsia="宋体" w:cs="宋体"/>
                <w:b/>
                <w:color w:val="auto"/>
                <w:sz w:val="21"/>
                <w:szCs w:val="21"/>
                <w:highlight w:val="none"/>
              </w:rPr>
            </w:pPr>
            <w:r>
              <w:rPr>
                <w:rFonts w:hint="eastAsia" w:ascii="宋体" w:hAnsi="宋体" w:eastAsia="宋体"/>
                <w:color w:val="auto"/>
                <w:sz w:val="21"/>
                <w:szCs w:val="21"/>
                <w:highlight w:val="none"/>
              </w:rPr>
              <w:t>日期：</w:t>
            </w:r>
          </w:p>
        </w:tc>
      </w:tr>
    </w:tbl>
    <w:p>
      <w:pPr>
        <w:pStyle w:val="28"/>
        <w:spacing w:after="0" w:line="360" w:lineRule="auto"/>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节能产品或环境标志产品列价表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81"/>
        <w:gridCol w:w="1316"/>
        <w:gridCol w:w="1067"/>
        <w:gridCol w:w="1150"/>
        <w:gridCol w:w="850"/>
        <w:gridCol w:w="833"/>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81"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316"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106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1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8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833"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10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256" w:type="dxa"/>
            <w:gridSpan w:val="2"/>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266" w:type="dxa"/>
            <w:gridSpan w:val="6"/>
            <w:vAlign w:val="center"/>
          </w:tcPr>
          <w:p>
            <w:pPr>
              <w:spacing w:after="0"/>
              <w:rPr>
                <w:rFonts w:ascii="宋体" w:hAnsi="宋体" w:eastAsia="宋体" w:cs="宋体"/>
                <w:color w:val="auto"/>
                <w:sz w:val="21"/>
                <w:szCs w:val="21"/>
                <w:highlight w:val="none"/>
              </w:rPr>
            </w:pPr>
            <w:r>
              <w:rPr>
                <w:rStyle w:val="38"/>
                <w:rFonts w:hint="eastAsia" w:ascii="宋体" w:hAnsi="宋体" w:eastAsia="宋体" w:cs="宋体"/>
                <w:color w:val="auto"/>
                <w:sz w:val="21"/>
                <w:szCs w:val="21"/>
                <w:highlight w:val="none"/>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tabs>
                <w:tab w:val="left" w:pos="284"/>
              </w:tabs>
              <w:spacing w:after="0"/>
              <w:rPr>
                <w:rStyle w:val="38"/>
                <w:rFonts w:ascii="宋体" w:hAnsi="宋体" w:eastAsia="宋体" w:cs="宋体"/>
                <w:b/>
                <w:color w:val="auto"/>
                <w:sz w:val="21"/>
                <w:szCs w:val="21"/>
                <w:highlight w:val="none"/>
              </w:rPr>
            </w:pPr>
            <w:r>
              <w:rPr>
                <w:rStyle w:val="38"/>
                <w:rFonts w:hint="eastAsia" w:ascii="宋体" w:hAnsi="宋体" w:eastAsia="宋体" w:cs="宋体"/>
                <w:b/>
                <w:color w:val="auto"/>
                <w:sz w:val="21"/>
                <w:szCs w:val="21"/>
                <w:highlight w:val="none"/>
              </w:rPr>
              <w:t>注：1、投标人在“货物（服务）分项报价表”中的报价内容中，如有属于节能产品或环境标志产的，必须在此表单独列明且提供相应的证明材料，否则在计算价格得分时不予以相应的扣除；</w:t>
            </w:r>
          </w:p>
          <w:p>
            <w:pPr>
              <w:tabs>
                <w:tab w:val="left" w:pos="284"/>
              </w:tabs>
              <w:spacing w:after="0"/>
              <w:rPr>
                <w:rStyle w:val="38"/>
                <w:rFonts w:ascii="宋体" w:hAnsi="宋体" w:eastAsia="宋体" w:cs="宋体"/>
                <w:b/>
                <w:color w:val="auto"/>
                <w:sz w:val="21"/>
                <w:szCs w:val="21"/>
                <w:highlight w:val="none"/>
              </w:rPr>
            </w:pPr>
            <w:r>
              <w:rPr>
                <w:rStyle w:val="38"/>
                <w:rFonts w:hint="eastAsia" w:ascii="宋体" w:hAnsi="宋体" w:eastAsia="宋体" w:cs="宋体"/>
                <w:b/>
                <w:color w:val="auto"/>
                <w:sz w:val="21"/>
                <w:szCs w:val="21"/>
                <w:highlight w:val="none"/>
              </w:rPr>
              <w:t>2、投标人应该如实填写，如投标人所投产品中无节能或环保产品的，请留空或删除此表！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tabs>
                <w:tab w:val="left" w:pos="284"/>
              </w:tabs>
              <w:spacing w:after="0"/>
              <w:rPr>
                <w:rStyle w:val="38"/>
                <w:rFonts w:ascii="宋体" w:hAnsi="宋体" w:eastAsia="宋体" w:cs="宋体"/>
                <w:b/>
                <w:color w:val="auto"/>
                <w:sz w:val="21"/>
                <w:szCs w:val="21"/>
                <w:highlight w:val="none"/>
              </w:rPr>
            </w:pPr>
            <w:r>
              <w:rPr>
                <w:rFonts w:hint="eastAsia" w:ascii="宋体" w:hAnsi="宋体" w:eastAsia="宋体"/>
                <w:color w:val="auto"/>
                <w:sz w:val="21"/>
                <w:szCs w:val="21"/>
                <w:highlight w:val="none"/>
              </w:rPr>
              <w:t>日期：</w:t>
            </w:r>
          </w:p>
        </w:tc>
      </w:tr>
    </w:tbl>
    <w:p>
      <w:pPr>
        <w:jc w:val="both"/>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95" w:name="_Toc16412"/>
      <w:r>
        <w:rPr>
          <w:rFonts w:hint="eastAsia" w:ascii="宋体" w:hAnsi="宋体" w:eastAsia="宋体"/>
          <w:color w:val="auto"/>
          <w:sz w:val="21"/>
          <w:szCs w:val="21"/>
          <w:highlight w:val="none"/>
        </w:rPr>
        <w:t>附件5. 法定代表人证明书格式</w:t>
      </w:r>
      <w:bookmarkEnd w:id="95"/>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法定代表人证明书</w:t>
      </w:r>
    </w:p>
    <w:p>
      <w:pPr>
        <w:pStyle w:val="31"/>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致：广东政通招标有限公司</w:t>
      </w:r>
    </w:p>
    <w:p>
      <w:pPr>
        <w:pStyle w:val="31"/>
        <w:spacing w:line="420" w:lineRule="atLeast"/>
        <w:ind w:firstLine="433"/>
        <w:rPr>
          <w:rFonts w:ascii="宋体" w:eastAsia="宋体"/>
          <w:color w:val="auto"/>
          <w:sz w:val="21"/>
          <w:szCs w:val="21"/>
          <w:highlight w:val="none"/>
        </w:rPr>
      </w:pPr>
    </w:p>
    <w:p>
      <w:pPr>
        <w:pStyle w:val="31"/>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投标人名称:</w:t>
      </w:r>
    </w:p>
    <w:p>
      <w:pPr>
        <w:pStyle w:val="31"/>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单 位 性质：</w:t>
      </w:r>
    </w:p>
    <w:p>
      <w:pPr>
        <w:pStyle w:val="31"/>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地      址：</w:t>
      </w:r>
    </w:p>
    <w:p>
      <w:pPr>
        <w:pStyle w:val="31"/>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成 立 时间：年月日</w:t>
      </w:r>
    </w:p>
    <w:p>
      <w:pPr>
        <w:pStyle w:val="31"/>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经 营 期限：</w:t>
      </w:r>
    </w:p>
    <w:p>
      <w:pPr>
        <w:pStyle w:val="31"/>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姓名：性别：年龄：职务：</w:t>
      </w:r>
    </w:p>
    <w:p>
      <w:pPr>
        <w:pStyle w:val="31"/>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系（投标人名称）的法定代表人。</w:t>
      </w:r>
    </w:p>
    <w:p>
      <w:pPr>
        <w:spacing w:line="420" w:lineRule="atLeas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特此证明。</w:t>
      </w:r>
    </w:p>
    <w:p>
      <w:pPr>
        <w:pStyle w:val="31"/>
        <w:spacing w:line="500" w:lineRule="atLeast"/>
        <w:ind w:firstLine="3517" w:firstLineChars="1675"/>
        <w:rPr>
          <w:rFonts w:ascii="宋体" w:eastAsia="宋体"/>
          <w:color w:val="auto"/>
          <w:sz w:val="21"/>
          <w:szCs w:val="21"/>
          <w:highlight w:val="none"/>
        </w:rPr>
      </w:pP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法定代表人（签名或盖私章）：</w:t>
      </w: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法定代表人联系方式：</w:t>
      </w:r>
    </w:p>
    <w:p>
      <w:pPr>
        <w:pStyle w:val="31"/>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身份证号码：</w:t>
      </w:r>
    </w:p>
    <w:p>
      <w:pPr>
        <w:pStyle w:val="31"/>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期：年月日</w:t>
      </w:r>
    </w:p>
    <w:p>
      <w:pPr>
        <w:ind w:firstLine="420" w:firstLineChars="200"/>
        <w:rPr>
          <w:rFonts w:ascii="宋体" w:hAnsi="宋体" w:eastAsia="宋体"/>
          <w:color w:val="auto"/>
          <w:sz w:val="21"/>
          <w:szCs w:val="21"/>
          <w:highlight w:val="none"/>
        </w:rPr>
      </w:pPr>
    </w:p>
    <w:p>
      <w:pPr>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注：法定代表人身份证明书需附法人代表身份证复印件。</w:t>
      </w:r>
    </w:p>
    <w:tbl>
      <w:tblPr>
        <w:tblStyle w:val="19"/>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pPr>
              <w:pStyle w:val="31"/>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182" w:type="dxa"/>
            <w:vAlign w:val="center"/>
          </w:tcPr>
          <w:p>
            <w:pPr>
              <w:pStyle w:val="31"/>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pPr>
        <w:rPr>
          <w:color w:val="auto"/>
          <w:highlight w:val="none"/>
        </w:rPr>
      </w:pP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6"/>
        <w:widowControl w:val="0"/>
        <w:overflowPunct w:val="0"/>
        <w:spacing w:before="0" w:after="0" w:line="240" w:lineRule="auto"/>
        <w:rPr>
          <w:color w:val="auto"/>
          <w:highlight w:val="none"/>
        </w:rPr>
      </w:pPr>
      <w:bookmarkStart w:id="96" w:name="_Toc31205"/>
      <w:r>
        <w:rPr>
          <w:rFonts w:hint="eastAsia" w:ascii="宋体" w:hAnsi="宋体" w:eastAsia="宋体"/>
          <w:color w:val="auto"/>
          <w:sz w:val="21"/>
          <w:szCs w:val="21"/>
          <w:highlight w:val="none"/>
        </w:rPr>
        <w:t>附件6.法定代表人授权书格式</w:t>
      </w:r>
      <w:bookmarkEnd w:id="96"/>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法定代表人授权书</w:t>
      </w:r>
    </w:p>
    <w:p>
      <w:pPr>
        <w:pStyle w:val="31"/>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致：广东政通招标有限公司</w:t>
      </w:r>
    </w:p>
    <w:p>
      <w:pPr>
        <w:pStyle w:val="31"/>
        <w:spacing w:line="420" w:lineRule="atLeast"/>
        <w:ind w:firstLine="433"/>
        <w:rPr>
          <w:rFonts w:ascii="宋体" w:eastAsia="宋体"/>
          <w:color w:val="auto"/>
          <w:sz w:val="21"/>
          <w:szCs w:val="21"/>
          <w:highlight w:val="none"/>
        </w:rPr>
      </w:pP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本授权书声明：注册于</w:t>
      </w:r>
      <w:r>
        <w:rPr>
          <w:rFonts w:hint="eastAsia" w:ascii="宋体" w:hAnsi="宋体" w:eastAsia="宋体" w:cs="Times New Roman"/>
          <w:color w:val="auto"/>
          <w:sz w:val="21"/>
          <w:szCs w:val="21"/>
          <w:highlight w:val="none"/>
          <w:u w:val="single"/>
        </w:rPr>
        <w:t>（国家或地区的名称）</w:t>
      </w:r>
      <w:r>
        <w:rPr>
          <w:rFonts w:hint="eastAsia" w:ascii="宋体" w:hAnsi="宋体" w:eastAsia="宋体" w:cs="Times New Roman"/>
          <w:color w:val="auto"/>
          <w:sz w:val="21"/>
          <w:szCs w:val="21"/>
          <w:highlight w:val="none"/>
        </w:rPr>
        <w:t>的</w:t>
      </w:r>
      <w:r>
        <w:rPr>
          <w:rFonts w:hint="eastAsia" w:ascii="宋体" w:hAnsi="宋体" w:eastAsia="宋体" w:cs="Times New Roman"/>
          <w:color w:val="auto"/>
          <w:sz w:val="21"/>
          <w:szCs w:val="21"/>
          <w:highlight w:val="none"/>
          <w:u w:val="single"/>
        </w:rPr>
        <w:t>（单位名称）</w:t>
      </w:r>
      <w:r>
        <w:rPr>
          <w:rFonts w:hint="eastAsia" w:ascii="宋体" w:hAnsi="宋体" w:eastAsia="宋体" w:cs="Times New Roman"/>
          <w:color w:val="auto"/>
          <w:sz w:val="21"/>
          <w:szCs w:val="21"/>
          <w:highlight w:val="none"/>
        </w:rPr>
        <w:t>的在下面签字的</w:t>
      </w:r>
      <w:r>
        <w:rPr>
          <w:rFonts w:hint="eastAsia" w:ascii="宋体" w:hAnsi="宋体" w:eastAsia="宋体" w:cs="Times New Roman"/>
          <w:color w:val="auto"/>
          <w:sz w:val="21"/>
          <w:szCs w:val="21"/>
          <w:highlight w:val="none"/>
          <w:u w:val="single"/>
        </w:rPr>
        <w:t>（法定代表人姓名、职务）</w:t>
      </w:r>
      <w:r>
        <w:rPr>
          <w:rFonts w:hint="eastAsia" w:ascii="宋体" w:hAnsi="宋体" w:eastAsia="宋体" w:cs="Times New Roman"/>
          <w:color w:val="auto"/>
          <w:sz w:val="21"/>
          <w:szCs w:val="21"/>
          <w:highlight w:val="none"/>
        </w:rPr>
        <w:t>代表本单位授权</w:t>
      </w:r>
      <w:r>
        <w:rPr>
          <w:rFonts w:hint="eastAsia" w:ascii="宋体" w:hAnsi="宋体" w:eastAsia="宋体" w:cs="Times New Roman"/>
          <w:color w:val="auto"/>
          <w:sz w:val="21"/>
          <w:szCs w:val="21"/>
          <w:highlight w:val="none"/>
          <w:u w:val="single"/>
        </w:rPr>
        <w:t>（单位名称）</w:t>
      </w:r>
      <w:r>
        <w:rPr>
          <w:rFonts w:hint="eastAsia" w:ascii="宋体" w:hAnsi="宋体" w:eastAsia="宋体" w:cs="Times New Roman"/>
          <w:color w:val="auto"/>
          <w:sz w:val="21"/>
          <w:szCs w:val="21"/>
          <w:highlight w:val="none"/>
        </w:rPr>
        <w:t>的在下面签字的</w:t>
      </w:r>
      <w:r>
        <w:rPr>
          <w:rFonts w:hint="eastAsia" w:ascii="宋体" w:hAnsi="宋体" w:eastAsia="宋体" w:cs="Times New Roman"/>
          <w:color w:val="auto"/>
          <w:sz w:val="21"/>
          <w:szCs w:val="21"/>
          <w:highlight w:val="none"/>
          <w:u w:val="single"/>
        </w:rPr>
        <w:t>（被授权人的姓名、职务）</w:t>
      </w:r>
      <w:r>
        <w:rPr>
          <w:rFonts w:hint="eastAsia" w:ascii="宋体" w:hAnsi="宋体" w:eastAsia="宋体" w:cs="Times New Roman"/>
          <w:color w:val="auto"/>
          <w:sz w:val="21"/>
          <w:szCs w:val="21"/>
          <w:highlight w:val="none"/>
        </w:rPr>
        <w:t>为本单位的合法代理人，就</w:t>
      </w:r>
      <w:r>
        <w:rPr>
          <w:rFonts w:hint="eastAsia" w:ascii="宋体" w:hAnsi="宋体" w:eastAsia="宋体" w:cs="Times New Roman"/>
          <w:color w:val="auto"/>
          <w:sz w:val="21"/>
          <w:szCs w:val="21"/>
          <w:highlight w:val="none"/>
          <w:u w:val="single"/>
        </w:rPr>
        <w:t>（项目名称）</w:t>
      </w:r>
      <w:r>
        <w:rPr>
          <w:rFonts w:hint="eastAsia" w:ascii="宋体" w:hAnsi="宋体" w:eastAsia="宋体" w:cs="Times New Roman"/>
          <w:color w:val="auto"/>
          <w:sz w:val="21"/>
          <w:szCs w:val="21"/>
          <w:highlight w:val="none"/>
        </w:rPr>
        <w:t>投标及参加项目谈判，以本单位名义处理一切与之有关的事务。</w:t>
      </w:r>
    </w:p>
    <w:p>
      <w:pPr>
        <w:spacing w:after="0" w:line="360" w:lineRule="auto"/>
        <w:ind w:firstLine="315" w:firstLineChars="15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本授权书于</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年</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月</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日签字生效，特此声明。</w:t>
      </w:r>
    </w:p>
    <w:p>
      <w:pPr>
        <w:pStyle w:val="31"/>
        <w:spacing w:line="500" w:lineRule="atLeast"/>
        <w:ind w:firstLine="3517" w:firstLineChars="1675"/>
        <w:rPr>
          <w:rFonts w:ascii="宋体" w:eastAsia="宋体"/>
          <w:color w:val="auto"/>
          <w:sz w:val="21"/>
          <w:szCs w:val="21"/>
          <w:highlight w:val="none"/>
        </w:rPr>
      </w:pP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1"/>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法定代表人签字（签名或盖私章）：</w:t>
      </w: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被授权人签字：</w:t>
      </w:r>
    </w:p>
    <w:p>
      <w:pPr>
        <w:pStyle w:val="31"/>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职务：</w:t>
      </w: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移动电话： </w:t>
      </w: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详细通讯地址：</w:t>
      </w:r>
    </w:p>
    <w:p>
      <w:pPr>
        <w:pStyle w:val="31"/>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邮箱：                          </w:t>
      </w:r>
    </w:p>
    <w:p>
      <w:pPr>
        <w:pStyle w:val="31"/>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期：年月日</w:t>
      </w:r>
    </w:p>
    <w:p>
      <w:pPr>
        <w:pStyle w:val="31"/>
        <w:spacing w:line="460" w:lineRule="exact"/>
        <w:ind w:firstLine="433"/>
        <w:rPr>
          <w:rFonts w:ascii="宋体" w:eastAsia="宋体"/>
          <w:color w:val="auto"/>
          <w:sz w:val="21"/>
          <w:szCs w:val="21"/>
          <w:highlight w:val="none"/>
        </w:rPr>
      </w:pPr>
    </w:p>
    <w:p>
      <w:pPr>
        <w:ind w:firstLine="420" w:firstLineChars="200"/>
        <w:rPr>
          <w:rFonts w:eastAsia="宋体"/>
          <w:color w:val="auto"/>
          <w:highlight w:val="none"/>
        </w:rPr>
      </w:pPr>
      <w:r>
        <w:rPr>
          <w:rFonts w:hint="eastAsia" w:ascii="宋体" w:hAnsi="宋体" w:eastAsia="宋体"/>
          <w:color w:val="auto"/>
          <w:sz w:val="21"/>
          <w:szCs w:val="21"/>
          <w:highlight w:val="none"/>
        </w:rPr>
        <w:t>须附：被授权人身份证复印件。</w:t>
      </w:r>
    </w:p>
    <w:tbl>
      <w:tblPr>
        <w:tblStyle w:val="19"/>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pPr>
              <w:pStyle w:val="31"/>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232" w:type="dxa"/>
            <w:vAlign w:val="center"/>
          </w:tcPr>
          <w:p>
            <w:pPr>
              <w:pStyle w:val="31"/>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pPr>
        <w:adjustRightInd/>
        <w:snapToGrid/>
        <w:spacing w:line="276" w:lineRule="auto"/>
        <w:rPr>
          <w:color w:val="auto"/>
          <w:highlight w:val="none"/>
        </w:rPr>
      </w:pPr>
      <w:bookmarkStart w:id="97" w:name="_Toc22486"/>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98" w:name="_Toc17164"/>
      <w:r>
        <w:rPr>
          <w:rFonts w:hint="eastAsia" w:ascii="宋体" w:hAnsi="宋体" w:eastAsia="宋体"/>
          <w:color w:val="auto"/>
          <w:sz w:val="21"/>
          <w:szCs w:val="21"/>
          <w:highlight w:val="none"/>
        </w:rPr>
        <w:t>附件7.资格申明</w:t>
      </w:r>
      <w:bookmarkEnd w:id="98"/>
    </w:p>
    <w:p>
      <w:pPr>
        <w:jc w:val="center"/>
        <w:rPr>
          <w:rFonts w:ascii="黑体" w:eastAsia="黑体"/>
          <w:color w:val="auto"/>
          <w:sz w:val="28"/>
          <w:szCs w:val="28"/>
          <w:highlight w:val="none"/>
        </w:rPr>
      </w:pPr>
      <w:r>
        <w:rPr>
          <w:rFonts w:hint="eastAsia" w:ascii="黑体" w:eastAsia="黑体"/>
          <w:color w:val="auto"/>
          <w:sz w:val="28"/>
          <w:szCs w:val="28"/>
          <w:highlight w:val="none"/>
        </w:rPr>
        <w:t>资格申明</w:t>
      </w:r>
    </w:p>
    <w:p>
      <w:pPr>
        <w:pStyle w:val="31"/>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广东政通招标有限公司：</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我方</w:t>
      </w:r>
      <w:r>
        <w:rPr>
          <w:rFonts w:ascii="宋体" w:hAnsi="宋体" w:eastAsia="宋体"/>
          <w:color w:val="auto"/>
          <w:sz w:val="21"/>
          <w:szCs w:val="21"/>
          <w:highlight w:val="none"/>
        </w:rPr>
        <w:t>愿响应</w:t>
      </w:r>
      <w:r>
        <w:rPr>
          <w:rFonts w:hint="eastAsia" w:ascii="宋体" w:hAnsi="宋体" w:eastAsia="宋体"/>
          <w:color w:val="auto"/>
          <w:sz w:val="21"/>
          <w:szCs w:val="21"/>
          <w:highlight w:val="none"/>
        </w:rPr>
        <w:t>贵</w:t>
      </w:r>
      <w:r>
        <w:rPr>
          <w:rFonts w:ascii="宋体" w:hAnsi="宋体" w:eastAsia="宋体"/>
          <w:color w:val="auto"/>
          <w:sz w:val="21"/>
          <w:szCs w:val="21"/>
          <w:highlight w:val="none"/>
        </w:rPr>
        <w:t>方</w:t>
      </w:r>
      <w:r>
        <w:rPr>
          <w:rFonts w:hint="eastAsia" w:ascii="宋体" w:hAnsi="宋体" w:eastAsia="宋体"/>
          <w:color w:val="auto"/>
          <w:sz w:val="21"/>
          <w:szCs w:val="21"/>
          <w:highlight w:val="none"/>
        </w:rPr>
        <w:t>关于（项目名称）</w:t>
      </w:r>
      <w:r>
        <w:rPr>
          <w:rFonts w:ascii="宋体" w:hAnsi="宋体" w:eastAsia="宋体"/>
          <w:color w:val="auto"/>
          <w:sz w:val="21"/>
          <w:szCs w:val="21"/>
          <w:highlight w:val="none"/>
        </w:rPr>
        <w:t>（</w:t>
      </w:r>
      <w:r>
        <w:rPr>
          <w:rFonts w:hint="eastAsia" w:ascii="宋体" w:hAnsi="宋体" w:eastAsia="宋体"/>
          <w:color w:val="auto"/>
          <w:sz w:val="21"/>
          <w:szCs w:val="21"/>
          <w:highlight w:val="none"/>
        </w:rPr>
        <w:t>采购项目编号</w:t>
      </w:r>
      <w:r>
        <w:rPr>
          <w:rFonts w:ascii="宋体" w:hAnsi="宋体" w:eastAsia="宋体"/>
          <w:color w:val="auto"/>
          <w:sz w:val="21"/>
          <w:szCs w:val="21"/>
          <w:highlight w:val="none"/>
        </w:rPr>
        <w:t>）</w:t>
      </w:r>
      <w:r>
        <w:rPr>
          <w:rFonts w:hint="eastAsia" w:ascii="宋体" w:hAnsi="宋体" w:eastAsia="宋体"/>
          <w:color w:val="auto"/>
          <w:sz w:val="21"/>
          <w:szCs w:val="21"/>
          <w:highlight w:val="none"/>
        </w:rPr>
        <w:t>的</w:t>
      </w:r>
      <w:r>
        <w:rPr>
          <w:rFonts w:ascii="宋体" w:hAnsi="宋体" w:eastAsia="宋体"/>
          <w:color w:val="auto"/>
          <w:sz w:val="21"/>
          <w:szCs w:val="21"/>
          <w:highlight w:val="none"/>
        </w:rPr>
        <w:t>投标邀请，参与投标，提供用户需求书中规定的</w:t>
      </w:r>
      <w:r>
        <w:rPr>
          <w:rFonts w:hint="eastAsia" w:ascii="宋体" w:hAnsi="宋体" w:eastAsia="宋体"/>
          <w:color w:val="auto"/>
          <w:sz w:val="21"/>
          <w:szCs w:val="21"/>
          <w:highlight w:val="none"/>
        </w:rPr>
        <w:t>货物及相关服务</w:t>
      </w:r>
      <w:r>
        <w:rPr>
          <w:rFonts w:ascii="宋体" w:hAnsi="宋体" w:eastAsia="宋体"/>
          <w:color w:val="auto"/>
          <w:sz w:val="21"/>
          <w:szCs w:val="21"/>
          <w:highlight w:val="none"/>
        </w:rPr>
        <w:t>，并按招标文件要求提交所附资格文件且声明和保证如下：</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一、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二、</w:t>
      </w:r>
      <w:r>
        <w:rPr>
          <w:rFonts w:ascii="宋体" w:hAnsi="宋体" w:eastAsia="宋体"/>
          <w:color w:val="auto"/>
          <w:sz w:val="21"/>
          <w:szCs w:val="21"/>
          <w:highlight w:val="none"/>
        </w:rPr>
        <w:t>我方依法注册，在法律上、财务上和运作上完全独立于（采购人名称）（采购人）及</w:t>
      </w:r>
      <w:r>
        <w:rPr>
          <w:rFonts w:hint="eastAsia" w:ascii="宋体" w:hAnsi="宋体" w:eastAsia="宋体"/>
          <w:color w:val="auto"/>
          <w:sz w:val="21"/>
          <w:szCs w:val="21"/>
          <w:highlight w:val="none"/>
        </w:rPr>
        <w:t>广东政通招标有限公司</w:t>
      </w:r>
      <w:r>
        <w:rPr>
          <w:rFonts w:ascii="宋体" w:hAnsi="宋体" w:eastAsia="宋体"/>
          <w:color w:val="auto"/>
          <w:sz w:val="21"/>
          <w:szCs w:val="21"/>
          <w:highlight w:val="none"/>
        </w:rPr>
        <w:t>（采购代理机构）</w:t>
      </w:r>
      <w:r>
        <w:rPr>
          <w:rFonts w:hint="eastAsia" w:ascii="宋体" w:hAnsi="宋体" w:eastAsia="宋体"/>
          <w:color w:val="auto"/>
          <w:sz w:val="21"/>
          <w:szCs w:val="21"/>
          <w:highlight w:val="none"/>
        </w:rPr>
        <w:t>。</w:t>
      </w:r>
    </w:p>
    <w:p>
      <w:pPr>
        <w:pStyle w:val="31"/>
        <w:spacing w:line="500" w:lineRule="atLeast"/>
        <w:ind w:firstLine="3517" w:firstLineChars="1675"/>
        <w:rPr>
          <w:rFonts w:ascii="宋体" w:eastAsia="宋体"/>
          <w:color w:val="auto"/>
          <w:sz w:val="21"/>
          <w:szCs w:val="21"/>
          <w:highlight w:val="none"/>
        </w:rPr>
      </w:pPr>
    </w:p>
    <w:p>
      <w:pPr>
        <w:pStyle w:val="31"/>
        <w:spacing w:line="500" w:lineRule="atLeast"/>
        <w:ind w:firstLine="3517" w:firstLineChars="1675"/>
        <w:rPr>
          <w:rFonts w:ascii="宋体" w:eastAsia="宋体"/>
          <w:color w:val="auto"/>
          <w:sz w:val="21"/>
          <w:szCs w:val="21"/>
          <w:highlight w:val="none"/>
        </w:rPr>
      </w:pPr>
    </w:p>
    <w:p>
      <w:pPr>
        <w:pStyle w:val="31"/>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1"/>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法定代表人签字（签名或盖私章）：</w:t>
      </w:r>
    </w:p>
    <w:p>
      <w:pPr>
        <w:pStyle w:val="31"/>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日     期：年月日</w:t>
      </w:r>
    </w:p>
    <w:p>
      <w:pPr>
        <w:pStyle w:val="31"/>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99" w:name="_Toc27839"/>
      <w:r>
        <w:rPr>
          <w:rFonts w:hint="eastAsia" w:ascii="宋体" w:hAnsi="宋体" w:eastAsia="宋体"/>
          <w:color w:val="auto"/>
          <w:sz w:val="21"/>
          <w:szCs w:val="21"/>
          <w:highlight w:val="none"/>
        </w:rPr>
        <w:t>附件8.营业执照</w:t>
      </w:r>
      <w:bookmarkEnd w:id="99"/>
    </w:p>
    <w:p>
      <w:pPr>
        <w:jc w:val="center"/>
        <w:rPr>
          <w:rFonts w:ascii="黑体" w:eastAsia="黑体"/>
          <w:color w:val="auto"/>
          <w:sz w:val="28"/>
          <w:szCs w:val="28"/>
          <w:highlight w:val="none"/>
        </w:rPr>
      </w:pPr>
      <w:bookmarkStart w:id="100" w:name="_Toc4926"/>
      <w:bookmarkStart w:id="101" w:name="_Toc24210"/>
      <w:bookmarkStart w:id="102" w:name="_Toc17470"/>
      <w:bookmarkStart w:id="103" w:name="_Toc5919"/>
      <w:bookmarkStart w:id="104" w:name="_Toc1511"/>
      <w:r>
        <w:rPr>
          <w:rFonts w:hint="eastAsia" w:ascii="黑体" w:eastAsia="黑体"/>
          <w:color w:val="auto"/>
          <w:sz w:val="28"/>
          <w:szCs w:val="28"/>
          <w:highlight w:val="none"/>
        </w:rPr>
        <w:t>营业执照</w:t>
      </w:r>
      <w:bookmarkEnd w:id="100"/>
      <w:bookmarkEnd w:id="101"/>
      <w:bookmarkEnd w:id="102"/>
      <w:bookmarkEnd w:id="103"/>
      <w:bookmarkEnd w:id="104"/>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05" w:name="_Toc26141"/>
      <w:r>
        <w:rPr>
          <w:rFonts w:hint="eastAsia" w:ascii="宋体" w:hAnsi="宋体" w:eastAsia="宋体"/>
          <w:color w:val="auto"/>
          <w:sz w:val="21"/>
          <w:szCs w:val="21"/>
          <w:highlight w:val="none"/>
        </w:rPr>
        <w:t>附件9.相关资质证明文件</w:t>
      </w:r>
      <w:bookmarkEnd w:id="105"/>
    </w:p>
    <w:p>
      <w:pPr>
        <w:rPr>
          <w:color w:val="auto"/>
          <w:highlight w:val="none"/>
        </w:rPr>
      </w:pPr>
    </w:p>
    <w:p>
      <w:pPr>
        <w:jc w:val="center"/>
        <w:rPr>
          <w:rFonts w:ascii="黑体" w:eastAsia="黑体"/>
          <w:color w:val="auto"/>
          <w:sz w:val="28"/>
          <w:szCs w:val="28"/>
          <w:highlight w:val="none"/>
        </w:rPr>
      </w:pPr>
      <w:bookmarkStart w:id="106" w:name="_Toc13458"/>
      <w:bookmarkStart w:id="107" w:name="_Toc16698"/>
      <w:bookmarkStart w:id="108" w:name="_Toc30307"/>
      <w:bookmarkStart w:id="109" w:name="_Toc9592"/>
      <w:bookmarkStart w:id="110" w:name="_Toc16233"/>
      <w:r>
        <w:rPr>
          <w:rFonts w:hint="eastAsia" w:ascii="黑体" w:eastAsia="黑体"/>
          <w:color w:val="auto"/>
          <w:sz w:val="28"/>
          <w:szCs w:val="28"/>
          <w:highlight w:val="none"/>
        </w:rPr>
        <w:t>相关资质证明文件</w:t>
      </w:r>
      <w:bookmarkEnd w:id="97"/>
      <w:bookmarkEnd w:id="106"/>
      <w:bookmarkEnd w:id="107"/>
      <w:bookmarkEnd w:id="108"/>
      <w:bookmarkEnd w:id="109"/>
      <w:bookmarkEnd w:id="110"/>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11" w:name="_Toc17618"/>
      <w:r>
        <w:rPr>
          <w:rFonts w:hint="eastAsia" w:ascii="宋体" w:hAnsi="宋体" w:eastAsia="宋体"/>
          <w:color w:val="auto"/>
          <w:sz w:val="21"/>
          <w:szCs w:val="21"/>
          <w:highlight w:val="none"/>
        </w:rPr>
        <w:t>附件10. 商务条款偏离表格式</w:t>
      </w:r>
      <w:bookmarkEnd w:id="111"/>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商务条款偏离表</w:t>
      </w:r>
    </w:p>
    <w:tbl>
      <w:tblPr>
        <w:tblStyle w:val="19"/>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62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服务项目名称</w:t>
            </w:r>
          </w:p>
        </w:tc>
        <w:tc>
          <w:tcPr>
            <w:tcW w:w="136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招标要求</w:t>
            </w:r>
          </w:p>
        </w:tc>
        <w:tc>
          <w:tcPr>
            <w:tcW w:w="1587"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投标实际响应</w:t>
            </w:r>
          </w:p>
        </w:tc>
        <w:tc>
          <w:tcPr>
            <w:tcW w:w="1133"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是否偏离</w:t>
            </w:r>
          </w:p>
        </w:tc>
        <w:tc>
          <w:tcPr>
            <w:tcW w:w="173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rPr>
          <w:rFonts w:ascii="宋体" w:hAnsi="宋体" w:eastAsia="宋体"/>
          <w:color w:val="auto"/>
          <w:sz w:val="21"/>
          <w:szCs w:val="21"/>
          <w:highlight w:val="none"/>
        </w:rPr>
      </w:pPr>
    </w:p>
    <w:p>
      <w:pPr>
        <w:ind w:left="718" w:hanging="718" w:hangingChars="342"/>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1、投标人应对照招标文件商务要求，说明已对招标文件的商务内容做出了实质性的响应。</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2、商务条款包括但不限于合格投标人资格、付款方式、履约保证金、完工期、售后服务、检验及验收等要求。</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3、若文件有具体要求的，应按照文件要求进行逐一响应，并提供相应的证明材料。</w:t>
      </w: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r>
        <w:rPr>
          <w:color w:val="auto"/>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12" w:name="_Toc32183"/>
      <w:r>
        <w:rPr>
          <w:rFonts w:hint="eastAsia" w:ascii="宋体" w:hAnsi="宋体" w:eastAsia="宋体"/>
          <w:color w:val="auto"/>
          <w:sz w:val="21"/>
          <w:szCs w:val="21"/>
          <w:highlight w:val="none"/>
        </w:rPr>
        <w:t>附件11. 技术规格偏离表格式</w:t>
      </w:r>
      <w:bookmarkEnd w:id="112"/>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技术规格偏离表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90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技术规格</w:t>
            </w:r>
          </w:p>
        </w:tc>
        <w:tc>
          <w:tcPr>
            <w:tcW w:w="137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招标要求</w:t>
            </w:r>
          </w:p>
        </w:tc>
        <w:tc>
          <w:tcPr>
            <w:tcW w:w="1629"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投标实际响应</w:t>
            </w:r>
          </w:p>
        </w:tc>
        <w:tc>
          <w:tcPr>
            <w:tcW w:w="1239"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是否偏离</w:t>
            </w:r>
          </w:p>
        </w:tc>
        <w:tc>
          <w:tcPr>
            <w:tcW w:w="1544"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ind w:firstLine="178" w:firstLineChars="85"/>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1、偏离项中填写“正”、“负”或“无”，说明项中填写原因。</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2、投标人应对照招标文件技术规格，说明所提供服务已对招标文件的技术规格做出实质性的响应，并申明与技术规格条文的偏差和例外。特别对有具体参数要求的指标，投标人必须提供所投设备的具体参数值。</w:t>
      </w:r>
    </w:p>
    <w:p>
      <w:pPr>
        <w:spacing w:after="0" w:line="360" w:lineRule="auto"/>
        <w:rPr>
          <w:rFonts w:ascii="宋体" w:hAnsi="宋体" w:eastAsia="宋体"/>
          <w:color w:val="auto"/>
          <w:sz w:val="21"/>
          <w:szCs w:val="21"/>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rPr>
          <w:rFonts w:ascii="宋体" w:hAnsi="宋体" w:eastAsia="宋体"/>
          <w:color w:val="auto"/>
          <w:sz w:val="21"/>
          <w:szCs w:val="21"/>
          <w:highlight w:val="none"/>
        </w:rPr>
      </w:pPr>
      <w:bookmarkStart w:id="113" w:name="_Toc17691"/>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s="Times New Roman"/>
          <w:b w:val="0"/>
          <w:bCs w:val="0"/>
          <w:color w:val="auto"/>
          <w:sz w:val="32"/>
          <w:szCs w:val="32"/>
          <w:highlight w:val="none"/>
        </w:rPr>
      </w:pPr>
      <w:bookmarkStart w:id="114" w:name="_Toc29613"/>
      <w:r>
        <w:rPr>
          <w:rFonts w:hint="eastAsia" w:ascii="宋体" w:hAnsi="宋体" w:eastAsia="宋体"/>
          <w:color w:val="auto"/>
          <w:sz w:val="21"/>
          <w:szCs w:val="21"/>
          <w:highlight w:val="none"/>
        </w:rPr>
        <w:t>附件12.重要技术参数（▲）响应表</w:t>
      </w:r>
      <w:bookmarkEnd w:id="113"/>
      <w:bookmarkEnd w:id="114"/>
    </w:p>
    <w:p>
      <w:pPr>
        <w:jc w:val="center"/>
        <w:rPr>
          <w:rFonts w:ascii="黑体" w:eastAsia="黑体"/>
          <w:color w:val="auto"/>
          <w:sz w:val="28"/>
          <w:szCs w:val="28"/>
          <w:highlight w:val="none"/>
        </w:rPr>
      </w:pPr>
      <w:bookmarkStart w:id="115" w:name="_Toc26078"/>
      <w:bookmarkStart w:id="116" w:name="_Toc4827"/>
      <w:bookmarkStart w:id="117" w:name="_Toc1274"/>
      <w:bookmarkStart w:id="118" w:name="_Toc6080"/>
      <w:bookmarkStart w:id="119" w:name="_Toc4464"/>
      <w:bookmarkStart w:id="120" w:name="_Toc18668"/>
    </w:p>
    <w:p>
      <w:pPr>
        <w:jc w:val="center"/>
        <w:rPr>
          <w:rFonts w:ascii="黑体" w:eastAsia="黑体"/>
          <w:color w:val="auto"/>
          <w:sz w:val="28"/>
          <w:szCs w:val="28"/>
          <w:highlight w:val="none"/>
        </w:rPr>
      </w:pPr>
      <w:r>
        <w:rPr>
          <w:rFonts w:hint="eastAsia" w:ascii="黑体" w:eastAsia="黑体"/>
          <w:color w:val="auto"/>
          <w:sz w:val="28"/>
          <w:szCs w:val="28"/>
          <w:highlight w:val="none"/>
        </w:rPr>
        <w:t>重要技术参数（▲）响应表</w:t>
      </w:r>
      <w:bookmarkEnd w:id="115"/>
      <w:bookmarkEnd w:id="116"/>
      <w:bookmarkEnd w:id="117"/>
      <w:bookmarkEnd w:id="118"/>
      <w:bookmarkEnd w:id="119"/>
      <w:bookmarkEnd w:id="120"/>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2"/>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bookmarkStart w:id="121" w:name="_Toc27090"/>
            <w:bookmarkStart w:id="122" w:name="_Toc15903"/>
            <w:bookmarkStart w:id="123" w:name="_Toc10045"/>
            <w:bookmarkStart w:id="124" w:name="_Toc21739"/>
            <w:bookmarkStart w:id="125" w:name="_Toc22448"/>
            <w:bookmarkStart w:id="126" w:name="_Toc2700"/>
            <w:bookmarkStart w:id="127" w:name="_Toc4304"/>
            <w:bookmarkStart w:id="128" w:name="_Toc14815"/>
            <w:bookmarkStart w:id="129" w:name="_Toc12049"/>
            <w:bookmarkStart w:id="130" w:name="_Toc16872"/>
            <w:r>
              <w:rPr>
                <w:rFonts w:hint="eastAsia" w:ascii="宋体" w:hAnsi="宋体" w:eastAsia="宋体" w:cs="Times New Roman"/>
                <w:color w:val="auto"/>
                <w:sz w:val="21"/>
                <w:szCs w:val="21"/>
                <w:highlight w:val="none"/>
              </w:rPr>
              <w:t>技术参数（▲）</w:t>
            </w:r>
            <w:bookmarkEnd w:id="121"/>
            <w:bookmarkEnd w:id="122"/>
            <w:bookmarkEnd w:id="123"/>
            <w:bookmarkEnd w:id="124"/>
            <w:bookmarkEnd w:id="125"/>
            <w:bookmarkEnd w:id="126"/>
            <w:bookmarkEnd w:id="127"/>
            <w:bookmarkEnd w:id="128"/>
            <w:bookmarkEnd w:id="129"/>
            <w:bookmarkEnd w:id="130"/>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bookmarkStart w:id="131" w:name="_Toc8312"/>
            <w:bookmarkStart w:id="132" w:name="_Toc22879"/>
            <w:bookmarkStart w:id="133" w:name="_Toc24662"/>
            <w:bookmarkStart w:id="134" w:name="_Toc22917"/>
            <w:bookmarkStart w:id="135" w:name="_Toc27442"/>
            <w:bookmarkStart w:id="136" w:name="_Toc7333"/>
            <w:bookmarkStart w:id="137" w:name="_Toc32531"/>
            <w:bookmarkStart w:id="138" w:name="_Toc21809"/>
            <w:bookmarkStart w:id="139" w:name="_Toc19251"/>
            <w:bookmarkStart w:id="140" w:name="_Toc8490"/>
            <w:r>
              <w:rPr>
                <w:rFonts w:hint="eastAsia" w:ascii="宋体" w:hAnsi="宋体" w:eastAsia="宋体" w:cs="Times New Roman"/>
                <w:color w:val="auto"/>
                <w:sz w:val="21"/>
                <w:szCs w:val="21"/>
                <w:highlight w:val="none"/>
              </w:rPr>
              <w:t>是否响应</w:t>
            </w:r>
            <w:bookmarkEnd w:id="131"/>
            <w:bookmarkEnd w:id="132"/>
            <w:bookmarkEnd w:id="133"/>
            <w:bookmarkEnd w:id="134"/>
            <w:bookmarkEnd w:id="135"/>
            <w:bookmarkEnd w:id="136"/>
            <w:bookmarkEnd w:id="137"/>
            <w:bookmarkEnd w:id="138"/>
            <w:bookmarkEnd w:id="139"/>
            <w:bookmarkEnd w:id="140"/>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bookmarkStart w:id="141" w:name="_Toc27185"/>
            <w:bookmarkStart w:id="142" w:name="_Toc20820"/>
            <w:bookmarkStart w:id="143" w:name="_Toc1330"/>
            <w:bookmarkStart w:id="144" w:name="_Toc5992"/>
            <w:bookmarkStart w:id="145" w:name="_Toc17642"/>
            <w:bookmarkStart w:id="146" w:name="_Toc20139"/>
            <w:bookmarkStart w:id="147" w:name="_Toc5563"/>
            <w:bookmarkStart w:id="148" w:name="_Toc17296"/>
            <w:bookmarkStart w:id="149" w:name="_Toc1912"/>
            <w:bookmarkStart w:id="150" w:name="_Toc3701"/>
            <w:r>
              <w:rPr>
                <w:rFonts w:hint="eastAsia" w:ascii="宋体" w:hAnsi="宋体" w:eastAsia="宋体" w:cs="Times New Roman"/>
                <w:color w:val="auto"/>
                <w:sz w:val="21"/>
                <w:szCs w:val="21"/>
                <w:highlight w:val="none"/>
              </w:rPr>
              <w:t>页码范围</w:t>
            </w:r>
            <w:bookmarkEnd w:id="141"/>
            <w:bookmarkEnd w:id="142"/>
            <w:bookmarkEnd w:id="143"/>
            <w:bookmarkEnd w:id="144"/>
            <w:bookmarkEnd w:id="145"/>
            <w:bookmarkEnd w:id="146"/>
            <w:bookmarkEnd w:id="147"/>
            <w:bookmarkEnd w:id="148"/>
            <w:bookmarkEnd w:id="149"/>
            <w:bookmarkEnd w:id="1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6"/>
              <w:widowControl w:val="0"/>
              <w:overflowPunct w:val="0"/>
              <w:spacing w:before="0" w:after="0" w:line="240" w:lineRule="auto"/>
              <w:jc w:val="center"/>
              <w:rPr>
                <w:rFonts w:ascii="宋体" w:hAnsi="宋体" w:eastAsia="宋体" w:cs="Times New Roman"/>
                <w:color w:val="auto"/>
                <w:sz w:val="21"/>
                <w:szCs w:val="21"/>
                <w:highlight w:val="none"/>
              </w:rPr>
            </w:pPr>
          </w:p>
        </w:tc>
      </w:tr>
    </w:tbl>
    <w:p>
      <w:pPr>
        <w:pStyle w:val="28"/>
        <w:spacing w:after="0" w:line="360" w:lineRule="auto"/>
        <w:rPr>
          <w:rFonts w:ascii="宋体" w:hAnsi="宋体" w:eastAsia="宋体"/>
          <w:color w:val="auto"/>
          <w:sz w:val="21"/>
          <w:szCs w:val="21"/>
          <w:highlight w:val="none"/>
        </w:rPr>
      </w:pPr>
    </w:p>
    <w:p>
      <w:pPr>
        <w:pStyle w:val="28"/>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28"/>
        <w:numPr>
          <w:ilvl w:val="0"/>
          <w:numId w:val="11"/>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28"/>
        <w:numPr>
          <w:ilvl w:val="0"/>
          <w:numId w:val="11"/>
        </w:numPr>
        <w:spacing w:after="0" w:line="360" w:lineRule="auto"/>
        <w:ind w:firstLine="422"/>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投标人可按项目的实际需要提供本表格。招标文件内未涉及▲参数的，此表可以不用提供。</w:t>
      </w:r>
    </w:p>
    <w:p>
      <w:pPr>
        <w:pStyle w:val="28"/>
        <w:numPr>
          <w:ilvl w:val="0"/>
          <w:numId w:val="11"/>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响应表所列出的材料应为真实准确的，若文件需要，应提供相关证明材料复印件加盖公章。请勿提供虚假、过期材料，否则将依据相关规定严肃处理</w:t>
      </w:r>
    </w:p>
    <w:p>
      <w:pPr>
        <w:pStyle w:val="28"/>
        <w:numPr>
          <w:ilvl w:val="0"/>
          <w:numId w:val="11"/>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若招标文件有需求，投标文件未提供重要技术参数（</w:t>
      </w:r>
      <w:r>
        <w:rPr>
          <w:rFonts w:hint="eastAsia" w:ascii="宋体" w:hAnsi="宋体" w:eastAsia="宋体" w:cs="Times New Roman"/>
          <w:color w:val="auto"/>
          <w:sz w:val="21"/>
          <w:szCs w:val="21"/>
          <w:highlight w:val="none"/>
        </w:rPr>
        <w:t>▲</w:t>
      </w:r>
      <w:r>
        <w:rPr>
          <w:rFonts w:hint="eastAsia" w:ascii="宋体" w:hAnsi="宋体" w:eastAsia="宋体"/>
          <w:color w:val="auto"/>
          <w:sz w:val="21"/>
          <w:szCs w:val="21"/>
          <w:highlight w:val="none"/>
        </w:rPr>
        <w:t>）响应表对投标人投标产生负面影响的，投标人自行承担后果。</w:t>
      </w:r>
    </w:p>
    <w:p>
      <w:pPr>
        <w:pStyle w:val="28"/>
        <w:numPr>
          <w:ilvl w:val="0"/>
          <w:numId w:val="11"/>
        </w:num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30"/>
          <w:szCs w:val="30"/>
          <w:highlight w:val="none"/>
        </w:rPr>
      </w:pPr>
      <w:bookmarkStart w:id="151" w:name="_Toc27674"/>
      <w:r>
        <w:rPr>
          <w:rFonts w:hint="eastAsia" w:ascii="宋体" w:hAnsi="宋体" w:eastAsia="宋体"/>
          <w:color w:val="auto"/>
          <w:sz w:val="21"/>
          <w:szCs w:val="21"/>
          <w:highlight w:val="none"/>
        </w:rPr>
        <w:t>附件13.业绩表</w:t>
      </w:r>
      <w:bookmarkEnd w:id="151"/>
    </w:p>
    <w:p>
      <w:pPr>
        <w:jc w:val="center"/>
        <w:rPr>
          <w:rFonts w:ascii="黑体" w:eastAsia="黑体"/>
          <w:color w:val="auto"/>
          <w:sz w:val="28"/>
          <w:szCs w:val="28"/>
          <w:highlight w:val="none"/>
        </w:rPr>
      </w:pPr>
      <w:r>
        <w:rPr>
          <w:rFonts w:hint="eastAsia" w:ascii="黑体" w:eastAsia="黑体"/>
          <w:color w:val="auto"/>
          <w:sz w:val="28"/>
          <w:szCs w:val="28"/>
          <w:highlight w:val="none"/>
        </w:rPr>
        <w:t>业绩表</w:t>
      </w:r>
    </w:p>
    <w:tbl>
      <w:tblPr>
        <w:tblStyle w:val="20"/>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5"/>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tc>
        <w:tc>
          <w:tcPr>
            <w:tcW w:w="1706"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项目金额</w:t>
            </w:r>
          </w:p>
        </w:tc>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项目合同签订时间</w:t>
            </w:r>
          </w:p>
        </w:tc>
        <w:tc>
          <w:tcPr>
            <w:tcW w:w="1697"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ascii="宋体" w:hAnsi="宋体" w:eastAsia="宋体"/>
                <w:color w:val="auto"/>
                <w:sz w:val="21"/>
                <w:szCs w:val="21"/>
                <w:highlight w:val="none"/>
              </w:rPr>
            </w:pPr>
          </w:p>
        </w:tc>
        <w:tc>
          <w:tcPr>
            <w:tcW w:w="1705" w:type="dxa"/>
            <w:vAlign w:val="center"/>
          </w:tcPr>
          <w:p>
            <w:pPr>
              <w:adjustRightInd/>
              <w:snapToGrid/>
              <w:spacing w:after="0"/>
              <w:jc w:val="center"/>
              <w:rPr>
                <w:rFonts w:ascii="宋体" w:hAnsi="宋体" w:eastAsia="宋体"/>
                <w:color w:val="auto"/>
                <w:sz w:val="21"/>
                <w:szCs w:val="21"/>
                <w:highlight w:val="none"/>
              </w:rPr>
            </w:pPr>
          </w:p>
        </w:tc>
        <w:tc>
          <w:tcPr>
            <w:tcW w:w="1706" w:type="dxa"/>
            <w:vAlign w:val="center"/>
          </w:tcPr>
          <w:p>
            <w:pPr>
              <w:adjustRightInd/>
              <w:snapToGrid/>
              <w:spacing w:after="0"/>
              <w:jc w:val="center"/>
              <w:rPr>
                <w:rFonts w:ascii="宋体" w:hAnsi="宋体" w:eastAsia="宋体"/>
                <w:color w:val="auto"/>
                <w:sz w:val="21"/>
                <w:szCs w:val="21"/>
                <w:highlight w:val="none"/>
              </w:rPr>
            </w:pPr>
          </w:p>
        </w:tc>
        <w:tc>
          <w:tcPr>
            <w:tcW w:w="1705" w:type="dxa"/>
            <w:vAlign w:val="center"/>
          </w:tcPr>
          <w:p>
            <w:pPr>
              <w:adjustRightInd/>
              <w:snapToGrid/>
              <w:spacing w:after="0"/>
              <w:jc w:val="center"/>
              <w:rPr>
                <w:rFonts w:ascii="宋体" w:hAnsi="宋体" w:eastAsia="宋体"/>
                <w:color w:val="auto"/>
                <w:sz w:val="21"/>
                <w:szCs w:val="21"/>
                <w:highlight w:val="none"/>
              </w:rPr>
            </w:pPr>
          </w:p>
        </w:tc>
        <w:tc>
          <w:tcPr>
            <w:tcW w:w="1697" w:type="dxa"/>
            <w:vAlign w:val="center"/>
          </w:tcPr>
          <w:p>
            <w:pPr>
              <w:adjustRightInd/>
              <w:snapToGrid/>
              <w:spacing w:after="0"/>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bl>
    <w:p>
      <w:pPr>
        <w:pStyle w:val="28"/>
        <w:spacing w:after="0"/>
        <w:rPr>
          <w:rFonts w:ascii="宋体" w:hAnsi="宋体" w:eastAsia="宋体"/>
          <w:color w:val="auto"/>
          <w:sz w:val="21"/>
          <w:szCs w:val="21"/>
          <w:highlight w:val="none"/>
        </w:rPr>
      </w:pPr>
    </w:p>
    <w:p>
      <w:pPr>
        <w:pStyle w:val="28"/>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28"/>
        <w:numPr>
          <w:ilvl w:val="0"/>
          <w:numId w:val="12"/>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28"/>
        <w:numPr>
          <w:ilvl w:val="0"/>
          <w:numId w:val="12"/>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业绩表所列出的材料应为真实准确的，并应提供相关证明材料复印件加盖公章。请勿提供虚假、过期材料，否则将依据相关规定严肃处理。</w:t>
      </w:r>
    </w:p>
    <w:p>
      <w:pPr>
        <w:pStyle w:val="28"/>
        <w:numPr>
          <w:ilvl w:val="0"/>
          <w:numId w:val="12"/>
        </w:num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52" w:name="_Toc7860"/>
      <w:r>
        <w:rPr>
          <w:rFonts w:hint="eastAsia" w:ascii="宋体" w:hAnsi="宋体" w:eastAsia="宋体"/>
          <w:color w:val="auto"/>
          <w:sz w:val="21"/>
          <w:szCs w:val="21"/>
          <w:highlight w:val="none"/>
        </w:rPr>
        <w:t>附件14. 项目实施方案格式</w:t>
      </w:r>
      <w:bookmarkEnd w:id="152"/>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项目实施方案</w:t>
      </w:r>
    </w:p>
    <w:p>
      <w:pPr>
        <w:jc w:val="center"/>
        <w:rPr>
          <w:rFonts w:ascii="黑体" w:eastAsia="黑体"/>
          <w:color w:val="auto"/>
          <w:sz w:val="32"/>
          <w:szCs w:val="32"/>
          <w:highlight w:val="none"/>
        </w:rPr>
      </w:pP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1、为完成本项目投标人临时投入的设备</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2、为完成本项目投标人投入的人员以及具体工作安排</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3、投标人为本项目制定的具体项目实施方案与项目实施流程</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4、售后服务方案</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5、..........</w:t>
      </w:r>
    </w:p>
    <w:p>
      <w:pPr>
        <w:spacing w:after="0" w:line="360" w:lineRule="auto"/>
        <w:ind w:left="738" w:leftChars="200" w:hanging="298" w:hangingChars="142"/>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自行编写。</w:t>
      </w:r>
    </w:p>
    <w:p>
      <w:pPr>
        <w:spacing w:after="0" w:line="360" w:lineRule="auto"/>
        <w:ind w:left="738" w:leftChars="200" w:hanging="298" w:hangingChars="142"/>
        <w:rPr>
          <w:rFonts w:ascii="宋体" w:hAnsi="宋体" w:eastAsia="宋体"/>
          <w:color w:val="auto"/>
          <w:sz w:val="21"/>
          <w:szCs w:val="21"/>
          <w:highlight w:val="none"/>
        </w:rPr>
      </w:pPr>
    </w:p>
    <w:p>
      <w:pPr>
        <w:spacing w:after="0" w:line="360" w:lineRule="auto"/>
        <w:ind w:left="738" w:leftChars="200" w:hanging="298" w:hangingChars="142"/>
        <w:rPr>
          <w:rFonts w:ascii="宋体" w:hAnsi="宋体" w:eastAsia="宋体"/>
          <w:color w:val="auto"/>
          <w:sz w:val="21"/>
          <w:szCs w:val="21"/>
          <w:highlight w:val="none"/>
        </w:rPr>
      </w:pP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53" w:name="_Toc8596"/>
      <w:r>
        <w:rPr>
          <w:rFonts w:hint="eastAsia" w:ascii="宋体" w:hAnsi="宋体" w:eastAsia="宋体"/>
          <w:color w:val="auto"/>
          <w:sz w:val="21"/>
          <w:szCs w:val="21"/>
          <w:highlight w:val="none"/>
        </w:rPr>
        <w:t>附件15. 实施本项目的有关人员资料表格式</w:t>
      </w:r>
      <w:bookmarkEnd w:id="153"/>
    </w:p>
    <w:p>
      <w:pPr>
        <w:jc w:val="center"/>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实施本项目的有关人员资料表</w:t>
      </w:r>
    </w:p>
    <w:tbl>
      <w:tblPr>
        <w:tblStyle w:val="19"/>
        <w:tblW w:w="7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22"/>
        <w:gridCol w:w="1392"/>
        <w:gridCol w:w="763"/>
        <w:gridCol w:w="708"/>
        <w:gridCol w:w="851"/>
        <w:gridCol w:w="850"/>
        <w:gridCol w:w="78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82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姓名</w:t>
            </w:r>
          </w:p>
        </w:tc>
        <w:tc>
          <w:tcPr>
            <w:tcW w:w="139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本项目拟任岗位</w:t>
            </w:r>
          </w:p>
        </w:tc>
        <w:tc>
          <w:tcPr>
            <w:tcW w:w="763"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性别</w:t>
            </w:r>
          </w:p>
        </w:tc>
        <w:tc>
          <w:tcPr>
            <w:tcW w:w="70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年龄</w:t>
            </w:r>
          </w:p>
        </w:tc>
        <w:tc>
          <w:tcPr>
            <w:tcW w:w="851"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技术职称</w:t>
            </w:r>
          </w:p>
        </w:tc>
        <w:tc>
          <w:tcPr>
            <w:tcW w:w="85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专 业</w:t>
            </w:r>
          </w:p>
        </w:tc>
        <w:tc>
          <w:tcPr>
            <w:tcW w:w="78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资质证书</w:t>
            </w:r>
          </w:p>
        </w:tc>
        <w:tc>
          <w:tcPr>
            <w:tcW w:w="1090" w:type="dxa"/>
            <w:tcBorders>
              <w:right w:val="single" w:color="auto" w:sz="6" w:space="0"/>
            </w:tcBorders>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bl>
    <w:p>
      <w:pPr>
        <w:ind w:firstLine="178" w:firstLineChars="85"/>
        <w:rPr>
          <w:rFonts w:ascii="宋体" w:hAnsi="宋体" w:eastAsia="宋体"/>
          <w:color w:val="auto"/>
          <w:sz w:val="21"/>
          <w:szCs w:val="21"/>
          <w:highlight w:val="none"/>
        </w:rPr>
      </w:pP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附有关证明文件（复印件加盖公章）</w:t>
      </w: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28"/>
        <w:numPr>
          <w:ilvl w:val="0"/>
          <w:numId w:val="13"/>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投标人可按项目的实际需要或招标文件的要求提供本表格。</w:t>
      </w:r>
    </w:p>
    <w:p>
      <w:pPr>
        <w:pStyle w:val="28"/>
        <w:numPr>
          <w:ilvl w:val="0"/>
          <w:numId w:val="13"/>
        </w:numPr>
        <w:ind w:firstLineChars="0"/>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28"/>
        <w:numPr>
          <w:ilvl w:val="0"/>
          <w:numId w:val="13"/>
        </w:numPr>
        <w:ind w:firstLineChars="0"/>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如本项目不涉及此表内容，则无需提供此表。</w:t>
      </w:r>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154" w:name="_Toc21598"/>
      <w:r>
        <w:rPr>
          <w:rFonts w:hint="eastAsia" w:ascii="宋体" w:hAnsi="宋体" w:eastAsia="宋体"/>
          <w:color w:val="auto"/>
          <w:sz w:val="21"/>
          <w:szCs w:val="21"/>
          <w:highlight w:val="none"/>
        </w:rPr>
        <w:t>附件16.投标货物说明一览表格式</w:t>
      </w:r>
      <w:bookmarkEnd w:id="154"/>
    </w:p>
    <w:p>
      <w:pPr>
        <w:jc w:val="center"/>
        <w:rPr>
          <w:rFonts w:ascii="黑体" w:eastAsia="黑体"/>
          <w:color w:val="auto"/>
          <w:sz w:val="28"/>
          <w:szCs w:val="28"/>
          <w:highlight w:val="none"/>
        </w:rPr>
      </w:pPr>
    </w:p>
    <w:p>
      <w:pPr>
        <w:jc w:val="center"/>
        <w:rPr>
          <w:rFonts w:ascii="黑体" w:eastAsia="黑体" w:cs="Times New Roman"/>
          <w:color w:val="auto"/>
          <w:sz w:val="28"/>
          <w:szCs w:val="28"/>
          <w:highlight w:val="none"/>
        </w:rPr>
      </w:pPr>
      <w:r>
        <w:rPr>
          <w:rFonts w:hint="eastAsia" w:ascii="黑体" w:eastAsia="黑体" w:cs="Times New Roman"/>
          <w:color w:val="auto"/>
          <w:sz w:val="28"/>
          <w:szCs w:val="28"/>
          <w:highlight w:val="none"/>
        </w:rPr>
        <w:t>投标货物说明一览表</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775"/>
        <w:gridCol w:w="1618"/>
        <w:gridCol w:w="1217"/>
        <w:gridCol w:w="1656"/>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序号</w:t>
            </w:r>
          </w:p>
        </w:tc>
        <w:tc>
          <w:tcPr>
            <w:tcW w:w="1775"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货物名称</w:t>
            </w:r>
          </w:p>
        </w:tc>
        <w:tc>
          <w:tcPr>
            <w:tcW w:w="1618"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规格型号</w:t>
            </w:r>
          </w:p>
        </w:tc>
        <w:tc>
          <w:tcPr>
            <w:tcW w:w="1217"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数量</w:t>
            </w:r>
          </w:p>
        </w:tc>
        <w:tc>
          <w:tcPr>
            <w:tcW w:w="1656"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单价</w:t>
            </w:r>
          </w:p>
        </w:tc>
        <w:tc>
          <w:tcPr>
            <w:tcW w:w="1305"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bl>
    <w:p>
      <w:pPr>
        <w:spacing w:after="0"/>
        <w:rPr>
          <w:rFonts w:ascii="宋体" w:hAnsi="宋体" w:eastAsia="宋体" w:cs="Times New Roman"/>
          <w:color w:val="auto"/>
          <w:sz w:val="21"/>
          <w:szCs w:val="21"/>
          <w:highlight w:val="none"/>
        </w:rPr>
      </w:pP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投标人代表签字：</w:t>
      </w: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投标人盖章：</w:t>
      </w:r>
    </w:p>
    <w:p>
      <w:pPr>
        <w:rPr>
          <w:rFonts w:ascii="宋体" w:hAnsi="宋体" w:eastAsia="宋体" w:cs="Times New Roman"/>
          <w:color w:val="auto"/>
          <w:sz w:val="21"/>
          <w:szCs w:val="21"/>
          <w:highlight w:val="none"/>
        </w:rPr>
      </w:pP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注：</w:t>
      </w:r>
    </w:p>
    <w:p>
      <w:pPr>
        <w:pStyle w:val="28"/>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1、投标人可按项目的实际需要提供本表格。</w:t>
      </w:r>
    </w:p>
    <w:p>
      <w:pPr>
        <w:pStyle w:val="28"/>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2、该表格为参考格式，投标人可按实际情况自行制订。</w:t>
      </w:r>
    </w:p>
    <w:p>
      <w:pPr>
        <w:pStyle w:val="28"/>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3、如本项目不涉及此表内容，则无需提供此表。</w:t>
      </w:r>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楷体_GB2312" w:eastAsia="楷体_GB2312"/>
          <w:color w:val="auto"/>
          <w:sz w:val="24"/>
          <w:highlight w:val="none"/>
        </w:rPr>
      </w:pPr>
      <w:bookmarkStart w:id="155" w:name="_Toc10094"/>
      <w:bookmarkStart w:id="156" w:name="_Toc21223"/>
      <w:bookmarkStart w:id="157" w:name="_Toc417907703"/>
      <w:r>
        <w:rPr>
          <w:rFonts w:hint="eastAsia" w:ascii="宋体" w:hAnsi="宋体" w:eastAsia="宋体"/>
          <w:color w:val="auto"/>
          <w:sz w:val="21"/>
          <w:szCs w:val="21"/>
          <w:highlight w:val="none"/>
        </w:rPr>
        <w:t>附件17.在经营活动中没有重大违法记录的书面声明格式</w:t>
      </w:r>
      <w:bookmarkEnd w:id="155"/>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投标人在参与政府采购活动前三年未有重大违法记录、没有不良信用记录的声明函</w:t>
      </w:r>
    </w:p>
    <w:p>
      <w:pPr>
        <w:spacing w:after="0" w:line="360" w:lineRule="auto"/>
        <w:ind w:firstLine="420" w:firstLineChars="200"/>
        <w:rPr>
          <w:rFonts w:ascii="宋体" w:hAnsi="宋体" w:eastAsia="宋体" w:cs="宋体"/>
          <w:color w:val="auto"/>
          <w:sz w:val="21"/>
          <w:szCs w:val="21"/>
          <w:highlight w:val="none"/>
        </w:rPr>
      </w:pP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广东政通招标有限公司：</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我公司郑重承诺：在参加“</w:t>
      </w:r>
      <w:r>
        <w:rPr>
          <w:rFonts w:hint="eastAsia" w:ascii="宋体" w:hAnsi="宋体" w:eastAsia="宋体" w:cs="宋体"/>
          <w:color w:val="auto"/>
          <w:sz w:val="21"/>
          <w:szCs w:val="21"/>
          <w:highlight w:val="none"/>
          <w:u w:val="single"/>
        </w:rPr>
        <w:t xml:space="preserve">       （采购项目名称）</w:t>
      </w:r>
      <w:r>
        <w:rPr>
          <w:rFonts w:hint="eastAsia" w:ascii="宋体" w:hAnsi="宋体" w:eastAsia="宋体" w:cs="宋体"/>
          <w:color w:val="auto"/>
          <w:sz w:val="21"/>
          <w:szCs w:val="21"/>
          <w:highlight w:val="none"/>
        </w:rPr>
        <w:t>” （项目编号:）政府采购活动前三年内（设立不满三年的从设立之日计算），在经营活动中没有重大违法记录；至本项目提交投标文件截止时间止未被列入“信用中国”网站及“中国政府采购网”失信被执行人、重大税收违法案件当事人名单、政府采购严重违法失信行为记录名单。</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我公司以上承诺均为真实有效，绝无任何虚假、伪造的成份，否则，愿承担相应的后果和法律责任。</w:t>
      </w:r>
    </w:p>
    <w:p>
      <w:pPr>
        <w:spacing w:after="0" w:line="360" w:lineRule="auto"/>
        <w:ind w:firstLine="420" w:firstLineChars="200"/>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6"/>
        <w:widowControl w:val="0"/>
        <w:overflowPunct w:val="0"/>
        <w:spacing w:before="0" w:after="0" w:line="240" w:lineRule="auto"/>
        <w:rPr>
          <w:color w:val="auto"/>
          <w:highlight w:val="none"/>
        </w:rPr>
      </w:pPr>
      <w:r>
        <w:rPr>
          <w:rFonts w:hint="eastAsia" w:ascii="宋体" w:hAnsi="宋体" w:eastAsia="宋体"/>
          <w:color w:val="auto"/>
          <w:sz w:val="21"/>
          <w:szCs w:val="21"/>
          <w:highlight w:val="none"/>
        </w:rPr>
        <w:t>附件18. 中小企业声明函（投标人为中小企业时适用）</w:t>
      </w:r>
      <w:bookmarkEnd w:id="156"/>
      <w:bookmarkEnd w:id="157"/>
    </w:p>
    <w:p>
      <w:pPr>
        <w:jc w:val="center"/>
        <w:rPr>
          <w:rFonts w:ascii="微软雅黑" w:hAnsi="微软雅黑" w:cs="微软雅黑"/>
          <w:b/>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中小企业声明函（货物）</w:t>
      </w:r>
    </w:p>
    <w:p>
      <w:pPr>
        <w:spacing w:line="360" w:lineRule="auto"/>
        <w:ind w:firstLine="630" w:firstLineChars="3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highlight w:val="none"/>
          <w:u w:val="single"/>
        </w:rPr>
        <w:t>（单位名称）</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u w:val="single"/>
        </w:rPr>
        <w:t>（项目名称）</w:t>
      </w:r>
      <w:r>
        <w:rPr>
          <w:rFonts w:hint="eastAsia" w:asciiTheme="minorEastAsia" w:hAnsiTheme="minorEastAsia" w:eastAsiaTheme="minorEastAsia" w:cstheme="minorEastAsia"/>
          <w:color w:val="auto"/>
          <w:sz w:val="21"/>
          <w:szCs w:val="21"/>
          <w:highlight w:val="none"/>
        </w:rPr>
        <w:t>采购活动，提供的货物全部由符合政策要求的中小企业制造。相关企业</w:t>
      </w:r>
      <w:r>
        <w:rPr>
          <w:rFonts w:hint="eastAsia" w:asciiTheme="minorEastAsia" w:hAnsiTheme="minorEastAsia" w:eastAsiaTheme="minorEastAsia" w:cstheme="minorEastAsia"/>
          <w:color w:val="auto"/>
          <w:sz w:val="21"/>
          <w:szCs w:val="21"/>
          <w:highlight w:val="none"/>
          <w:u w:val="single"/>
        </w:rPr>
        <w:t>（含联合体中的中小企业、签订分包意向协议的中小企业）</w:t>
      </w:r>
      <w:r>
        <w:rPr>
          <w:rFonts w:hint="eastAsia" w:asciiTheme="minorEastAsia" w:hAnsiTheme="minorEastAsia" w:eastAsiaTheme="minorEastAsia" w:cstheme="minorEastAsia"/>
          <w:color w:val="auto"/>
          <w:sz w:val="21"/>
          <w:szCs w:val="21"/>
          <w:highlight w:val="none"/>
        </w:rPr>
        <w:t>的具体情况如下：</w:t>
      </w:r>
    </w:p>
    <w:p>
      <w:pPr>
        <w:pStyle w:val="2"/>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    1.</w:t>
      </w:r>
      <w:r>
        <w:rPr>
          <w:rFonts w:hint="eastAsia" w:asciiTheme="minorEastAsia" w:hAnsiTheme="minorEastAsia" w:eastAsiaTheme="minorEastAsia" w:cstheme="minorEastAsia"/>
          <w:color w:val="auto"/>
          <w:sz w:val="21"/>
          <w:szCs w:val="21"/>
          <w:highlight w:val="none"/>
          <w:u w:val="single"/>
          <w:lang w:val="en-US"/>
        </w:rPr>
        <w:t>（标的名称）</w:t>
      </w:r>
      <w:r>
        <w:rPr>
          <w:rFonts w:hint="eastAsia" w:asciiTheme="minorEastAsia" w:hAnsiTheme="minorEastAsia" w:eastAsiaTheme="minorEastAsia" w:cstheme="minorEastAsia"/>
          <w:color w:val="auto"/>
          <w:sz w:val="21"/>
          <w:szCs w:val="21"/>
          <w:highlight w:val="none"/>
          <w:lang w:val="en-US"/>
        </w:rPr>
        <w:t>，属于</w:t>
      </w:r>
      <w:r>
        <w:rPr>
          <w:rFonts w:hint="eastAsia" w:asciiTheme="minorEastAsia" w:hAnsiTheme="minorEastAsia" w:eastAsiaTheme="minorEastAsia" w:cstheme="minorEastAsia"/>
          <w:color w:val="auto"/>
          <w:sz w:val="21"/>
          <w:szCs w:val="21"/>
          <w:highlight w:val="none"/>
          <w:u w:val="single"/>
          <w:lang w:val="en-US"/>
        </w:rPr>
        <w:t>（采购文件中明确的所属行业）行业</w:t>
      </w:r>
      <w:r>
        <w:rPr>
          <w:rFonts w:hint="eastAsia" w:asciiTheme="minorEastAsia" w:hAnsiTheme="minorEastAsia" w:eastAsiaTheme="minorEastAsia" w:cstheme="minorEastAsia"/>
          <w:color w:val="auto"/>
          <w:sz w:val="21"/>
          <w:szCs w:val="21"/>
          <w:highlight w:val="none"/>
          <w:lang w:val="en-US"/>
        </w:rPr>
        <w:t>；制造商为</w:t>
      </w:r>
      <w:r>
        <w:rPr>
          <w:rFonts w:hint="eastAsia" w:asciiTheme="minorEastAsia" w:hAnsiTheme="minorEastAsia" w:eastAsiaTheme="minorEastAsia" w:cstheme="minorEastAsia"/>
          <w:color w:val="auto"/>
          <w:sz w:val="21"/>
          <w:szCs w:val="21"/>
          <w:highlight w:val="none"/>
          <w:u w:val="single"/>
          <w:lang w:val="en-US"/>
        </w:rPr>
        <w:t>（企业名称）</w:t>
      </w:r>
      <w:r>
        <w:rPr>
          <w:rFonts w:hint="eastAsia" w:asciiTheme="minorEastAsia" w:hAnsiTheme="minorEastAsia" w:eastAsiaTheme="minorEastAsia" w:cstheme="minorEastAsia"/>
          <w:color w:val="auto"/>
          <w:sz w:val="21"/>
          <w:szCs w:val="21"/>
          <w:highlight w:val="none"/>
          <w:lang w:val="en-US"/>
        </w:rPr>
        <w:t>，从业人员_______人，营业收入为_______万元，资产总额为______万元</w:t>
      </w:r>
      <w:r>
        <w:rPr>
          <w:rStyle w:val="25"/>
          <w:rFonts w:hint="eastAsia" w:asciiTheme="minorEastAsia" w:hAnsiTheme="minorEastAsia" w:eastAsiaTheme="minorEastAsia" w:cstheme="minorEastAsia"/>
          <w:color w:val="auto"/>
          <w:sz w:val="21"/>
          <w:szCs w:val="21"/>
          <w:highlight w:val="none"/>
          <w:lang w:val="en-US"/>
        </w:rPr>
        <w:footnoteReference w:id="0"/>
      </w:r>
      <w:r>
        <w:rPr>
          <w:rFonts w:hint="eastAsia" w:asciiTheme="minorEastAsia" w:hAnsiTheme="minorEastAsia" w:eastAsiaTheme="minorEastAsia" w:cstheme="minorEastAsia"/>
          <w:color w:val="auto"/>
          <w:sz w:val="21"/>
          <w:szCs w:val="21"/>
          <w:highlight w:val="none"/>
          <w:lang w:val="en-US"/>
        </w:rPr>
        <w:t>，属于</w:t>
      </w:r>
      <w:r>
        <w:rPr>
          <w:rFonts w:hint="eastAsia" w:asciiTheme="minorEastAsia" w:hAnsiTheme="minorEastAsia" w:eastAsiaTheme="minorEastAsia" w:cstheme="minorEastAsia"/>
          <w:color w:val="auto"/>
          <w:sz w:val="21"/>
          <w:szCs w:val="21"/>
          <w:highlight w:val="none"/>
          <w:u w:val="single"/>
          <w:lang w:val="en-US"/>
        </w:rPr>
        <w:t>（中型企业、小型企业、微型企业）</w:t>
      </w:r>
      <w:r>
        <w:rPr>
          <w:rFonts w:hint="eastAsia" w:asciiTheme="minorEastAsia" w:hAnsiTheme="minorEastAsia" w:eastAsiaTheme="minorEastAsia" w:cstheme="minorEastAsia"/>
          <w:color w:val="auto"/>
          <w:sz w:val="21"/>
          <w:szCs w:val="21"/>
          <w:highlight w:val="none"/>
          <w:lang w:val="en-US"/>
        </w:rPr>
        <w:t>；</w:t>
      </w:r>
    </w:p>
    <w:p>
      <w:pPr>
        <w:pStyle w:val="2"/>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    2.</w:t>
      </w:r>
      <w:r>
        <w:rPr>
          <w:rFonts w:hint="eastAsia" w:asciiTheme="minorEastAsia" w:hAnsiTheme="minorEastAsia" w:eastAsiaTheme="minorEastAsia" w:cstheme="minorEastAsia"/>
          <w:color w:val="auto"/>
          <w:sz w:val="21"/>
          <w:szCs w:val="21"/>
          <w:highlight w:val="none"/>
          <w:u w:val="single"/>
          <w:lang w:val="en-US"/>
        </w:rPr>
        <w:t>（标的名称）</w:t>
      </w:r>
      <w:r>
        <w:rPr>
          <w:rFonts w:hint="eastAsia" w:asciiTheme="minorEastAsia" w:hAnsiTheme="minorEastAsia" w:eastAsiaTheme="minorEastAsia" w:cstheme="minorEastAsia"/>
          <w:color w:val="auto"/>
          <w:sz w:val="21"/>
          <w:szCs w:val="21"/>
          <w:highlight w:val="none"/>
          <w:lang w:val="en-US"/>
        </w:rPr>
        <w:t>，属于</w:t>
      </w:r>
      <w:r>
        <w:rPr>
          <w:rFonts w:hint="eastAsia" w:asciiTheme="minorEastAsia" w:hAnsiTheme="minorEastAsia" w:eastAsiaTheme="minorEastAsia" w:cstheme="minorEastAsia"/>
          <w:color w:val="auto"/>
          <w:sz w:val="21"/>
          <w:szCs w:val="21"/>
          <w:highlight w:val="none"/>
          <w:u w:val="single"/>
          <w:lang w:val="en-US"/>
        </w:rPr>
        <w:t>（采购文件中明确的所属行业）行业</w:t>
      </w:r>
      <w:r>
        <w:rPr>
          <w:rFonts w:hint="eastAsia" w:asciiTheme="minorEastAsia" w:hAnsiTheme="minorEastAsia" w:eastAsiaTheme="minorEastAsia" w:cstheme="minorEastAsia"/>
          <w:color w:val="auto"/>
          <w:sz w:val="21"/>
          <w:szCs w:val="21"/>
          <w:highlight w:val="none"/>
          <w:lang w:val="en-US"/>
        </w:rPr>
        <w:t>；制造商为</w:t>
      </w:r>
      <w:r>
        <w:rPr>
          <w:rFonts w:hint="eastAsia" w:asciiTheme="minorEastAsia" w:hAnsiTheme="minorEastAsia" w:eastAsiaTheme="minorEastAsia" w:cstheme="minorEastAsia"/>
          <w:color w:val="auto"/>
          <w:sz w:val="21"/>
          <w:szCs w:val="21"/>
          <w:highlight w:val="none"/>
          <w:u w:val="single"/>
          <w:lang w:val="en-US"/>
        </w:rPr>
        <w:t>（企业名称）</w:t>
      </w:r>
      <w:r>
        <w:rPr>
          <w:rFonts w:hint="eastAsia" w:asciiTheme="minorEastAsia" w:hAnsiTheme="minorEastAsia" w:eastAsiaTheme="minorEastAsia" w:cstheme="minorEastAsia"/>
          <w:color w:val="auto"/>
          <w:sz w:val="21"/>
          <w:szCs w:val="21"/>
          <w:highlight w:val="none"/>
          <w:lang w:val="en-US"/>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lang w:val="en-US"/>
        </w:rPr>
        <w:t>（中型企业、小型企业、微型企业）</w:t>
      </w:r>
      <w:r>
        <w:rPr>
          <w:rFonts w:hint="eastAsia" w:asciiTheme="minorEastAsia" w:hAnsiTheme="minorEastAsia" w:eastAsiaTheme="minorEastAsia" w:cstheme="minorEastAsia"/>
          <w:color w:val="auto"/>
          <w:sz w:val="21"/>
          <w:szCs w:val="21"/>
          <w:highlight w:val="none"/>
          <w:lang w:val="en-US"/>
        </w:rPr>
        <w:t>；</w:t>
      </w:r>
    </w:p>
    <w:p>
      <w:pPr>
        <w:pStyle w:val="2"/>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w:t>
      </w:r>
    </w:p>
    <w:p>
      <w:pPr>
        <w:pStyle w:val="2"/>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以上企业，不属于大企业的分支机构，不存在控股股东为大企业的情形，也不存在与大企业的负责人为同一人的情形。</w:t>
      </w:r>
    </w:p>
    <w:p>
      <w:pPr>
        <w:pStyle w:val="2"/>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本企业对上诉声明内容的真实性负责。如有虚假，将依法承担相应责任。</w:t>
      </w:r>
    </w:p>
    <w:p>
      <w:pPr>
        <w:pStyle w:val="2"/>
        <w:wordWrap w:val="0"/>
        <w:spacing w:line="360" w:lineRule="auto"/>
        <w:ind w:left="0" w:firstLine="480"/>
        <w:jc w:val="right"/>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    </w:t>
      </w:r>
    </w:p>
    <w:p>
      <w:pPr>
        <w:pStyle w:val="2"/>
        <w:spacing w:line="360" w:lineRule="auto"/>
        <w:ind w:firstLine="4830" w:firstLineChars="2300"/>
        <w:jc w:val="both"/>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企业名称（盖章）：</w:t>
      </w:r>
    </w:p>
    <w:p>
      <w:pPr>
        <w:pStyle w:val="2"/>
        <w:spacing w:line="360" w:lineRule="auto"/>
        <w:ind w:left="0" w:firstLine="480"/>
        <w:jc w:val="center"/>
        <w:rPr>
          <w:color w:val="auto"/>
          <w:highlight w:val="none"/>
          <w:lang w:val="en-US"/>
        </w:rPr>
      </w:pPr>
      <w:r>
        <w:rPr>
          <w:rFonts w:hint="eastAsia" w:asciiTheme="minorEastAsia" w:hAnsiTheme="minorEastAsia" w:eastAsiaTheme="minorEastAsia" w:cstheme="minorEastAsia"/>
          <w:color w:val="auto"/>
          <w:sz w:val="21"/>
          <w:szCs w:val="21"/>
          <w:highlight w:val="none"/>
          <w:lang w:val="en-US"/>
        </w:rPr>
        <w:t xml:space="preserve">                 日期：</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jc w:val="center"/>
        <w:rPr>
          <w:rFonts w:ascii="黑体" w:eastAsia="黑体"/>
          <w:color w:val="auto"/>
          <w:sz w:val="28"/>
          <w:szCs w:val="28"/>
          <w:highlight w:val="none"/>
        </w:rPr>
      </w:pPr>
      <w:r>
        <w:rPr>
          <w:rFonts w:hint="eastAsia" w:ascii="黑体" w:eastAsia="黑体"/>
          <w:color w:val="auto"/>
          <w:sz w:val="28"/>
          <w:szCs w:val="28"/>
          <w:highlight w:val="none"/>
        </w:rPr>
        <w:t>中小企业声明函（工程、服务）</w:t>
      </w:r>
    </w:p>
    <w:p>
      <w:pPr>
        <w:spacing w:line="360" w:lineRule="auto"/>
        <w:ind w:firstLine="220" w:firstLineChars="100"/>
        <w:rPr>
          <w:rFonts w:asciiTheme="minorEastAsia" w:hAnsiTheme="minorEastAsia" w:eastAsiaTheme="minorEastAsia" w:cstheme="minorEastAsia"/>
          <w:color w:val="auto"/>
          <w:sz w:val="21"/>
          <w:szCs w:val="21"/>
          <w:highlight w:val="none"/>
        </w:rPr>
      </w:pPr>
      <w:r>
        <w:rPr>
          <w:rFonts w:hint="eastAsia" w:eastAsiaTheme="minorEastAsia"/>
          <w:color w:val="auto"/>
          <w:highlight w:val="none"/>
        </w:rPr>
        <w:t xml:space="preserve">     </w:t>
      </w:r>
      <w:r>
        <w:rPr>
          <w:rFonts w:hint="eastAsia" w:asciiTheme="minorEastAsia" w:hAnsiTheme="minorEastAsia" w:eastAsiaTheme="minorEastAsia" w:cstheme="minorEastAsia"/>
          <w:color w:val="auto"/>
          <w:sz w:val="21"/>
          <w:szCs w:val="21"/>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highlight w:val="none"/>
          <w:u w:val="single"/>
        </w:rPr>
        <w:t>（单位名称）</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u w:val="single"/>
        </w:rPr>
        <w:t>（项目名称）</w:t>
      </w:r>
      <w:r>
        <w:rPr>
          <w:rFonts w:hint="eastAsia" w:asciiTheme="minorEastAsia" w:hAnsiTheme="minorEastAsia" w:eastAsiaTheme="minorEastAsia" w:cstheme="minorEastAsia"/>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2"/>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    1.</w:t>
      </w:r>
      <w:r>
        <w:rPr>
          <w:rFonts w:hint="eastAsia" w:asciiTheme="minorEastAsia" w:hAnsiTheme="minorEastAsia" w:eastAsiaTheme="minorEastAsia" w:cstheme="minorEastAsia"/>
          <w:color w:val="auto"/>
          <w:sz w:val="21"/>
          <w:szCs w:val="21"/>
          <w:highlight w:val="none"/>
          <w:u w:val="single"/>
          <w:lang w:val="en-US"/>
        </w:rPr>
        <w:t>（标的名称）</w:t>
      </w:r>
      <w:r>
        <w:rPr>
          <w:rFonts w:hint="eastAsia" w:asciiTheme="minorEastAsia" w:hAnsiTheme="minorEastAsia" w:eastAsiaTheme="minorEastAsia" w:cstheme="minorEastAsia"/>
          <w:color w:val="auto"/>
          <w:sz w:val="21"/>
          <w:szCs w:val="21"/>
          <w:highlight w:val="none"/>
          <w:lang w:val="en-US"/>
        </w:rPr>
        <w:t>，属于</w:t>
      </w:r>
      <w:r>
        <w:rPr>
          <w:rFonts w:hint="eastAsia" w:asciiTheme="minorEastAsia" w:hAnsiTheme="minorEastAsia" w:eastAsiaTheme="minorEastAsia" w:cstheme="minorEastAsia"/>
          <w:color w:val="auto"/>
          <w:sz w:val="21"/>
          <w:szCs w:val="21"/>
          <w:highlight w:val="none"/>
          <w:u w:val="single"/>
          <w:lang w:val="en-US"/>
        </w:rPr>
        <w:t>（采购文件中明确的所属行业）行业</w:t>
      </w:r>
      <w:r>
        <w:rPr>
          <w:rFonts w:hint="eastAsia" w:asciiTheme="minorEastAsia" w:hAnsiTheme="minorEastAsia" w:eastAsiaTheme="minorEastAsia" w:cstheme="minorEastAsia"/>
          <w:color w:val="auto"/>
          <w:sz w:val="21"/>
          <w:szCs w:val="21"/>
          <w:highlight w:val="none"/>
          <w:lang w:val="en-US"/>
        </w:rPr>
        <w:t>；承建（承接）企业为</w:t>
      </w:r>
      <w:r>
        <w:rPr>
          <w:rFonts w:hint="eastAsia" w:asciiTheme="minorEastAsia" w:hAnsiTheme="minorEastAsia" w:eastAsiaTheme="minorEastAsia" w:cstheme="minorEastAsia"/>
          <w:color w:val="auto"/>
          <w:sz w:val="21"/>
          <w:szCs w:val="21"/>
          <w:highlight w:val="none"/>
          <w:u w:val="single"/>
          <w:lang w:val="en-US"/>
        </w:rPr>
        <w:t>（企业名称）</w:t>
      </w:r>
      <w:r>
        <w:rPr>
          <w:rFonts w:hint="eastAsia" w:asciiTheme="minorEastAsia" w:hAnsiTheme="minorEastAsia" w:eastAsiaTheme="minorEastAsia" w:cstheme="minorEastAsia"/>
          <w:color w:val="auto"/>
          <w:sz w:val="21"/>
          <w:szCs w:val="21"/>
          <w:highlight w:val="none"/>
          <w:lang w:val="en-US"/>
        </w:rPr>
        <w:t>，从业人员_______人，营业收入为_______万元，资产总额为______万元</w:t>
      </w:r>
      <w:r>
        <w:rPr>
          <w:rStyle w:val="25"/>
          <w:rFonts w:hint="eastAsia" w:asciiTheme="minorEastAsia" w:hAnsiTheme="minorEastAsia" w:eastAsiaTheme="minorEastAsia" w:cstheme="minorEastAsia"/>
          <w:color w:val="auto"/>
          <w:sz w:val="21"/>
          <w:szCs w:val="21"/>
          <w:highlight w:val="none"/>
          <w:lang w:val="en-US"/>
        </w:rPr>
        <w:footnoteReference w:id="1"/>
      </w:r>
      <w:r>
        <w:rPr>
          <w:rFonts w:hint="eastAsia" w:asciiTheme="minorEastAsia" w:hAnsiTheme="minorEastAsia" w:eastAsiaTheme="minorEastAsia" w:cstheme="minorEastAsia"/>
          <w:color w:val="auto"/>
          <w:sz w:val="21"/>
          <w:szCs w:val="21"/>
          <w:highlight w:val="none"/>
          <w:lang w:val="en-US"/>
        </w:rPr>
        <w:t>，属于</w:t>
      </w:r>
      <w:r>
        <w:rPr>
          <w:rFonts w:hint="eastAsia" w:asciiTheme="minorEastAsia" w:hAnsiTheme="minorEastAsia" w:eastAsiaTheme="minorEastAsia" w:cstheme="minorEastAsia"/>
          <w:color w:val="auto"/>
          <w:sz w:val="21"/>
          <w:szCs w:val="21"/>
          <w:highlight w:val="none"/>
          <w:u w:val="single"/>
          <w:lang w:val="en-US"/>
        </w:rPr>
        <w:t>（中型企业、小型企业、微型企业）</w:t>
      </w:r>
      <w:r>
        <w:rPr>
          <w:rFonts w:hint="eastAsia" w:asciiTheme="minorEastAsia" w:hAnsiTheme="minorEastAsia" w:eastAsiaTheme="minorEastAsia" w:cstheme="minorEastAsia"/>
          <w:color w:val="auto"/>
          <w:sz w:val="21"/>
          <w:szCs w:val="21"/>
          <w:highlight w:val="none"/>
          <w:lang w:val="en-US"/>
        </w:rPr>
        <w:t>；</w:t>
      </w:r>
    </w:p>
    <w:p>
      <w:pPr>
        <w:pStyle w:val="2"/>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    2.</w:t>
      </w:r>
      <w:r>
        <w:rPr>
          <w:rFonts w:hint="eastAsia" w:asciiTheme="minorEastAsia" w:hAnsiTheme="minorEastAsia" w:eastAsiaTheme="minorEastAsia" w:cstheme="minorEastAsia"/>
          <w:color w:val="auto"/>
          <w:sz w:val="21"/>
          <w:szCs w:val="21"/>
          <w:highlight w:val="none"/>
          <w:u w:val="single"/>
          <w:lang w:val="en-US"/>
        </w:rPr>
        <w:t>（标的名称）</w:t>
      </w:r>
      <w:r>
        <w:rPr>
          <w:rFonts w:hint="eastAsia" w:asciiTheme="minorEastAsia" w:hAnsiTheme="minorEastAsia" w:eastAsiaTheme="minorEastAsia" w:cstheme="minorEastAsia"/>
          <w:color w:val="auto"/>
          <w:sz w:val="21"/>
          <w:szCs w:val="21"/>
          <w:highlight w:val="none"/>
          <w:lang w:val="en-US"/>
        </w:rPr>
        <w:t>，属于</w:t>
      </w:r>
      <w:r>
        <w:rPr>
          <w:rFonts w:hint="eastAsia" w:asciiTheme="minorEastAsia" w:hAnsiTheme="minorEastAsia" w:eastAsiaTheme="minorEastAsia" w:cstheme="minorEastAsia"/>
          <w:color w:val="auto"/>
          <w:sz w:val="21"/>
          <w:szCs w:val="21"/>
          <w:highlight w:val="none"/>
          <w:u w:val="single"/>
          <w:lang w:val="en-US"/>
        </w:rPr>
        <w:t>（采购文件中明确的所属行业）行业</w:t>
      </w:r>
      <w:r>
        <w:rPr>
          <w:rFonts w:hint="eastAsia" w:asciiTheme="minorEastAsia" w:hAnsiTheme="minorEastAsia" w:eastAsiaTheme="minorEastAsia" w:cstheme="minorEastAsia"/>
          <w:color w:val="auto"/>
          <w:sz w:val="21"/>
          <w:szCs w:val="21"/>
          <w:highlight w:val="none"/>
          <w:lang w:val="en-US"/>
        </w:rPr>
        <w:t>；承建（承接）企业为</w:t>
      </w:r>
      <w:r>
        <w:rPr>
          <w:rFonts w:hint="eastAsia" w:asciiTheme="minorEastAsia" w:hAnsiTheme="minorEastAsia" w:eastAsiaTheme="minorEastAsia" w:cstheme="minorEastAsia"/>
          <w:color w:val="auto"/>
          <w:sz w:val="21"/>
          <w:szCs w:val="21"/>
          <w:highlight w:val="none"/>
          <w:u w:val="single"/>
          <w:lang w:val="en-US"/>
        </w:rPr>
        <w:t>（企业名称）</w:t>
      </w:r>
      <w:r>
        <w:rPr>
          <w:rFonts w:hint="eastAsia" w:asciiTheme="minorEastAsia" w:hAnsiTheme="minorEastAsia" w:eastAsiaTheme="minorEastAsia" w:cstheme="minorEastAsia"/>
          <w:color w:val="auto"/>
          <w:sz w:val="21"/>
          <w:szCs w:val="21"/>
          <w:highlight w:val="none"/>
          <w:lang w:val="en-US"/>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lang w:val="en-US"/>
        </w:rPr>
        <w:t>（中型企业、小型企业、微型企业）</w:t>
      </w:r>
      <w:r>
        <w:rPr>
          <w:rFonts w:hint="eastAsia" w:asciiTheme="minorEastAsia" w:hAnsiTheme="minorEastAsia" w:eastAsiaTheme="minorEastAsia" w:cstheme="minorEastAsia"/>
          <w:color w:val="auto"/>
          <w:sz w:val="21"/>
          <w:szCs w:val="21"/>
          <w:highlight w:val="none"/>
          <w:lang w:val="en-US"/>
        </w:rPr>
        <w:t>；</w:t>
      </w:r>
    </w:p>
    <w:p>
      <w:pPr>
        <w:pStyle w:val="2"/>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w:t>
      </w:r>
    </w:p>
    <w:p>
      <w:pPr>
        <w:pStyle w:val="2"/>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以上企业，不属于大企业的分支机构，不存在控股股东为大企业的情形，也不存在与大企业的负责人为同一人的情形。</w:t>
      </w:r>
    </w:p>
    <w:p>
      <w:pPr>
        <w:pStyle w:val="2"/>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本企业对上诉声明内容的真实性负责。如有虚假，将依法承担相应责任。</w:t>
      </w:r>
    </w:p>
    <w:p>
      <w:pPr>
        <w:pStyle w:val="2"/>
        <w:spacing w:line="360" w:lineRule="auto"/>
        <w:ind w:left="0" w:firstLine="48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    </w:t>
      </w:r>
    </w:p>
    <w:p>
      <w:pPr>
        <w:pStyle w:val="2"/>
        <w:spacing w:line="360" w:lineRule="auto"/>
        <w:ind w:firstLine="4830" w:firstLineChars="2300"/>
        <w:jc w:val="both"/>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企业名称（盖章）：</w:t>
      </w:r>
    </w:p>
    <w:p>
      <w:pPr>
        <w:pStyle w:val="2"/>
        <w:spacing w:line="360" w:lineRule="auto"/>
        <w:ind w:left="0" w:firstLine="480"/>
        <w:jc w:val="center"/>
        <w:rPr>
          <w:color w:val="auto"/>
          <w:highlight w:val="none"/>
          <w:lang w:val="en-US"/>
        </w:rPr>
      </w:pPr>
      <w:r>
        <w:rPr>
          <w:rFonts w:hint="eastAsia" w:asciiTheme="minorEastAsia" w:hAnsiTheme="minorEastAsia" w:eastAsiaTheme="minorEastAsia" w:cstheme="minorEastAsia"/>
          <w:color w:val="auto"/>
          <w:sz w:val="21"/>
          <w:szCs w:val="21"/>
          <w:highlight w:val="none"/>
          <w:lang w:val="en-US"/>
        </w:rPr>
        <w:t xml:space="preserve">                 日期：</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投标人应根据《政府采购促进中小企业发展管理办法》的通知（财库〔2020〕46号）的有关规定如实填写此表。（监狱企业视同小型、微型企业，监狱企业参加政府采购活动时，应当提供由省级以上监狱管理局、戒毒管理局(含新疆生产建设兵团)出具的属于监狱企业的证明文件）</w:t>
      </w:r>
    </w:p>
    <w:p>
      <w:pPr>
        <w:spacing w:after="0" w:line="480" w:lineRule="auto"/>
        <w:ind w:firstLine="422" w:firstLineChars="200"/>
        <w:rPr>
          <w:rFonts w:ascii="楷体_GB2312" w:eastAsia="楷体_GB2312"/>
          <w:b/>
          <w:bCs/>
          <w:color w:val="auto"/>
          <w:sz w:val="24"/>
          <w:highlight w:val="none"/>
        </w:rPr>
      </w:pPr>
      <w:r>
        <w:rPr>
          <w:rFonts w:hint="eastAsia" w:ascii="宋体" w:hAnsi="宋体" w:eastAsia="宋体"/>
          <w:b/>
          <w:bCs/>
          <w:color w:val="auto"/>
          <w:sz w:val="21"/>
          <w:szCs w:val="21"/>
          <w:highlight w:val="none"/>
        </w:rPr>
        <w:t>2、若投标人属于《政府采购促进中小企业发展管理办法》的通知（财库〔2020〕46号）的规定中享受中小企业扶持政策的情况，应在《中小企业声明函》中完整如实列出项目标的具体情况。若发现因提供虚假材料或者提供材料不齐全导致的一切后果由投标人自行承担责任。（如不属于上述情况，则无需提供此表）</w:t>
      </w:r>
    </w:p>
    <w:p>
      <w:pPr>
        <w:spacing w:after="0" w:line="480" w:lineRule="auto"/>
        <w:ind w:firstLine="422" w:firstLineChars="20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3、依据规定享受扶持政策获得政府采购合同的，小微企业不得将合同分包给大中型企业，中型企业不得将合同分包给大型企业。</w:t>
      </w:r>
    </w:p>
    <w:p>
      <w:pPr>
        <w:rPr>
          <w:rFonts w:ascii="楷体_GB2312" w:eastAsia="楷体_GB2312"/>
          <w:color w:val="auto"/>
          <w:sz w:val="24"/>
          <w:highlight w:val="none"/>
        </w:rPr>
      </w:pP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6"/>
        <w:widowControl w:val="0"/>
        <w:overflowPunct w:val="0"/>
        <w:spacing w:before="0" w:after="0" w:line="240" w:lineRule="auto"/>
        <w:rPr>
          <w:rFonts w:ascii="楷体_GB2312" w:eastAsia="楷体_GB2312"/>
          <w:color w:val="auto"/>
          <w:sz w:val="24"/>
          <w:highlight w:val="none"/>
        </w:rPr>
      </w:pPr>
      <w:bookmarkStart w:id="158" w:name="_Toc28081"/>
      <w:r>
        <w:rPr>
          <w:rFonts w:hint="eastAsia" w:ascii="宋体" w:hAnsi="宋体" w:eastAsia="宋体"/>
          <w:color w:val="auto"/>
          <w:sz w:val="21"/>
          <w:szCs w:val="21"/>
          <w:highlight w:val="none"/>
        </w:rPr>
        <w:t>附件19.《残疾人福利性单位声明函》（残疾人福利性单位适用）</w:t>
      </w:r>
      <w:bookmarkEnd w:id="158"/>
    </w:p>
    <w:p>
      <w:pPr>
        <w:jc w:val="cente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残疾人福利性单位声明函</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本单位对上述声明的真实性负责。如有虚假，将依法承担相应责任。</w:t>
      </w:r>
    </w:p>
    <w:p>
      <w:pPr>
        <w:spacing w:after="0" w:line="480" w:lineRule="auto"/>
        <w:jc w:val="right"/>
        <w:rPr>
          <w:rFonts w:ascii="宋体" w:hAnsi="宋体" w:eastAsia="宋体"/>
          <w:color w:val="auto"/>
          <w:sz w:val="21"/>
          <w:szCs w:val="21"/>
          <w:highlight w:val="none"/>
        </w:rPr>
      </w:pPr>
    </w:p>
    <w:p>
      <w:pPr>
        <w:spacing w:after="0" w:line="480" w:lineRule="auto"/>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单位名称（盖章）：</w:t>
      </w:r>
      <w:bookmarkStart w:id="159" w:name="_Toc509479530"/>
      <w:bookmarkStart w:id="160" w:name="_Toc20910"/>
      <w:bookmarkStart w:id="161" w:name="_Toc509927455"/>
      <w:bookmarkStart w:id="162" w:name="_Toc22970"/>
      <w:bookmarkStart w:id="163" w:name="_Toc17761"/>
      <w:bookmarkStart w:id="164" w:name="_Toc508898066"/>
      <w:bookmarkStart w:id="165" w:name="_Toc30247"/>
      <w:bookmarkStart w:id="166" w:name="_Toc508960153"/>
      <w:bookmarkStart w:id="167" w:name="_Toc508958703"/>
      <w:bookmarkStart w:id="168" w:name="_Toc509844825"/>
      <w:bookmarkStart w:id="169" w:name="_Toc30277"/>
      <w:bookmarkStart w:id="170" w:name="_Toc510171693"/>
    </w:p>
    <w:p>
      <w:pPr>
        <w:spacing w:after="0" w:line="480" w:lineRule="auto"/>
        <w:jc w:val="right"/>
        <w:rPr>
          <w:rFonts w:ascii="宋体" w:hAnsi="宋体" w:eastAsia="宋体"/>
          <w:color w:val="auto"/>
          <w:sz w:val="21"/>
          <w:szCs w:val="21"/>
          <w:highlight w:val="none"/>
        </w:rPr>
      </w:pPr>
    </w:p>
    <w:p>
      <w:pPr>
        <w:spacing w:after="0" w:line="480" w:lineRule="auto"/>
        <w:jc w:val="right"/>
        <w:rPr>
          <w:rFonts w:ascii="宋体" w:hAnsi="宋体" w:eastAsia="宋体"/>
          <w:color w:val="auto"/>
          <w:sz w:val="21"/>
          <w:szCs w:val="21"/>
          <w:highlight w:val="none"/>
        </w:rPr>
      </w:pPr>
      <w:r>
        <w:rPr>
          <w:rFonts w:hint="eastAsia" w:ascii="宋体" w:hAnsi="宋体" w:eastAsia="宋体"/>
          <w:color w:val="auto"/>
          <w:sz w:val="21"/>
          <w:szCs w:val="21"/>
          <w:highlight w:val="none"/>
        </w:rPr>
        <w:t>日  期：</w:t>
      </w:r>
      <w:bookmarkEnd w:id="159"/>
      <w:bookmarkEnd w:id="160"/>
      <w:bookmarkEnd w:id="161"/>
      <w:bookmarkEnd w:id="162"/>
      <w:bookmarkEnd w:id="163"/>
      <w:bookmarkEnd w:id="164"/>
      <w:bookmarkEnd w:id="165"/>
      <w:bookmarkEnd w:id="166"/>
      <w:bookmarkEnd w:id="167"/>
      <w:bookmarkEnd w:id="168"/>
      <w:bookmarkEnd w:id="169"/>
      <w:bookmarkEnd w:id="170"/>
    </w:p>
    <w:p>
      <w:pPr>
        <w:pStyle w:val="2"/>
        <w:rPr>
          <w:color w:val="auto"/>
          <w:highlight w:val="none"/>
        </w:rPr>
      </w:pPr>
    </w:p>
    <w:p>
      <w:pPr>
        <w:spacing w:after="0" w:line="480" w:lineRule="auto"/>
        <w:ind w:firstLine="420" w:firstLineChars="200"/>
        <w:rPr>
          <w:rFonts w:ascii="宋体" w:hAnsi="宋体" w:eastAsia="宋体"/>
          <w:color w:val="auto"/>
          <w:sz w:val="21"/>
          <w:szCs w:val="21"/>
          <w:highlight w:val="none"/>
        </w:rPr>
      </w:pPr>
      <w:bookmarkStart w:id="171" w:name="_Toc509844826"/>
      <w:bookmarkStart w:id="172" w:name="_Toc5447"/>
      <w:bookmarkStart w:id="173" w:name="_Toc510171694"/>
      <w:bookmarkStart w:id="174" w:name="_Toc31520"/>
      <w:bookmarkStart w:id="175" w:name="_Toc26216"/>
      <w:bookmarkStart w:id="176" w:name="_Toc508958704"/>
      <w:bookmarkStart w:id="177" w:name="_Toc21053"/>
      <w:bookmarkStart w:id="178" w:name="_Toc509479531"/>
      <w:bookmarkStart w:id="179" w:name="_Toc28527"/>
      <w:bookmarkStart w:id="180" w:name="_Toc508960154"/>
      <w:bookmarkStart w:id="181" w:name="_Toc509927456"/>
      <w:bookmarkStart w:id="182" w:name="_Toc508898067"/>
      <w:r>
        <w:rPr>
          <w:rFonts w:hint="eastAsia" w:ascii="宋体" w:hAnsi="宋体" w:eastAsia="宋体"/>
          <w:color w:val="auto"/>
          <w:sz w:val="21"/>
          <w:szCs w:val="21"/>
          <w:highlight w:val="none"/>
        </w:rPr>
        <w:t>注：（1）符合《财政部 民政部 中国残疾人联合会关于促进残疾人就业政府采购政策的通知》（财库〔2017〕 141号）规定条件的残疾人福利性单位应当提供《残疾人福利性单位声明函》。</w:t>
      </w:r>
      <w:bookmarkEnd w:id="171"/>
      <w:bookmarkEnd w:id="172"/>
      <w:bookmarkEnd w:id="173"/>
      <w:bookmarkEnd w:id="174"/>
      <w:bookmarkEnd w:id="175"/>
      <w:bookmarkEnd w:id="176"/>
      <w:bookmarkEnd w:id="177"/>
      <w:bookmarkEnd w:id="178"/>
      <w:bookmarkEnd w:id="179"/>
      <w:bookmarkEnd w:id="180"/>
      <w:bookmarkEnd w:id="181"/>
      <w:bookmarkEnd w:id="182"/>
    </w:p>
    <w:p>
      <w:pPr>
        <w:spacing w:after="0" w:line="480" w:lineRule="auto"/>
        <w:ind w:firstLine="420" w:firstLineChars="200"/>
        <w:rPr>
          <w:rFonts w:ascii="宋体" w:hAnsi="宋体" w:eastAsia="宋体"/>
          <w:color w:val="auto"/>
          <w:sz w:val="21"/>
          <w:szCs w:val="21"/>
          <w:highlight w:val="none"/>
        </w:rPr>
      </w:pPr>
      <w:bookmarkStart w:id="183" w:name="_Toc510171695"/>
      <w:bookmarkStart w:id="184" w:name="_Toc508958705"/>
      <w:bookmarkStart w:id="185" w:name="_Toc509479532"/>
      <w:bookmarkStart w:id="186" w:name="_Toc509844827"/>
      <w:bookmarkStart w:id="187" w:name="_Toc24848"/>
      <w:bookmarkStart w:id="188" w:name="_Toc509927457"/>
      <w:bookmarkStart w:id="189" w:name="_Toc28626"/>
      <w:bookmarkStart w:id="190" w:name="_Toc14653"/>
      <w:bookmarkStart w:id="191" w:name="_Toc508960155"/>
      <w:bookmarkStart w:id="192" w:name="_Toc28126"/>
      <w:bookmarkStart w:id="193" w:name="_Toc9148"/>
      <w:bookmarkStart w:id="194" w:name="_Toc508898068"/>
      <w:r>
        <w:rPr>
          <w:rFonts w:hint="eastAsia" w:ascii="宋体" w:hAnsi="宋体" w:eastAsia="宋体"/>
          <w:color w:val="auto"/>
          <w:sz w:val="21"/>
          <w:szCs w:val="21"/>
          <w:highlight w:val="none"/>
        </w:rPr>
        <w:t>（2）中标人为残疾人福利性单位的，采购代理机构将随中标结果同时公告其《残疾人福利性单位声明函》，接受社会监督。</w:t>
      </w:r>
      <w:bookmarkEnd w:id="183"/>
      <w:bookmarkEnd w:id="184"/>
      <w:bookmarkEnd w:id="185"/>
      <w:bookmarkEnd w:id="186"/>
      <w:bookmarkEnd w:id="187"/>
      <w:bookmarkEnd w:id="188"/>
      <w:bookmarkEnd w:id="189"/>
      <w:bookmarkEnd w:id="190"/>
      <w:bookmarkEnd w:id="191"/>
      <w:bookmarkEnd w:id="192"/>
      <w:bookmarkEnd w:id="193"/>
      <w:bookmarkEnd w:id="194"/>
    </w:p>
    <w:p>
      <w:pPr>
        <w:spacing w:after="0" w:line="480" w:lineRule="auto"/>
        <w:ind w:firstLine="420" w:firstLineChars="200"/>
        <w:rPr>
          <w:rFonts w:ascii="宋体" w:hAnsi="宋体" w:eastAsia="宋体"/>
          <w:color w:val="auto"/>
          <w:sz w:val="21"/>
          <w:szCs w:val="21"/>
          <w:highlight w:val="none"/>
        </w:rPr>
      </w:pPr>
      <w:bookmarkStart w:id="195" w:name="_Toc510171696"/>
      <w:bookmarkStart w:id="196" w:name="_Toc7858"/>
      <w:bookmarkStart w:id="197" w:name="_Toc22981"/>
      <w:bookmarkStart w:id="198" w:name="_Toc508958706"/>
      <w:bookmarkStart w:id="199" w:name="_Toc509479533"/>
      <w:bookmarkStart w:id="200" w:name="_Toc9837"/>
      <w:bookmarkStart w:id="201" w:name="_Toc508898069"/>
      <w:bookmarkStart w:id="202" w:name="_Toc509927458"/>
      <w:bookmarkStart w:id="203" w:name="_Toc28686"/>
      <w:bookmarkStart w:id="204" w:name="_Toc508960156"/>
      <w:bookmarkStart w:id="205" w:name="_Toc28044"/>
      <w:bookmarkStart w:id="206" w:name="_Toc509844828"/>
      <w:r>
        <w:rPr>
          <w:rFonts w:hint="eastAsia" w:ascii="宋体" w:hAnsi="宋体" w:eastAsia="宋体"/>
          <w:color w:val="auto"/>
          <w:sz w:val="21"/>
          <w:szCs w:val="21"/>
          <w:highlight w:val="none"/>
        </w:rPr>
        <w:t>（3）投标人提供的《残疾人福利性单位声明函》与事实不符的，依照《政府采购法》第七十七条第一款的规定追究法律责任。</w:t>
      </w:r>
      <w:bookmarkEnd w:id="195"/>
      <w:bookmarkEnd w:id="196"/>
      <w:bookmarkEnd w:id="197"/>
      <w:bookmarkEnd w:id="198"/>
      <w:bookmarkEnd w:id="199"/>
      <w:bookmarkEnd w:id="200"/>
      <w:bookmarkEnd w:id="201"/>
      <w:bookmarkEnd w:id="202"/>
      <w:bookmarkEnd w:id="203"/>
      <w:bookmarkEnd w:id="204"/>
      <w:bookmarkEnd w:id="205"/>
      <w:bookmarkEnd w:id="206"/>
    </w:p>
    <w:p>
      <w:pPr>
        <w:spacing w:after="0" w:line="480" w:lineRule="auto"/>
        <w:ind w:firstLine="420" w:firstLineChars="200"/>
        <w:rPr>
          <w:rFonts w:ascii="宋体" w:hAnsi="宋体" w:eastAsia="宋体"/>
          <w:color w:val="auto"/>
          <w:sz w:val="21"/>
          <w:szCs w:val="21"/>
          <w:highlight w:val="none"/>
        </w:rPr>
      </w:pPr>
      <w:bookmarkStart w:id="207" w:name="_Toc509844829"/>
      <w:bookmarkStart w:id="208" w:name="_Toc508960157"/>
      <w:bookmarkStart w:id="209" w:name="_Toc508958707"/>
      <w:bookmarkStart w:id="210" w:name="_Toc509927459"/>
      <w:bookmarkStart w:id="211" w:name="_Toc508898070"/>
      <w:bookmarkStart w:id="212" w:name="_Toc509479534"/>
      <w:bookmarkStart w:id="213" w:name="_Toc510171697"/>
      <w:bookmarkStart w:id="214" w:name="_Toc5289"/>
      <w:bookmarkStart w:id="215" w:name="_Toc18843"/>
      <w:r>
        <w:rPr>
          <w:rFonts w:hint="eastAsia" w:ascii="宋体" w:hAnsi="宋体" w:eastAsia="宋体"/>
          <w:color w:val="auto"/>
          <w:sz w:val="21"/>
          <w:szCs w:val="21"/>
          <w:highlight w:val="none"/>
        </w:rPr>
        <w:t>（4）残疾人福利性单位视同小型、微型企业，享受评审中价格扣除。残疾人福利性单位属于小型、微型企业的，不重复享受政策。</w:t>
      </w:r>
      <w:bookmarkEnd w:id="207"/>
      <w:bookmarkEnd w:id="208"/>
      <w:bookmarkEnd w:id="209"/>
      <w:bookmarkEnd w:id="210"/>
      <w:bookmarkEnd w:id="211"/>
      <w:bookmarkEnd w:id="212"/>
      <w:bookmarkEnd w:id="213"/>
      <w:bookmarkEnd w:id="214"/>
      <w:bookmarkEnd w:id="215"/>
    </w:p>
    <w:p>
      <w:pPr>
        <w:spacing w:after="0" w:line="480" w:lineRule="auto"/>
        <w:ind w:firstLine="422" w:firstLineChars="20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（5）若投标人不属于规定的残疾人福利性单位，或提供的产品不是残疾人福利单位制造的，则无需提供此表。</w:t>
      </w:r>
    </w:p>
    <w:p>
      <w:pPr>
        <w:adjustRightInd/>
        <w:snapToGrid/>
        <w:spacing w:line="276"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br w:type="page"/>
      </w:r>
    </w:p>
    <w:p>
      <w:pPr>
        <w:pStyle w:val="6"/>
        <w:widowControl w:val="0"/>
        <w:overflowPunct w:val="0"/>
        <w:spacing w:before="0" w:after="0" w:line="240" w:lineRule="auto"/>
        <w:rPr>
          <w:color w:val="auto"/>
          <w:highlight w:val="none"/>
        </w:rPr>
      </w:pPr>
      <w:bookmarkStart w:id="216" w:name="_Toc25634"/>
      <w:r>
        <w:rPr>
          <w:rFonts w:hint="eastAsia" w:ascii="宋体" w:hAnsi="宋体" w:eastAsia="宋体"/>
          <w:color w:val="auto"/>
          <w:sz w:val="21"/>
          <w:szCs w:val="21"/>
          <w:highlight w:val="none"/>
        </w:rPr>
        <w:t>附件20. 投标保证金汇入情况说明格式</w:t>
      </w:r>
      <w:bookmarkEnd w:id="216"/>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投标保证金汇入情况说明</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致：广东政通招标有限公司：</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本单位已按项目包（采购项目编号：）的招标文件要求，于年月日前以</w:t>
      </w:r>
      <w:r>
        <w:rPr>
          <w:rFonts w:hint="eastAsia" w:ascii="宋体" w:hAnsi="宋体" w:eastAsia="宋体"/>
          <w:color w:val="auto"/>
          <w:sz w:val="21"/>
          <w:szCs w:val="21"/>
          <w:highlight w:val="none"/>
          <w:u w:val="single"/>
        </w:rPr>
        <w:t xml:space="preserve">           （付款形式）</w:t>
      </w:r>
      <w:r>
        <w:rPr>
          <w:rFonts w:hint="eastAsia" w:ascii="宋体" w:hAnsi="宋体" w:eastAsia="宋体"/>
          <w:color w:val="auto"/>
          <w:sz w:val="21"/>
          <w:szCs w:val="21"/>
          <w:highlight w:val="none"/>
        </w:rPr>
        <w:t>方式汇入指定帐户（帐户名称：，帐号： ,开户银行：）。</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本单位投标保证金的汇款情况：（详见附件－投标保证金进帐单）</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汇出时间：年月日；</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汇款金额：（大写）人民币元（小写：￥元），</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汇款帐户名称：</w:t>
      </w:r>
      <w:r>
        <w:rPr>
          <w:rFonts w:hint="eastAsia" w:ascii="宋体" w:hAnsi="宋体" w:eastAsia="宋体"/>
          <w:color w:val="auto"/>
          <w:sz w:val="21"/>
          <w:szCs w:val="21"/>
          <w:highlight w:val="none"/>
          <w:u w:val="single"/>
        </w:rPr>
        <w:t xml:space="preserve">  （必须是投标时使用的帐户名）   </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帐        号：</w:t>
      </w:r>
      <w:r>
        <w:rPr>
          <w:rFonts w:hint="eastAsia" w:ascii="宋体" w:hAnsi="宋体" w:eastAsia="宋体"/>
          <w:color w:val="auto"/>
          <w:sz w:val="21"/>
          <w:szCs w:val="21"/>
          <w:highlight w:val="none"/>
          <w:u w:val="single"/>
        </w:rPr>
        <w:t xml:space="preserve">  （必须是投标时使用的帐号）     </w:t>
      </w:r>
    </w:p>
    <w:p>
      <w:pPr>
        <w:spacing w:after="0" w:line="480" w:lineRule="auto"/>
        <w:ind w:firstLine="420" w:firstLineChars="200"/>
        <w:rPr>
          <w:rFonts w:ascii="宋体" w:hAnsi="宋体" w:eastAsia="宋体"/>
          <w:color w:val="auto"/>
          <w:sz w:val="21"/>
          <w:szCs w:val="21"/>
          <w:highlight w:val="none"/>
          <w:u w:val="single"/>
        </w:rPr>
      </w:pPr>
      <w:r>
        <w:rPr>
          <w:rFonts w:hint="eastAsia" w:ascii="宋体" w:hAnsi="宋体" w:eastAsia="宋体"/>
          <w:color w:val="auto"/>
          <w:sz w:val="21"/>
          <w:szCs w:val="21"/>
          <w:highlight w:val="none"/>
        </w:rPr>
        <w:t>开 户  银 行：</w:t>
      </w:r>
      <w:r>
        <w:rPr>
          <w:rFonts w:hint="eastAsia" w:ascii="宋体" w:hAnsi="宋体" w:eastAsia="宋体"/>
          <w:color w:val="auto"/>
          <w:sz w:val="21"/>
          <w:szCs w:val="21"/>
          <w:highlight w:val="none"/>
          <w:u w:val="single"/>
        </w:rPr>
        <w:t xml:space="preserve">  （      银行   分行  支行    ）</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本单位谨承诺上述资料是正确、真实的，如因上述证明与事实不符导致的一切损失，本单位保证承担赔偿等一切法律责任。</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投标保证金退回时，请按上述资料退回。</w:t>
      </w:r>
    </w:p>
    <w:p>
      <w:pPr>
        <w:spacing w:after="0" w:line="480" w:lineRule="auto"/>
        <w:ind w:right="884" w:rightChars="402"/>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（单位公章）</w:t>
      </w:r>
    </w:p>
    <w:p>
      <w:pPr>
        <w:spacing w:after="0" w:line="480" w:lineRule="auto"/>
        <w:ind w:right="658" w:rightChars="299"/>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年 月 日</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单位名称：</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单位地址：</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联系人：</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单位电话： </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联系人手机：</w:t>
      </w:r>
    </w:p>
    <w:p>
      <w:pPr>
        <w:spacing w:after="0"/>
        <w:rPr>
          <w:rFonts w:ascii="宋体" w:hAnsi="宋体" w:eastAsia="宋体"/>
          <w:color w:val="auto"/>
          <w:sz w:val="21"/>
          <w:szCs w:val="21"/>
          <w:highlight w:val="none"/>
        </w:rPr>
      </w:pPr>
    </w:p>
    <w:p>
      <w:pPr>
        <w:spacing w:after="0"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spacing w:after="0"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附：我方投标保证金汇款凭证</w:t>
      </w:r>
    </w:p>
    <w:tbl>
      <w:tblPr>
        <w:tblStyle w:val="19"/>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pPr>
              <w:tabs>
                <w:tab w:val="left" w:pos="3885"/>
              </w:tabs>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（粘贴汇款单或转账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复印件，并在骑缝上加盖投标人公章，或是直接把转账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复印到此张纸上）</w:t>
            </w:r>
          </w:p>
        </w:tc>
      </w:tr>
    </w:tbl>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注：此表既要装订在投标文件中，又要按投标人须知的规定与开标一览表、投标保证金汇款底单复印件及授权委托书一同密封装入开标文件，开标文件单独提交。</w:t>
      </w:r>
    </w:p>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6"/>
        <w:widowControl w:val="0"/>
        <w:overflowPunct w:val="0"/>
        <w:spacing w:before="0" w:after="0" w:line="240" w:lineRule="auto"/>
        <w:rPr>
          <w:rFonts w:ascii="宋体" w:hAnsi="宋体" w:eastAsia="宋体"/>
          <w:color w:val="auto"/>
          <w:sz w:val="21"/>
          <w:szCs w:val="21"/>
          <w:highlight w:val="none"/>
        </w:rPr>
      </w:pPr>
      <w:bookmarkStart w:id="217" w:name="_Toc4363"/>
      <w:r>
        <w:rPr>
          <w:rFonts w:hint="eastAsia" w:ascii="宋体" w:hAnsi="宋体" w:eastAsia="宋体"/>
          <w:color w:val="auto"/>
          <w:sz w:val="21"/>
          <w:szCs w:val="21"/>
          <w:highlight w:val="none"/>
        </w:rPr>
        <w:t>附件21.政府采购投标担保函</w:t>
      </w:r>
      <w:bookmarkEnd w:id="217"/>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政府采购投标担保函</w:t>
      </w:r>
    </w:p>
    <w:p>
      <w:pPr>
        <w:wordWrap w:val="0"/>
        <w:jc w:val="right"/>
        <w:rPr>
          <w:rFonts w:ascii="仿宋_GB2312" w:eastAsia="仿宋_GB2312"/>
          <w:color w:val="auto"/>
          <w:sz w:val="32"/>
          <w:szCs w:val="32"/>
          <w:highlight w:val="none"/>
        </w:rPr>
      </w:pPr>
      <w:r>
        <w:rPr>
          <w:rFonts w:hint="eastAsia" w:ascii="黑体" w:eastAsia="黑体"/>
          <w:color w:val="auto"/>
          <w:sz w:val="28"/>
          <w:szCs w:val="28"/>
          <w:highlight w:val="none"/>
        </w:rPr>
        <w:t xml:space="preserve"> 编号：</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（采购人或采购代理机构）：</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鉴于（以下简称“投标人”）拟参加编号为</w:t>
      </w:r>
      <w:r>
        <w:rPr>
          <w:rFonts w:hint="eastAsia" w:ascii="宋体" w:hAnsi="宋体" w:eastAsia="宋体" w:cs="宋体"/>
          <w:color w:val="auto"/>
          <w:sz w:val="21"/>
          <w:szCs w:val="21"/>
          <w:highlight w:val="none"/>
          <w:u w:val="single"/>
        </w:rPr>
        <w:t xml:space="preserve">            的</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spacing w:after="0" w:line="48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（一）在投标人出现下列情形之一时，我方承担保证责任：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1．中标后投标人无正当理由不与采购人或者采购代理机构签订《政府采购合同》；</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2．招标文件规定的投标人应当缴纳保证金的其他情形。</w:t>
      </w:r>
    </w:p>
    <w:p>
      <w:pPr>
        <w:spacing w:after="0" w:line="48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（二）我方承担保证责任的最高金额为人民币元（大写），即本项目的投标保证金金额。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我方的保证期间为：自本保函生效之日起个月止。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2．我方在收到索赔通知及相关证明材料后，在</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个工作日内进行审查，符合应承担保证责任情形的，我方应按照你方的要求代投标人向你方支付投标保证金。</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2．我方按照本保函向你贵方履行了保证责任后，自我方向你贵方支付款项（支付款项从我方账户划出）之日起，保证责任终止。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3．按照法律法规的规定或出现我方保证责任终止的其它情形的，我方在本保函项下的保证责任亦终止。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1．依照法律规定或你方与投标人的另行约定，全部或者部分免除投标人投标保证金义务时，我方亦免除相应的保证责任。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2．因你方原因致使投标人发生本保函第一条第（一）款约定情形的，我方不承担保证责任。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3．因不可抗力造成投标人发生本保函第一条约定情形的，我方不承担保证责任。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4．你方或其他有权机关对招标文件进行任何澄清或修改，加重我方保证责任的，我方对加重部分不承担保证责任，但该澄清或修改经我方事先书面同意的除外。</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因本保函发生的纠纷，由你我双方协商解决，协商不成的，通过诉讼程序解决，诉讼管辖地法院为法院。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spacing w:after="0" w:line="480" w:lineRule="auto"/>
        <w:jc w:val="right"/>
        <w:rPr>
          <w:rFonts w:ascii="宋体" w:hAnsi="宋体" w:eastAsia="宋体" w:cs="宋体"/>
          <w:color w:val="auto"/>
          <w:sz w:val="21"/>
          <w:szCs w:val="21"/>
          <w:highlight w:val="none"/>
        </w:rPr>
      </w:pP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spacing w:after="0"/>
        <w:rPr>
          <w:rFonts w:ascii="宋体" w:hAnsi="宋体" w:eastAsia="宋体"/>
          <w:color w:val="auto"/>
          <w:sz w:val="21"/>
          <w:szCs w:val="21"/>
          <w:highlight w:val="none"/>
        </w:rPr>
      </w:pP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（1）若投标人不以投标担保函形式提交投标保证金，则无需在投标文件中提供此格式。</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（2）若投标人以投标担保函形式提交投标保证金，则应将投标担保函原件交予采购代理机构。</w:t>
      </w:r>
    </w:p>
    <w:p>
      <w:pPr>
        <w:spacing w:after="0"/>
        <w:rPr>
          <w:rFonts w:ascii="黑体" w:eastAsia="黑体"/>
          <w:color w:val="auto"/>
          <w:sz w:val="30"/>
          <w:szCs w:val="30"/>
          <w:highlight w:val="none"/>
        </w:rPr>
      </w:pPr>
      <w:r>
        <w:rPr>
          <w:rFonts w:hint="eastAsia" w:ascii="宋体" w:hAnsi="宋体" w:eastAsia="宋体"/>
          <w:color w:val="auto"/>
          <w:sz w:val="21"/>
          <w:szCs w:val="21"/>
          <w:highlight w:val="none"/>
        </w:rPr>
        <w:br w:type="page"/>
      </w:r>
      <w:bookmarkStart w:id="218" w:name="_Toc27534"/>
      <w:r>
        <w:rPr>
          <w:rStyle w:val="29"/>
          <w:rFonts w:hint="eastAsia" w:ascii="宋体" w:hAnsi="宋体" w:eastAsia="宋体" w:cs="宋体"/>
          <w:color w:val="auto"/>
          <w:sz w:val="21"/>
          <w:szCs w:val="21"/>
          <w:highlight w:val="none"/>
        </w:rPr>
        <w:t>附件22.政府采购履约担保函</w:t>
      </w:r>
      <w:bookmarkEnd w:id="218"/>
    </w:p>
    <w:p>
      <w:pPr>
        <w:jc w:val="center"/>
        <w:rPr>
          <w:rFonts w:ascii="黑体" w:eastAsia="黑体"/>
          <w:color w:val="auto"/>
          <w:sz w:val="28"/>
          <w:szCs w:val="28"/>
          <w:highlight w:val="none"/>
        </w:rPr>
      </w:pPr>
      <w:r>
        <w:rPr>
          <w:rFonts w:hint="eastAsia" w:ascii="黑体" w:eastAsia="黑体"/>
          <w:color w:val="auto"/>
          <w:sz w:val="28"/>
          <w:szCs w:val="28"/>
          <w:highlight w:val="none"/>
        </w:rPr>
        <w:t>政府采购履约担保函</w:t>
      </w:r>
    </w:p>
    <w:p>
      <w:pPr>
        <w:wordWrap w:val="0"/>
        <w:jc w:val="right"/>
        <w:rPr>
          <w:rFonts w:ascii="仿宋_GB2312" w:eastAsia="仿宋_GB2312"/>
          <w:color w:val="auto"/>
          <w:sz w:val="32"/>
          <w:szCs w:val="32"/>
          <w:highlight w:val="none"/>
        </w:rPr>
      </w:pPr>
      <w:r>
        <w:rPr>
          <w:rFonts w:hint="eastAsia" w:ascii="黑体" w:eastAsia="黑体"/>
          <w:color w:val="auto"/>
          <w:sz w:val="28"/>
          <w:szCs w:val="28"/>
          <w:highlight w:val="none"/>
        </w:rPr>
        <w:t xml:space="preserve">编号：  </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鉴于你方与（以下简称供应商）于年月日签定编号为   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（一）在供应商出现下列情形之一时，我方承担保证责任：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1．将中标项目转让给他人，或者在投标文件中未说明，且未经采购招标机构人同意，将中标项目分包给他人的；</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2．主合同约定的应当缴纳履约保证金的情形: </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（1）未按主合同约定的质量、数量和期限供应货物/提供服务/完成工程的；</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p>
      <w:pPr>
        <w:spacing w:after="0" w:line="480" w:lineRule="auto"/>
        <w:ind w:right="-1291" w:rightChars="-587"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（二）我方的保证范围是主合同约定的合同价款总额</w:t>
      </w:r>
    </w:p>
    <w:p>
      <w:pPr>
        <w:spacing w:after="0" w:line="480" w:lineRule="auto"/>
        <w:ind w:right="26" w:rightChars="1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%数额为元（大写），为。（即主合同履约保证金金额）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我方保证的期间为：自本合同生效之日起至供应商按照主合同约定的供货/完工期限届满后日内。</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如果供应商未按主合同约定向贵方供应货物/提供服务/完成工程的，由我方在保证金额内向你方支付上述款项。</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1．你方要求我方承担保证责任的，应在本保函保证期间内向我方发出书面索赔通知。索赔通知应写明要求索赔的金额，支付款项应到达的帐号。并附有证明供应商违约事实的证明材料。</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如果你方与供应商因货物质量问题产生争议，你方还需同时提供部门出具的质量检测报告，或经诉讼（仲裁）程序裁决后的裁决书、调解书，本保证人即按照检测结果或裁决书、调解书决定是否承担保证责任。</w:t>
      </w:r>
    </w:p>
    <w:p>
      <w:pPr>
        <w:spacing w:after="0" w:line="480" w:lineRule="auto"/>
        <w:ind w:right="-726" w:rightChars="-330"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2．我方收到你方的书面索赔通知及相应证明材料，在</w:t>
      </w:r>
    </w:p>
    <w:p>
      <w:pPr>
        <w:spacing w:after="0" w:line="480" w:lineRule="auto"/>
        <w:ind w:right="-726" w:rightChars="-33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工作日内进行核定后按照本保函的承诺承担保证责任。</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2．我方按照本保函向你方履行了保证责任后，自我方向你方支付款项（支付款项从我方账户划出）之日起，保证责任即终止。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3．按照法律法规的规定或出现应终止我方保证责任的其它情形的，我方在本保函项下的保证责任亦终止。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1．因你方违反主合同约定致使供应商不能履行义务的，我方不承担保证责任。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2．依照法律法规的规定或你方与供应商的另行约定，全部或者部分免除供应商应缴纳的保证金义务的，我方亦免除相应的保证责任。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3．因不可抗力造成供应商不能履行供货义务的，我方不承担保证责任。</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因本保函发生的纠纷，由你我双方协商解决，协商不成的，通过诉讼程序解决，诉讼管辖地法院为法院。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spacing w:after="0" w:line="480" w:lineRule="auto"/>
        <w:rPr>
          <w:rFonts w:ascii="宋体" w:hAnsi="宋体" w:eastAsia="宋体" w:cs="宋体"/>
          <w:color w:val="auto"/>
          <w:sz w:val="21"/>
          <w:szCs w:val="21"/>
          <w:highlight w:val="none"/>
        </w:rPr>
      </w:pPr>
    </w:p>
    <w:p>
      <w:pPr>
        <w:spacing w:after="0" w:line="480" w:lineRule="auto"/>
        <w:rPr>
          <w:rFonts w:ascii="宋体" w:hAnsi="宋体" w:eastAsia="宋体" w:cs="宋体"/>
          <w:color w:val="auto"/>
          <w:sz w:val="21"/>
          <w:szCs w:val="21"/>
          <w:highlight w:val="none"/>
        </w:rPr>
      </w:pP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（1）此格式为履约担保函格式，无需在投标文件中提供此格式。</w:t>
      </w:r>
    </w:p>
    <w:p>
      <w:pPr>
        <w:pStyle w:val="2"/>
        <w:rPr>
          <w:color w:val="auto"/>
          <w:highlight w:val="none"/>
        </w:rPr>
      </w:pPr>
    </w:p>
    <w:p>
      <w:pPr>
        <w:pStyle w:val="4"/>
        <w:spacing w:before="0" w:after="0" w:line="24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br w:type="page"/>
      </w:r>
    </w:p>
    <w:p>
      <w:pPr>
        <w:pStyle w:val="6"/>
        <w:spacing w:before="0" w:after="0" w:line="240" w:lineRule="auto"/>
        <w:rPr>
          <w:rFonts w:ascii="宋体" w:hAnsi="宋体" w:eastAsia="宋体" w:cs="宋体"/>
          <w:color w:val="auto"/>
          <w:sz w:val="21"/>
          <w:szCs w:val="21"/>
          <w:highlight w:val="none"/>
        </w:rPr>
      </w:pPr>
      <w:bookmarkStart w:id="219" w:name="_Toc17023"/>
      <w:r>
        <w:rPr>
          <w:rFonts w:hint="eastAsia" w:ascii="宋体" w:hAnsi="宋体" w:eastAsia="宋体" w:cs="宋体"/>
          <w:color w:val="auto"/>
          <w:sz w:val="21"/>
          <w:szCs w:val="21"/>
          <w:highlight w:val="none"/>
        </w:rPr>
        <w:t>附件23.获取招标文件登记表</w:t>
      </w:r>
      <w:bookmarkEnd w:id="219"/>
    </w:p>
    <w:p>
      <w:pPr>
        <w:pStyle w:val="4"/>
        <w:spacing w:before="0" w:after="0" w:line="240" w:lineRule="auto"/>
        <w:jc w:val="center"/>
        <w:rPr>
          <w:rFonts w:ascii="黑体" w:hAnsi="宋体"/>
          <w:color w:val="auto"/>
          <w:sz w:val="44"/>
          <w:szCs w:val="44"/>
          <w:highlight w:val="none"/>
        </w:rPr>
      </w:pPr>
      <w:bookmarkStart w:id="220" w:name="_Toc1968"/>
    </w:p>
    <w:p>
      <w:pPr>
        <w:spacing w:after="0"/>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获取招标文件登记表</w:t>
      </w:r>
      <w:bookmarkEnd w:id="220"/>
    </w:p>
    <w:tbl>
      <w:tblPr>
        <w:tblStyle w:val="20"/>
        <w:tblW w:w="85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30"/>
        <w:gridCol w:w="58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获取招标文件时间</w:t>
            </w:r>
          </w:p>
        </w:tc>
        <w:tc>
          <w:tcPr>
            <w:tcW w:w="5898"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2021年    月    日    时    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拟投标项目名称</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项目编号</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供应商联系人</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电话</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手机</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传真</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电子邮箱</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单位地址及邮编</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76"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备注</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招标文件领取人签名</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招标文件发售人签名</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招标文件售价</w:t>
            </w:r>
          </w:p>
        </w:tc>
        <w:tc>
          <w:tcPr>
            <w:tcW w:w="5898"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人民币150元/份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8528" w:type="dxa"/>
            <w:gridSpan w:val="2"/>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注：开完发票后请把报名表格交还至前台</w:t>
            </w:r>
          </w:p>
        </w:tc>
      </w:tr>
    </w:tbl>
    <w:p>
      <w:pPr>
        <w:rPr>
          <w:rFonts w:ascii="宋体" w:hAnsi="宋体" w:eastAsia="宋体" w:cs="宋体"/>
          <w:color w:val="auto"/>
          <w:sz w:val="21"/>
          <w:szCs w:val="21"/>
          <w:highlight w:val="none"/>
        </w:rPr>
      </w:pPr>
    </w:p>
    <w:p>
      <w:pPr>
        <w:rPr>
          <w:color w:val="auto"/>
          <w:highlight w:val="none"/>
        </w:rPr>
      </w:pPr>
      <w:r>
        <w:rPr>
          <w:color w:val="auto"/>
          <w:highlight w:val="none"/>
        </w:rPr>
        <w:br w:type="page"/>
      </w:r>
    </w:p>
    <w:p>
      <w:pPr>
        <w:pStyle w:val="6"/>
        <w:spacing w:before="0" w:after="0" w:line="240" w:lineRule="auto"/>
        <w:rPr>
          <w:rFonts w:ascii="宋体" w:hAnsi="宋体" w:eastAsia="宋体" w:cs="宋体"/>
          <w:color w:val="auto"/>
          <w:sz w:val="21"/>
          <w:szCs w:val="21"/>
          <w:highlight w:val="none"/>
        </w:rPr>
      </w:pPr>
      <w:bookmarkStart w:id="221" w:name="_Toc11182"/>
      <w:r>
        <w:rPr>
          <w:rFonts w:hint="eastAsia" w:ascii="宋体" w:hAnsi="宋体" w:eastAsia="宋体" w:cs="宋体"/>
          <w:color w:val="auto"/>
          <w:sz w:val="21"/>
          <w:szCs w:val="21"/>
          <w:highlight w:val="none"/>
        </w:rPr>
        <w:t>附件 24.质疑函范本</w:t>
      </w:r>
      <w:bookmarkEnd w:id="221"/>
    </w:p>
    <w:p>
      <w:pPr>
        <w:spacing w:after="0" w:line="360" w:lineRule="auto"/>
        <w:jc w:val="center"/>
        <w:rPr>
          <w:rFonts w:ascii="宋体" w:hAnsi="宋体" w:eastAsia="宋体" w:cs="宋体"/>
          <w:color w:val="auto"/>
          <w:sz w:val="21"/>
          <w:szCs w:val="21"/>
          <w:highlight w:val="none"/>
        </w:rPr>
      </w:pPr>
    </w:p>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1.质疑函</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一、质疑供应商基本信息</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质疑供应商：</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地址：邮编：</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联系人：联系电话：</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授权代表：</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联系电话：</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地址：邮编：</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二、质疑项目基本情况</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质疑项目的名称：</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质疑项目的编号：包号：</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采购人名称：</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采购文件获取日期：</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三、质疑事项具体内容</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质疑事项1：</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事实依据：</w:t>
      </w:r>
    </w:p>
    <w:p>
      <w:pPr>
        <w:spacing w:after="0" w:line="360" w:lineRule="auto"/>
        <w:rPr>
          <w:rFonts w:ascii="宋体" w:hAnsi="宋体" w:eastAsia="宋体" w:cs="宋体"/>
          <w:color w:val="auto"/>
          <w:sz w:val="21"/>
          <w:szCs w:val="21"/>
          <w:highlight w:val="none"/>
          <w:u w:val="single"/>
        </w:rPr>
      </w:pP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法律依据：</w:t>
      </w: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质疑事项2</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四、与质疑事项相关的质疑请求</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请求：</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质疑函制作说明：</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1.供应商提出质疑时，应提交质疑函和必要的证明材料。</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3.质疑供应商若对项目的某一分包进行质疑，质疑函中应列明具体分包号。</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4.质疑函的质疑事项应具体、明确，并有必要的事实依据和法律依据。</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5.质疑函的质疑请求应与质疑事项相关。</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质疑供应商提交质疑函时须提供质疑函、法人或者非法人组织的营业执照等证明文件或自然人的身份证复印件（质疑供应商为自然人）。如不是法定代表人或主要负责人提交质疑函的，应同时提供法定代表人或主要负责人有效的授权委托书。</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8.质疑函递交地址为采购代理机构办公地址，详细地址详见投标邀请书。</w:t>
      </w:r>
    </w:p>
    <w:p>
      <w:pPr>
        <w:pStyle w:val="2"/>
        <w:rPr>
          <w:color w:val="auto"/>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2.询问函、质疑函授权书参考格式</w:t>
      </w:r>
    </w:p>
    <w:p>
      <w:pPr>
        <w:spacing w:after="0" w:line="360" w:lineRule="auto"/>
        <w:rPr>
          <w:rFonts w:ascii="宋体" w:hAnsi="宋体" w:eastAsia="宋体" w:cs="宋体"/>
          <w:color w:val="auto"/>
          <w:sz w:val="21"/>
          <w:szCs w:val="21"/>
          <w:highlight w:val="none"/>
        </w:rPr>
      </w:pPr>
    </w:p>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法定代表人或负责人授权委托书</w:t>
      </w: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本委托书声明：在下面签字的</w:t>
      </w:r>
      <w:r>
        <w:rPr>
          <w:rFonts w:hint="eastAsia" w:ascii="宋体" w:hAnsi="宋体" w:eastAsia="宋体" w:cs="宋体"/>
          <w:color w:val="auto"/>
          <w:sz w:val="21"/>
          <w:szCs w:val="21"/>
          <w:highlight w:val="none"/>
          <w:u w:val="single"/>
        </w:rPr>
        <w:t xml:space="preserve">           （法定代表人或负责人姓名、职务）</w:t>
      </w:r>
      <w:r>
        <w:rPr>
          <w:rFonts w:hint="eastAsia" w:ascii="宋体" w:hAnsi="宋体" w:eastAsia="宋体" w:cs="宋体"/>
          <w:color w:val="auto"/>
          <w:sz w:val="21"/>
          <w:szCs w:val="21"/>
          <w:highlight w:val="none"/>
        </w:rPr>
        <w:t xml:space="preserve">代表 </w:t>
      </w:r>
      <w:r>
        <w:rPr>
          <w:rFonts w:hint="eastAsia" w:ascii="宋体" w:hAnsi="宋体" w:eastAsia="宋体" w:cs="宋体"/>
          <w:color w:val="auto"/>
          <w:sz w:val="21"/>
          <w:szCs w:val="21"/>
          <w:highlight w:val="none"/>
          <w:u w:val="single"/>
        </w:rPr>
        <w:t xml:space="preserve">            （供应商名称）</w:t>
      </w:r>
      <w:r>
        <w:rPr>
          <w:rFonts w:hint="eastAsia" w:ascii="宋体" w:hAnsi="宋体" w:eastAsia="宋体" w:cs="宋体"/>
          <w:color w:val="auto"/>
          <w:sz w:val="21"/>
          <w:szCs w:val="21"/>
          <w:highlight w:val="none"/>
        </w:rPr>
        <w:t>委托在下面签字的</w:t>
      </w:r>
      <w:r>
        <w:rPr>
          <w:rFonts w:hint="eastAsia" w:ascii="宋体" w:hAnsi="宋体" w:eastAsia="宋体" w:cs="宋体"/>
          <w:color w:val="auto"/>
          <w:sz w:val="21"/>
          <w:szCs w:val="21"/>
          <w:highlight w:val="none"/>
          <w:u w:val="single"/>
        </w:rPr>
        <w:t xml:space="preserve">          （授权代表的姓名、职务）</w:t>
      </w:r>
      <w:r>
        <w:rPr>
          <w:rFonts w:hint="eastAsia" w:ascii="宋体" w:hAnsi="宋体" w:eastAsia="宋体" w:cs="宋体"/>
          <w:color w:val="auto"/>
          <w:sz w:val="21"/>
          <w:szCs w:val="21"/>
          <w:highlight w:val="none"/>
        </w:rPr>
        <w:t>为本公司的合法代表人，就采购项目（采购编号：</w:t>
      </w:r>
      <w:r>
        <w:rPr>
          <w:rFonts w:hint="eastAsia" w:ascii="宋体" w:hAnsi="宋体" w:eastAsia="宋体" w:cs="宋体"/>
          <w:color w:val="auto"/>
          <w:sz w:val="21"/>
          <w:szCs w:val="21"/>
          <w:highlight w:val="none"/>
          <w:u w:val="single"/>
        </w:rPr>
        <w:t xml:space="preserve">          ）             （填写授权内容）</w:t>
      </w:r>
      <w:r>
        <w:rPr>
          <w:rFonts w:hint="eastAsia" w:ascii="宋体" w:hAnsi="宋体" w:eastAsia="宋体" w:cs="宋体"/>
          <w:color w:val="auto"/>
          <w:sz w:val="21"/>
          <w:szCs w:val="21"/>
          <w:highlight w:val="none"/>
        </w:rPr>
        <w:t>，以本公司的名义处理一切与之有关的事宜</w:t>
      </w:r>
      <w:r>
        <w:rPr>
          <w:rFonts w:hint="eastAsia" w:ascii="宋体" w:hAnsi="宋体" w:eastAsia="宋体" w:cs="宋体"/>
          <w:color w:val="auto"/>
          <w:sz w:val="21"/>
          <w:szCs w:val="21"/>
          <w:highlight w:val="none"/>
          <w:u w:val="single"/>
        </w:rPr>
        <w:t>（须提供法定代表人或负责人、授权代表身份证复印件）。</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本委托书于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日签字生效。</w:t>
      </w: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供应商名称（加盖公章）：</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法定代表人或负责人（签名或盖私章）：</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授权代表（签名或盖私章）：</w:t>
      </w:r>
    </w:p>
    <w:p>
      <w:pPr>
        <w:spacing w:after="0" w:line="360" w:lineRule="auto"/>
        <w:rPr>
          <w:rFonts w:ascii="仿宋" w:hAnsi="仿宋" w:eastAsia="仿宋"/>
          <w:color w:val="auto"/>
          <w:sz w:val="24"/>
          <w:highlight w:val="none"/>
        </w:rPr>
      </w:pPr>
      <w:r>
        <w:rPr>
          <w:rFonts w:hint="eastAsia" w:ascii="宋体" w:hAnsi="宋体" w:eastAsia="宋体" w:cs="宋体"/>
          <w:color w:val="auto"/>
          <w:sz w:val="21"/>
          <w:szCs w:val="21"/>
          <w:highlight w:val="none"/>
        </w:rPr>
        <w:t>日期：</w:t>
      </w:r>
    </w:p>
    <w:p>
      <w:pPr>
        <w:rPr>
          <w:color w:val="auto"/>
          <w:highlight w:val="none"/>
        </w:rPr>
      </w:pPr>
    </w:p>
    <w:sectPr>
      <w:footerReference r:id="rId6" w:type="first"/>
      <w:footerReference r:id="rId5" w:type="default"/>
      <w:pgSz w:w="11906" w:h="16838"/>
      <w:pgMar w:top="1440" w:right="1800" w:bottom="1440" w:left="1800" w:header="708" w:footer="708" w:gutter="0"/>
      <w:pgNumType w:start="1"/>
      <w:cols w:space="708" w:num="1"/>
      <w:titlePg/>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81"/>
    <w:family w:val="swiss"/>
    <w:pitch w:val="default"/>
    <w:sig w:usb0="9000002F" w:usb1="29D77CFB" w:usb2="00000012" w:usb3="00000000" w:csb0="00080001" w:csb1="00000000"/>
  </w:font>
  <w:font w:name="Segoe UI Emoji">
    <w:panose1 w:val="020B0502040204020203"/>
    <w:charset w:val="00"/>
    <w:family w:val="swiss"/>
    <w:pitch w:val="default"/>
    <w:sig w:usb0="00000001" w:usb1="02000000" w:usb2="00000000" w:usb3="00000000" w:csb0="00000001"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兰亭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2032000" behindDoc="0" locked="0" layoutInCell="1" allowOverlap="1">
              <wp:simplePos x="0" y="0"/>
              <wp:positionH relativeFrom="margin">
                <wp:align>center</wp:align>
              </wp:positionH>
              <wp:positionV relativeFrom="paragraph">
                <wp:posOffset>0</wp:posOffset>
              </wp:positionV>
              <wp:extent cx="993140" cy="323215"/>
              <wp:effectExtent l="0" t="0" r="0" b="0"/>
              <wp:wrapNone/>
              <wp:docPr id="369" name="文本框 1026"/>
              <wp:cNvGraphicFramePr/>
              <a:graphic xmlns:a="http://schemas.openxmlformats.org/drawingml/2006/main">
                <a:graphicData uri="http://schemas.microsoft.com/office/word/2010/wordprocessingShape">
                  <wps:wsp>
                    <wps:cNvSpPr txBox="1"/>
                    <wps:spPr>
                      <a:xfrm>
                        <a:off x="0" y="0"/>
                        <a:ext cx="993140" cy="323215"/>
                      </a:xfrm>
                      <a:prstGeom prst="rect">
                        <a:avLst/>
                      </a:prstGeom>
                      <a:noFill/>
                      <a:ln w="9525">
                        <a:noFill/>
                      </a:ln>
                    </wps:spPr>
                    <wps:txbx>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85</w:instrText>
                          </w:r>
                          <w:r>
                            <w:fldChar w:fldCharType="end"/>
                          </w:r>
                          <w:r>
                            <w:rPr>
                              <w:rFonts w:hint="eastAsia"/>
                            </w:rPr>
                            <w:instrText xml:space="preserve">-1</w:instrText>
                          </w:r>
                          <w:r>
                            <w:fldChar w:fldCharType="separate"/>
                          </w:r>
                          <w:r>
                            <w:t>84</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25.45pt;width:78.2pt;mso-position-horizontal:center;mso-position-horizontal-relative:margin;mso-wrap-style:none;z-index:252032000;mso-width-relative:page;mso-height-relative:page;" filled="f" stroked="f" coordsize="21600,21600" o:gfxdata="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&#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80UGPSAAAABAEAAA8AAAAAAAAAAQAgAAAAIgAAAGRy&#10;cy9kb3ducmV2LnhtbFBLAQIUABQAAAAIAIdO4kDyPeVw0gEAAJkDAAAOAAAAAAAAAAEAIAAAACEB&#10;AABkcnMvZTJvRG9jLnhtbFBLBQYAAAAABgAGAFkBAABlBQAAAAA=&#10;">
              <v:fill on="f" focussize="0,0"/>
              <v:stroke on="f"/>
              <v:imagedata o:title=""/>
              <o:lock v:ext="edit" aspectratio="f"/>
              <v:textbox inset="0mm,0mm,0mm,0mm" style="mso-fit-shape-to-text:t;">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85</w:instrText>
                    </w:r>
                    <w:r>
                      <w:fldChar w:fldCharType="end"/>
                    </w:r>
                    <w:r>
                      <w:rPr>
                        <w:rFonts w:hint="eastAsia"/>
                      </w:rPr>
                      <w:instrText xml:space="preserve">-1</w:instrText>
                    </w:r>
                    <w:r>
                      <w:fldChar w:fldCharType="separate"/>
                    </w:r>
                    <w:r>
                      <w:t>84</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2033024" behindDoc="0" locked="0" layoutInCell="1" allowOverlap="1">
              <wp:simplePos x="0" y="0"/>
              <wp:positionH relativeFrom="margin">
                <wp:align>center</wp:align>
              </wp:positionH>
              <wp:positionV relativeFrom="paragraph">
                <wp:posOffset>0</wp:posOffset>
              </wp:positionV>
              <wp:extent cx="930275" cy="323215"/>
              <wp:effectExtent l="0" t="0" r="0" b="0"/>
              <wp:wrapNone/>
              <wp:docPr id="368" name="文本框 1025"/>
              <wp:cNvGraphicFramePr/>
              <a:graphic xmlns:a="http://schemas.openxmlformats.org/drawingml/2006/main">
                <a:graphicData uri="http://schemas.microsoft.com/office/word/2010/wordprocessingShape">
                  <wps:wsp>
                    <wps:cNvSpPr txBox="1"/>
                    <wps:spPr>
                      <a:xfrm>
                        <a:off x="0" y="0"/>
                        <a:ext cx="930275" cy="323215"/>
                      </a:xfrm>
                      <a:prstGeom prst="rect">
                        <a:avLst/>
                      </a:prstGeom>
                      <a:noFill/>
                      <a:ln w="9525">
                        <a:noFill/>
                      </a:ln>
                    </wps:spPr>
                    <wps:txbx>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85</w:instrText>
                          </w:r>
                          <w:r>
                            <w:fldChar w:fldCharType="end"/>
                          </w:r>
                          <w:r>
                            <w:rPr>
                              <w:rFonts w:hint="eastAsia"/>
                            </w:rPr>
                            <w:instrText xml:space="preserve">-1</w:instrText>
                          </w:r>
                          <w:r>
                            <w:fldChar w:fldCharType="separate"/>
                          </w:r>
                          <w:r>
                            <w:t>84</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25.45pt;width:73.25pt;mso-position-horizontal:center;mso-position-horizontal-relative:margin;mso-wrap-style:none;z-index:252033024;mso-width-relative:page;mso-height-relative:page;" filled="f" stroked="f" coordsize="21600,21600" o:gfxdata="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&#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r2227SAAAABAEAAA8AAAAAAAAAAQAgAAAAIgAAAGRy&#10;cy9kb3ducmV2LnhtbFBLAQIUABQAAAAIAIdO4kDo0W+V0gEAAJkDAAAOAAAAAAAAAAEAIAAAACEB&#10;AABkcnMvZTJvRG9jLnhtbFBLBQYAAAAABgAGAFkBAABlBQAAAAA=&#10;">
              <v:fill on="f" focussize="0,0"/>
              <v:stroke on="f"/>
              <v:imagedata o:title=""/>
              <o:lock v:ext="edit" aspectratio="f"/>
              <v:textbox inset="0mm,0mm,0mm,0mm" style="mso-fit-shape-to-text:t;">
                <w:txbxContent>
                  <w:p>
                    <w:pPr>
                      <w:pStyle w:val="11"/>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85</w:instrText>
                    </w:r>
                    <w:r>
                      <w:fldChar w:fldCharType="end"/>
                    </w:r>
                    <w:r>
                      <w:rPr>
                        <w:rFonts w:hint="eastAsia"/>
                      </w:rPr>
                      <w:instrText xml:space="preserve">-1</w:instrText>
                    </w:r>
                    <w:r>
                      <w:fldChar w:fldCharType="separate"/>
                    </w:r>
                    <w:r>
                      <w:t>84</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pPr>
      <w:r>
        <w:separator/>
      </w:r>
    </w:p>
  </w:footnote>
  <w:footnote w:type="continuationSeparator" w:id="5">
    <w:p>
      <w:pPr>
        <w:spacing w:before="0" w:after="0"/>
      </w:pPr>
      <w:r>
        <w:continuationSeparator/>
      </w:r>
    </w:p>
  </w:footnote>
  <w:footnote w:id="0">
    <w:p>
      <w:pPr>
        <w:pStyle w:val="15"/>
      </w:pPr>
      <w:r>
        <w:rPr>
          <w:rStyle w:val="25"/>
        </w:rPr>
        <w:footnoteRef/>
      </w:r>
      <w:r>
        <w:t xml:space="preserve"> </w:t>
      </w:r>
      <w:r>
        <w:rPr>
          <w:rFonts w:hint="eastAsia"/>
        </w:rPr>
        <w:t>从业人员、营业人员、资产总额填报上一年度数据，无上一年度数据的新成立企业可不填报。</w:t>
      </w:r>
    </w:p>
  </w:footnote>
  <w:footnote w:id="1">
    <w:p>
      <w:pPr>
        <w:pStyle w:val="15"/>
      </w:pPr>
      <w:r>
        <w:rPr>
          <w:rStyle w:val="25"/>
        </w:rPr>
        <w:footnoteRef/>
      </w:r>
      <w:r>
        <w:t xml:space="preserve">  </w:t>
      </w:r>
      <w:r>
        <w:rPr>
          <w:rFonts w:hint="eastAsia"/>
        </w:rPr>
        <w:t>从业人员、营业人员、资产总额填报上一年度数据，无上一年度数据的新成立企业可不填报。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w:rPr>
        <w:rFonts w:hint="eastAsia"/>
      </w:rPr>
      <w:t>东莞市政府采购公开招标文件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87489"/>
    <w:multiLevelType w:val="singleLevel"/>
    <w:tmpl w:val="93587489"/>
    <w:lvl w:ilvl="0" w:tentative="0">
      <w:start w:val="1"/>
      <w:numFmt w:val="decimal"/>
      <w:suff w:val="nothing"/>
      <w:lvlText w:val="%1、"/>
      <w:lvlJc w:val="left"/>
    </w:lvl>
  </w:abstractNum>
  <w:abstractNum w:abstractNumId="1">
    <w:nsid w:val="BAA12ADA"/>
    <w:multiLevelType w:val="singleLevel"/>
    <w:tmpl w:val="BAA12ADA"/>
    <w:lvl w:ilvl="0" w:tentative="0">
      <w:start w:val="1"/>
      <w:numFmt w:val="decimal"/>
      <w:suff w:val="nothing"/>
      <w:lvlText w:val="（%1）"/>
      <w:lvlJc w:val="left"/>
    </w:lvl>
  </w:abstractNum>
  <w:abstractNum w:abstractNumId="2">
    <w:nsid w:val="CFF174A5"/>
    <w:multiLevelType w:val="singleLevel"/>
    <w:tmpl w:val="CFF174A5"/>
    <w:lvl w:ilvl="0" w:tentative="0">
      <w:start w:val="1"/>
      <w:numFmt w:val="decimal"/>
      <w:suff w:val="nothing"/>
      <w:lvlText w:val="%1、"/>
      <w:lvlJc w:val="left"/>
    </w:lvl>
  </w:abstractNum>
  <w:abstractNum w:abstractNumId="3">
    <w:nsid w:val="D0047B7E"/>
    <w:multiLevelType w:val="singleLevel"/>
    <w:tmpl w:val="D0047B7E"/>
    <w:lvl w:ilvl="0" w:tentative="0">
      <w:start w:val="1"/>
      <w:numFmt w:val="decimal"/>
      <w:suff w:val="nothing"/>
      <w:lvlText w:val="%1、"/>
      <w:lvlJc w:val="left"/>
    </w:lvl>
  </w:abstractNum>
  <w:abstractNum w:abstractNumId="4">
    <w:nsid w:val="E09EF6E1"/>
    <w:multiLevelType w:val="singleLevel"/>
    <w:tmpl w:val="E09EF6E1"/>
    <w:lvl w:ilvl="0" w:tentative="0">
      <w:start w:val="1"/>
      <w:numFmt w:val="decimal"/>
      <w:suff w:val="nothing"/>
      <w:lvlText w:val="（%1）"/>
      <w:lvlJc w:val="left"/>
    </w:lvl>
  </w:abstractNum>
  <w:abstractNum w:abstractNumId="5">
    <w:nsid w:val="F73DC5D7"/>
    <w:multiLevelType w:val="singleLevel"/>
    <w:tmpl w:val="F73DC5D7"/>
    <w:lvl w:ilvl="0" w:tentative="0">
      <w:start w:val="1"/>
      <w:numFmt w:val="decimal"/>
      <w:suff w:val="nothing"/>
      <w:lvlText w:val="（%1）"/>
      <w:lvlJc w:val="left"/>
    </w:lvl>
  </w:abstractNum>
  <w:abstractNum w:abstractNumId="6">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206CABF7"/>
    <w:multiLevelType w:val="singleLevel"/>
    <w:tmpl w:val="206CABF7"/>
    <w:lvl w:ilvl="0" w:tentative="0">
      <w:start w:val="1"/>
      <w:numFmt w:val="decimal"/>
      <w:suff w:val="nothing"/>
      <w:lvlText w:val="（%1）"/>
      <w:lvlJc w:val="left"/>
    </w:lvl>
  </w:abstractNum>
  <w:abstractNum w:abstractNumId="9">
    <w:nsid w:val="353FB84F"/>
    <w:multiLevelType w:val="singleLevel"/>
    <w:tmpl w:val="353FB84F"/>
    <w:lvl w:ilvl="0" w:tentative="0">
      <w:start w:val="1"/>
      <w:numFmt w:val="decimal"/>
      <w:suff w:val="nothing"/>
      <w:lvlText w:val="%1、"/>
      <w:lvlJc w:val="left"/>
    </w:lvl>
  </w:abstractNum>
  <w:abstractNum w:abstractNumId="10">
    <w:nsid w:val="3F88662E"/>
    <w:multiLevelType w:val="singleLevel"/>
    <w:tmpl w:val="3F88662E"/>
    <w:lvl w:ilvl="0" w:tentative="0">
      <w:start w:val="1"/>
      <w:numFmt w:val="decimal"/>
      <w:suff w:val="space"/>
      <w:lvlText w:val="%1)"/>
      <w:lvlJc w:val="left"/>
    </w:lvl>
  </w:abstractNum>
  <w:abstractNum w:abstractNumId="11">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11"/>
  </w:num>
  <w:num w:numId="3">
    <w:abstractNumId w:val="7"/>
  </w:num>
  <w:num w:numId="4">
    <w:abstractNumId w:val="10"/>
  </w:num>
  <w:num w:numId="5">
    <w:abstractNumId w:val="8"/>
  </w:num>
  <w:num w:numId="6">
    <w:abstractNumId w:val="4"/>
  </w:num>
  <w:num w:numId="7">
    <w:abstractNumId w:val="5"/>
  </w:num>
  <w:num w:numId="8">
    <w:abstractNumId w:val="1"/>
  </w:num>
  <w:num w:numId="9">
    <w:abstractNumId w:val="2"/>
  </w:num>
  <w:num w:numId="10">
    <w:abstractNumId w:val="6"/>
  </w:num>
  <w:num w:numId="11">
    <w:abstractNumId w:val="0"/>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4"/>
    <w:footnote w:id="5"/>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F6B"/>
    <w:rsid w:val="00006462"/>
    <w:rsid w:val="000300E4"/>
    <w:rsid w:val="0003307E"/>
    <w:rsid w:val="000336BA"/>
    <w:rsid w:val="000359A1"/>
    <w:rsid w:val="0007500F"/>
    <w:rsid w:val="0008282E"/>
    <w:rsid w:val="000A363F"/>
    <w:rsid w:val="000A42A8"/>
    <w:rsid w:val="000A5063"/>
    <w:rsid w:val="000A5DBD"/>
    <w:rsid w:val="000C4524"/>
    <w:rsid w:val="000D44A6"/>
    <w:rsid w:val="000D5273"/>
    <w:rsid w:val="000F09D9"/>
    <w:rsid w:val="000F0E98"/>
    <w:rsid w:val="001049A5"/>
    <w:rsid w:val="001242F3"/>
    <w:rsid w:val="00134CAD"/>
    <w:rsid w:val="0013730B"/>
    <w:rsid w:val="00137853"/>
    <w:rsid w:val="00137E1C"/>
    <w:rsid w:val="00147012"/>
    <w:rsid w:val="00153E0B"/>
    <w:rsid w:val="00173126"/>
    <w:rsid w:val="00173905"/>
    <w:rsid w:val="00173E04"/>
    <w:rsid w:val="00175D29"/>
    <w:rsid w:val="001844F4"/>
    <w:rsid w:val="00185039"/>
    <w:rsid w:val="001A06D8"/>
    <w:rsid w:val="001A2D42"/>
    <w:rsid w:val="001A2EF7"/>
    <w:rsid w:val="001B41CF"/>
    <w:rsid w:val="001B5860"/>
    <w:rsid w:val="001C1135"/>
    <w:rsid w:val="001C15AE"/>
    <w:rsid w:val="001C4661"/>
    <w:rsid w:val="001C5689"/>
    <w:rsid w:val="001C6E4B"/>
    <w:rsid w:val="001F0070"/>
    <w:rsid w:val="001F4B02"/>
    <w:rsid w:val="002065A7"/>
    <w:rsid w:val="0021149E"/>
    <w:rsid w:val="00213021"/>
    <w:rsid w:val="00216BE9"/>
    <w:rsid w:val="0022503E"/>
    <w:rsid w:val="00225BB4"/>
    <w:rsid w:val="00226313"/>
    <w:rsid w:val="00240F5F"/>
    <w:rsid w:val="00244C00"/>
    <w:rsid w:val="002474D3"/>
    <w:rsid w:val="00247AE0"/>
    <w:rsid w:val="002504F8"/>
    <w:rsid w:val="00260AC1"/>
    <w:rsid w:val="0026312D"/>
    <w:rsid w:val="0027078E"/>
    <w:rsid w:val="00280BB8"/>
    <w:rsid w:val="00284156"/>
    <w:rsid w:val="00285643"/>
    <w:rsid w:val="002867A1"/>
    <w:rsid w:val="002901F8"/>
    <w:rsid w:val="002A540A"/>
    <w:rsid w:val="002B4087"/>
    <w:rsid w:val="002B5F6C"/>
    <w:rsid w:val="002C165E"/>
    <w:rsid w:val="002C6C78"/>
    <w:rsid w:val="002D1594"/>
    <w:rsid w:val="002D3F9C"/>
    <w:rsid w:val="002D503C"/>
    <w:rsid w:val="002D7E27"/>
    <w:rsid w:val="002E17E5"/>
    <w:rsid w:val="002E6B7E"/>
    <w:rsid w:val="0030669E"/>
    <w:rsid w:val="00320CEA"/>
    <w:rsid w:val="00323B43"/>
    <w:rsid w:val="00326831"/>
    <w:rsid w:val="003274CE"/>
    <w:rsid w:val="003430F6"/>
    <w:rsid w:val="0038564C"/>
    <w:rsid w:val="00393B1D"/>
    <w:rsid w:val="003A1D97"/>
    <w:rsid w:val="003C3B19"/>
    <w:rsid w:val="003C412B"/>
    <w:rsid w:val="003C415C"/>
    <w:rsid w:val="003D36FB"/>
    <w:rsid w:val="003D37D8"/>
    <w:rsid w:val="003E1160"/>
    <w:rsid w:val="003E2B8C"/>
    <w:rsid w:val="003F4822"/>
    <w:rsid w:val="00401CC0"/>
    <w:rsid w:val="00410F11"/>
    <w:rsid w:val="004203B9"/>
    <w:rsid w:val="00421BCF"/>
    <w:rsid w:val="004322A2"/>
    <w:rsid w:val="004358AB"/>
    <w:rsid w:val="00451EB4"/>
    <w:rsid w:val="00453AD3"/>
    <w:rsid w:val="00460B31"/>
    <w:rsid w:val="00462105"/>
    <w:rsid w:val="00463BEB"/>
    <w:rsid w:val="00475A80"/>
    <w:rsid w:val="00490B9E"/>
    <w:rsid w:val="00497577"/>
    <w:rsid w:val="004A05D7"/>
    <w:rsid w:val="004A2B28"/>
    <w:rsid w:val="004A69F1"/>
    <w:rsid w:val="004B3550"/>
    <w:rsid w:val="004D51A2"/>
    <w:rsid w:val="004D5AFB"/>
    <w:rsid w:val="004E04FD"/>
    <w:rsid w:val="004F1BB7"/>
    <w:rsid w:val="0050759C"/>
    <w:rsid w:val="005269A9"/>
    <w:rsid w:val="00546A42"/>
    <w:rsid w:val="0055408D"/>
    <w:rsid w:val="0057492D"/>
    <w:rsid w:val="00590819"/>
    <w:rsid w:val="00593D68"/>
    <w:rsid w:val="005A208B"/>
    <w:rsid w:val="005A7612"/>
    <w:rsid w:val="005B7D45"/>
    <w:rsid w:val="005C702E"/>
    <w:rsid w:val="005D01B8"/>
    <w:rsid w:val="005D066B"/>
    <w:rsid w:val="005F573A"/>
    <w:rsid w:val="005F7EB1"/>
    <w:rsid w:val="006015CD"/>
    <w:rsid w:val="00604B81"/>
    <w:rsid w:val="00613417"/>
    <w:rsid w:val="0061545F"/>
    <w:rsid w:val="006175DE"/>
    <w:rsid w:val="006215AC"/>
    <w:rsid w:val="00621821"/>
    <w:rsid w:val="00622362"/>
    <w:rsid w:val="00622497"/>
    <w:rsid w:val="006276AD"/>
    <w:rsid w:val="00634F64"/>
    <w:rsid w:val="006378D4"/>
    <w:rsid w:val="0064416A"/>
    <w:rsid w:val="0065365D"/>
    <w:rsid w:val="0065543F"/>
    <w:rsid w:val="006578CD"/>
    <w:rsid w:val="00664F6B"/>
    <w:rsid w:val="006731D2"/>
    <w:rsid w:val="00682986"/>
    <w:rsid w:val="006913C9"/>
    <w:rsid w:val="00691701"/>
    <w:rsid w:val="00691AE0"/>
    <w:rsid w:val="0069491E"/>
    <w:rsid w:val="006B7878"/>
    <w:rsid w:val="006C14BD"/>
    <w:rsid w:val="006C28E5"/>
    <w:rsid w:val="006D08E0"/>
    <w:rsid w:val="006D1BA8"/>
    <w:rsid w:val="006D393E"/>
    <w:rsid w:val="006D4AD8"/>
    <w:rsid w:val="006E0B58"/>
    <w:rsid w:val="006E0C4B"/>
    <w:rsid w:val="007110BA"/>
    <w:rsid w:val="00711465"/>
    <w:rsid w:val="0072310A"/>
    <w:rsid w:val="00723B11"/>
    <w:rsid w:val="007343A7"/>
    <w:rsid w:val="00734BB2"/>
    <w:rsid w:val="0075028E"/>
    <w:rsid w:val="007608B9"/>
    <w:rsid w:val="00761AAB"/>
    <w:rsid w:val="007724B4"/>
    <w:rsid w:val="007818FB"/>
    <w:rsid w:val="007916E7"/>
    <w:rsid w:val="00797C5D"/>
    <w:rsid w:val="00797D2F"/>
    <w:rsid w:val="007A34B9"/>
    <w:rsid w:val="007A6F47"/>
    <w:rsid w:val="007C4F46"/>
    <w:rsid w:val="007C7297"/>
    <w:rsid w:val="007C7A38"/>
    <w:rsid w:val="007D1B4F"/>
    <w:rsid w:val="007D2F9E"/>
    <w:rsid w:val="007D3175"/>
    <w:rsid w:val="007D48BF"/>
    <w:rsid w:val="007D5C45"/>
    <w:rsid w:val="007E2543"/>
    <w:rsid w:val="007E4A26"/>
    <w:rsid w:val="007F01B0"/>
    <w:rsid w:val="007F2CD8"/>
    <w:rsid w:val="007F4DC5"/>
    <w:rsid w:val="00806380"/>
    <w:rsid w:val="0081104F"/>
    <w:rsid w:val="008165AF"/>
    <w:rsid w:val="00822299"/>
    <w:rsid w:val="00833E43"/>
    <w:rsid w:val="0083486A"/>
    <w:rsid w:val="00841378"/>
    <w:rsid w:val="00842B87"/>
    <w:rsid w:val="00845BEB"/>
    <w:rsid w:val="008472E6"/>
    <w:rsid w:val="00853463"/>
    <w:rsid w:val="0086026F"/>
    <w:rsid w:val="008640F5"/>
    <w:rsid w:val="008907DA"/>
    <w:rsid w:val="008A0587"/>
    <w:rsid w:val="008B7726"/>
    <w:rsid w:val="008D429E"/>
    <w:rsid w:val="008D5A10"/>
    <w:rsid w:val="008E319F"/>
    <w:rsid w:val="008E4452"/>
    <w:rsid w:val="008E619C"/>
    <w:rsid w:val="008F6E0E"/>
    <w:rsid w:val="008F79E1"/>
    <w:rsid w:val="00906F49"/>
    <w:rsid w:val="009108BB"/>
    <w:rsid w:val="00914604"/>
    <w:rsid w:val="00923533"/>
    <w:rsid w:val="00930A38"/>
    <w:rsid w:val="00934170"/>
    <w:rsid w:val="00942948"/>
    <w:rsid w:val="009474B5"/>
    <w:rsid w:val="00972D86"/>
    <w:rsid w:val="009736BF"/>
    <w:rsid w:val="0097392B"/>
    <w:rsid w:val="00976066"/>
    <w:rsid w:val="00980A66"/>
    <w:rsid w:val="00982424"/>
    <w:rsid w:val="009904F7"/>
    <w:rsid w:val="009910F6"/>
    <w:rsid w:val="009A7058"/>
    <w:rsid w:val="009C6AD9"/>
    <w:rsid w:val="009D55C3"/>
    <w:rsid w:val="009E398C"/>
    <w:rsid w:val="009E6F05"/>
    <w:rsid w:val="00A10906"/>
    <w:rsid w:val="00A14EEF"/>
    <w:rsid w:val="00A25E78"/>
    <w:rsid w:val="00A47DD3"/>
    <w:rsid w:val="00A61230"/>
    <w:rsid w:val="00A813C5"/>
    <w:rsid w:val="00A824E6"/>
    <w:rsid w:val="00A858DC"/>
    <w:rsid w:val="00A94D14"/>
    <w:rsid w:val="00AB19CE"/>
    <w:rsid w:val="00AB3969"/>
    <w:rsid w:val="00AC187B"/>
    <w:rsid w:val="00AC5C21"/>
    <w:rsid w:val="00AE310E"/>
    <w:rsid w:val="00AE4FC5"/>
    <w:rsid w:val="00AF5796"/>
    <w:rsid w:val="00AF5F1F"/>
    <w:rsid w:val="00B027A4"/>
    <w:rsid w:val="00B236B3"/>
    <w:rsid w:val="00B26534"/>
    <w:rsid w:val="00B26806"/>
    <w:rsid w:val="00B31B24"/>
    <w:rsid w:val="00B4287F"/>
    <w:rsid w:val="00B4315F"/>
    <w:rsid w:val="00B55CB5"/>
    <w:rsid w:val="00B60DAB"/>
    <w:rsid w:val="00B7194E"/>
    <w:rsid w:val="00B763B0"/>
    <w:rsid w:val="00B93045"/>
    <w:rsid w:val="00BA4130"/>
    <w:rsid w:val="00BB2CAF"/>
    <w:rsid w:val="00BC3E74"/>
    <w:rsid w:val="00BD630F"/>
    <w:rsid w:val="00BD7C1B"/>
    <w:rsid w:val="00BF17FD"/>
    <w:rsid w:val="00BF41D4"/>
    <w:rsid w:val="00BF5AFB"/>
    <w:rsid w:val="00C16734"/>
    <w:rsid w:val="00C17B47"/>
    <w:rsid w:val="00C25C77"/>
    <w:rsid w:val="00C303E7"/>
    <w:rsid w:val="00C319C2"/>
    <w:rsid w:val="00C62CA9"/>
    <w:rsid w:val="00C62E44"/>
    <w:rsid w:val="00C63BD8"/>
    <w:rsid w:val="00C65954"/>
    <w:rsid w:val="00C7126B"/>
    <w:rsid w:val="00C72C24"/>
    <w:rsid w:val="00C73468"/>
    <w:rsid w:val="00C80EC4"/>
    <w:rsid w:val="00C8568E"/>
    <w:rsid w:val="00CB7EF0"/>
    <w:rsid w:val="00CC584A"/>
    <w:rsid w:val="00CC5E4E"/>
    <w:rsid w:val="00CD0979"/>
    <w:rsid w:val="00CD0EAB"/>
    <w:rsid w:val="00CE2AF3"/>
    <w:rsid w:val="00CE621D"/>
    <w:rsid w:val="00CE66E8"/>
    <w:rsid w:val="00D05388"/>
    <w:rsid w:val="00D114CD"/>
    <w:rsid w:val="00D14476"/>
    <w:rsid w:val="00D232FF"/>
    <w:rsid w:val="00D279AA"/>
    <w:rsid w:val="00D34544"/>
    <w:rsid w:val="00D44A97"/>
    <w:rsid w:val="00D45C0C"/>
    <w:rsid w:val="00D508A5"/>
    <w:rsid w:val="00D5104B"/>
    <w:rsid w:val="00D555D8"/>
    <w:rsid w:val="00D60778"/>
    <w:rsid w:val="00D64D28"/>
    <w:rsid w:val="00D6604D"/>
    <w:rsid w:val="00D671BC"/>
    <w:rsid w:val="00D677F1"/>
    <w:rsid w:val="00D74601"/>
    <w:rsid w:val="00D83E46"/>
    <w:rsid w:val="00D847B6"/>
    <w:rsid w:val="00DA6169"/>
    <w:rsid w:val="00DB5480"/>
    <w:rsid w:val="00DB6317"/>
    <w:rsid w:val="00DC0710"/>
    <w:rsid w:val="00DC4563"/>
    <w:rsid w:val="00DC5AD9"/>
    <w:rsid w:val="00DC691F"/>
    <w:rsid w:val="00DD02DE"/>
    <w:rsid w:val="00DD07B7"/>
    <w:rsid w:val="00DD113C"/>
    <w:rsid w:val="00DE0BEB"/>
    <w:rsid w:val="00DE4856"/>
    <w:rsid w:val="00DE5EB6"/>
    <w:rsid w:val="00DF485B"/>
    <w:rsid w:val="00E21B77"/>
    <w:rsid w:val="00E40CAD"/>
    <w:rsid w:val="00E44530"/>
    <w:rsid w:val="00E61D2E"/>
    <w:rsid w:val="00E62B7F"/>
    <w:rsid w:val="00E726BC"/>
    <w:rsid w:val="00E72821"/>
    <w:rsid w:val="00E81DDC"/>
    <w:rsid w:val="00E81F67"/>
    <w:rsid w:val="00E83650"/>
    <w:rsid w:val="00E83A31"/>
    <w:rsid w:val="00E93E51"/>
    <w:rsid w:val="00E97CC0"/>
    <w:rsid w:val="00EA2524"/>
    <w:rsid w:val="00EC092D"/>
    <w:rsid w:val="00EC0DF8"/>
    <w:rsid w:val="00ED2BAD"/>
    <w:rsid w:val="00ED378B"/>
    <w:rsid w:val="00EE08F9"/>
    <w:rsid w:val="00EE5B3F"/>
    <w:rsid w:val="00EF728A"/>
    <w:rsid w:val="00EF7D0D"/>
    <w:rsid w:val="00F00FF7"/>
    <w:rsid w:val="00F02093"/>
    <w:rsid w:val="00F068E3"/>
    <w:rsid w:val="00F10B5F"/>
    <w:rsid w:val="00F218C1"/>
    <w:rsid w:val="00F321EB"/>
    <w:rsid w:val="00F3302E"/>
    <w:rsid w:val="00F346CF"/>
    <w:rsid w:val="00F35394"/>
    <w:rsid w:val="00F3610C"/>
    <w:rsid w:val="00F52A5F"/>
    <w:rsid w:val="00F55954"/>
    <w:rsid w:val="00F61962"/>
    <w:rsid w:val="00F62865"/>
    <w:rsid w:val="00F64022"/>
    <w:rsid w:val="00F64660"/>
    <w:rsid w:val="00F97062"/>
    <w:rsid w:val="00F9745D"/>
    <w:rsid w:val="00FC7B53"/>
    <w:rsid w:val="00FD48CC"/>
    <w:rsid w:val="00FE62D1"/>
    <w:rsid w:val="00FF26BF"/>
    <w:rsid w:val="018023CE"/>
    <w:rsid w:val="01881AD6"/>
    <w:rsid w:val="01B938AA"/>
    <w:rsid w:val="02126CDB"/>
    <w:rsid w:val="021832B7"/>
    <w:rsid w:val="024E2E49"/>
    <w:rsid w:val="02A741FD"/>
    <w:rsid w:val="02C16E5D"/>
    <w:rsid w:val="02D964CF"/>
    <w:rsid w:val="0340787C"/>
    <w:rsid w:val="035D3684"/>
    <w:rsid w:val="03707410"/>
    <w:rsid w:val="037F03E3"/>
    <w:rsid w:val="03A0770F"/>
    <w:rsid w:val="03A27BF9"/>
    <w:rsid w:val="03A448B8"/>
    <w:rsid w:val="03AD071E"/>
    <w:rsid w:val="04DF1036"/>
    <w:rsid w:val="05A97DEC"/>
    <w:rsid w:val="05C81981"/>
    <w:rsid w:val="06835074"/>
    <w:rsid w:val="06BC41F2"/>
    <w:rsid w:val="07197D08"/>
    <w:rsid w:val="071C2CFD"/>
    <w:rsid w:val="071E5C55"/>
    <w:rsid w:val="073F7319"/>
    <w:rsid w:val="07595F41"/>
    <w:rsid w:val="07615EC0"/>
    <w:rsid w:val="077005AB"/>
    <w:rsid w:val="078F4581"/>
    <w:rsid w:val="07995C5E"/>
    <w:rsid w:val="07BE179A"/>
    <w:rsid w:val="07BF027F"/>
    <w:rsid w:val="08031A31"/>
    <w:rsid w:val="081A5CC7"/>
    <w:rsid w:val="08A276E5"/>
    <w:rsid w:val="09061A75"/>
    <w:rsid w:val="09182241"/>
    <w:rsid w:val="093C069F"/>
    <w:rsid w:val="09855177"/>
    <w:rsid w:val="09870F93"/>
    <w:rsid w:val="09B66021"/>
    <w:rsid w:val="09F1637C"/>
    <w:rsid w:val="0A25628F"/>
    <w:rsid w:val="0AA534D5"/>
    <w:rsid w:val="0AA650EB"/>
    <w:rsid w:val="0AB8066A"/>
    <w:rsid w:val="0AF47339"/>
    <w:rsid w:val="0AF61D58"/>
    <w:rsid w:val="0B22594B"/>
    <w:rsid w:val="0BC044BE"/>
    <w:rsid w:val="0BDF26F7"/>
    <w:rsid w:val="0C264099"/>
    <w:rsid w:val="0C2B4952"/>
    <w:rsid w:val="0C7B2220"/>
    <w:rsid w:val="0CDB558D"/>
    <w:rsid w:val="0D890E47"/>
    <w:rsid w:val="0DC64A00"/>
    <w:rsid w:val="0DFC60BA"/>
    <w:rsid w:val="0E4249F1"/>
    <w:rsid w:val="0E584B82"/>
    <w:rsid w:val="0F1D2D28"/>
    <w:rsid w:val="0F7C5FF6"/>
    <w:rsid w:val="0FC63FBD"/>
    <w:rsid w:val="106C564D"/>
    <w:rsid w:val="107B7B8F"/>
    <w:rsid w:val="107C67CE"/>
    <w:rsid w:val="109D68CB"/>
    <w:rsid w:val="10A949B8"/>
    <w:rsid w:val="11200D07"/>
    <w:rsid w:val="11DA73AF"/>
    <w:rsid w:val="12C60D80"/>
    <w:rsid w:val="131F7A3A"/>
    <w:rsid w:val="132645D0"/>
    <w:rsid w:val="13455ABC"/>
    <w:rsid w:val="1370322B"/>
    <w:rsid w:val="13B27845"/>
    <w:rsid w:val="141A03E1"/>
    <w:rsid w:val="143B2E0B"/>
    <w:rsid w:val="14672B11"/>
    <w:rsid w:val="14892735"/>
    <w:rsid w:val="14CC769D"/>
    <w:rsid w:val="15D359D7"/>
    <w:rsid w:val="15D81E0F"/>
    <w:rsid w:val="163C77BE"/>
    <w:rsid w:val="1679588C"/>
    <w:rsid w:val="16994962"/>
    <w:rsid w:val="16A71041"/>
    <w:rsid w:val="16AA24BF"/>
    <w:rsid w:val="16F72341"/>
    <w:rsid w:val="17680CAB"/>
    <w:rsid w:val="176E4128"/>
    <w:rsid w:val="1783371F"/>
    <w:rsid w:val="17E62B67"/>
    <w:rsid w:val="180F4499"/>
    <w:rsid w:val="18221ECE"/>
    <w:rsid w:val="19A2789F"/>
    <w:rsid w:val="1A460CF5"/>
    <w:rsid w:val="1A5F25FC"/>
    <w:rsid w:val="1A7F297D"/>
    <w:rsid w:val="1AB16AC1"/>
    <w:rsid w:val="1AF50199"/>
    <w:rsid w:val="1B034A52"/>
    <w:rsid w:val="1B1F34AD"/>
    <w:rsid w:val="1B8D5DC6"/>
    <w:rsid w:val="1BFE1D3B"/>
    <w:rsid w:val="1C2775EC"/>
    <w:rsid w:val="1C37644F"/>
    <w:rsid w:val="1C750ECE"/>
    <w:rsid w:val="1D0836D7"/>
    <w:rsid w:val="1D196139"/>
    <w:rsid w:val="1DB85900"/>
    <w:rsid w:val="1E010AF7"/>
    <w:rsid w:val="1E0178EB"/>
    <w:rsid w:val="1E301173"/>
    <w:rsid w:val="1E38333E"/>
    <w:rsid w:val="1EA40BB4"/>
    <w:rsid w:val="1F43381C"/>
    <w:rsid w:val="1FA4148D"/>
    <w:rsid w:val="20121621"/>
    <w:rsid w:val="201A421D"/>
    <w:rsid w:val="204E554F"/>
    <w:rsid w:val="20590035"/>
    <w:rsid w:val="20FC799E"/>
    <w:rsid w:val="213D2552"/>
    <w:rsid w:val="21571FBC"/>
    <w:rsid w:val="22154DDD"/>
    <w:rsid w:val="22213E42"/>
    <w:rsid w:val="22336873"/>
    <w:rsid w:val="238C2182"/>
    <w:rsid w:val="239015D1"/>
    <w:rsid w:val="23A1490B"/>
    <w:rsid w:val="23B733F8"/>
    <w:rsid w:val="23BB4E7D"/>
    <w:rsid w:val="23C172D6"/>
    <w:rsid w:val="23F04F64"/>
    <w:rsid w:val="24814CBE"/>
    <w:rsid w:val="24984217"/>
    <w:rsid w:val="24AC168B"/>
    <w:rsid w:val="258C3BEC"/>
    <w:rsid w:val="259925C3"/>
    <w:rsid w:val="260E3862"/>
    <w:rsid w:val="262569FC"/>
    <w:rsid w:val="26344C98"/>
    <w:rsid w:val="26A937E2"/>
    <w:rsid w:val="26F56CE2"/>
    <w:rsid w:val="27435D49"/>
    <w:rsid w:val="27A34F71"/>
    <w:rsid w:val="27B36A67"/>
    <w:rsid w:val="27B94504"/>
    <w:rsid w:val="27EB0D9B"/>
    <w:rsid w:val="286602C8"/>
    <w:rsid w:val="28665C95"/>
    <w:rsid w:val="290B3EB9"/>
    <w:rsid w:val="291418C2"/>
    <w:rsid w:val="2950768C"/>
    <w:rsid w:val="297A5FC4"/>
    <w:rsid w:val="2A1113BC"/>
    <w:rsid w:val="2A8D4F8F"/>
    <w:rsid w:val="2A911082"/>
    <w:rsid w:val="2A917B34"/>
    <w:rsid w:val="2AC136A9"/>
    <w:rsid w:val="2AE3766F"/>
    <w:rsid w:val="2B7E4054"/>
    <w:rsid w:val="2BF22742"/>
    <w:rsid w:val="2C987C56"/>
    <w:rsid w:val="2CFF149A"/>
    <w:rsid w:val="2D201865"/>
    <w:rsid w:val="2D4B5CEA"/>
    <w:rsid w:val="2D652658"/>
    <w:rsid w:val="2DC80C49"/>
    <w:rsid w:val="2DCA6355"/>
    <w:rsid w:val="2DF0699F"/>
    <w:rsid w:val="2E166748"/>
    <w:rsid w:val="2E556F01"/>
    <w:rsid w:val="2E8E20B4"/>
    <w:rsid w:val="2ED06066"/>
    <w:rsid w:val="2ED1223D"/>
    <w:rsid w:val="2EE470F7"/>
    <w:rsid w:val="2F000139"/>
    <w:rsid w:val="2F561B8A"/>
    <w:rsid w:val="2F9F42DC"/>
    <w:rsid w:val="2FF37AB3"/>
    <w:rsid w:val="30FF27D2"/>
    <w:rsid w:val="31170995"/>
    <w:rsid w:val="31264A30"/>
    <w:rsid w:val="31786CE7"/>
    <w:rsid w:val="31884E67"/>
    <w:rsid w:val="31A0275E"/>
    <w:rsid w:val="31ED6B08"/>
    <w:rsid w:val="328464CE"/>
    <w:rsid w:val="32AB70C5"/>
    <w:rsid w:val="32B83329"/>
    <w:rsid w:val="32DC33E0"/>
    <w:rsid w:val="335D0AF5"/>
    <w:rsid w:val="3370088C"/>
    <w:rsid w:val="33A3154A"/>
    <w:rsid w:val="33DC2F78"/>
    <w:rsid w:val="3428227C"/>
    <w:rsid w:val="35260F83"/>
    <w:rsid w:val="35602226"/>
    <w:rsid w:val="356B72E7"/>
    <w:rsid w:val="3572424F"/>
    <w:rsid w:val="35FC3844"/>
    <w:rsid w:val="36AD519D"/>
    <w:rsid w:val="36B57705"/>
    <w:rsid w:val="37A103ED"/>
    <w:rsid w:val="37EA5E6E"/>
    <w:rsid w:val="37FF016F"/>
    <w:rsid w:val="38427C0B"/>
    <w:rsid w:val="387C5ABE"/>
    <w:rsid w:val="389B3A1E"/>
    <w:rsid w:val="38EB6119"/>
    <w:rsid w:val="39FE0BE9"/>
    <w:rsid w:val="3A3C1AAF"/>
    <w:rsid w:val="3A51228C"/>
    <w:rsid w:val="3A552E60"/>
    <w:rsid w:val="3A5D642F"/>
    <w:rsid w:val="3AB210FC"/>
    <w:rsid w:val="3AD95C13"/>
    <w:rsid w:val="3B261E51"/>
    <w:rsid w:val="3BCD72F7"/>
    <w:rsid w:val="3C414142"/>
    <w:rsid w:val="3C4C708B"/>
    <w:rsid w:val="3CF737A2"/>
    <w:rsid w:val="3D10295A"/>
    <w:rsid w:val="3E0572FD"/>
    <w:rsid w:val="3E1A5292"/>
    <w:rsid w:val="3E5A7FE7"/>
    <w:rsid w:val="3EC8179E"/>
    <w:rsid w:val="3EF66B2E"/>
    <w:rsid w:val="3F217914"/>
    <w:rsid w:val="3FD70BB0"/>
    <w:rsid w:val="3FFB55AC"/>
    <w:rsid w:val="400A0710"/>
    <w:rsid w:val="401C5F9D"/>
    <w:rsid w:val="401C690C"/>
    <w:rsid w:val="401D7195"/>
    <w:rsid w:val="40CE3DC0"/>
    <w:rsid w:val="40D7455A"/>
    <w:rsid w:val="40E743E5"/>
    <w:rsid w:val="40F939EF"/>
    <w:rsid w:val="4110038E"/>
    <w:rsid w:val="41734CBA"/>
    <w:rsid w:val="41DD7057"/>
    <w:rsid w:val="420F7A65"/>
    <w:rsid w:val="4216611A"/>
    <w:rsid w:val="421D54DE"/>
    <w:rsid w:val="423E300F"/>
    <w:rsid w:val="425656C8"/>
    <w:rsid w:val="4257273C"/>
    <w:rsid w:val="425D7213"/>
    <w:rsid w:val="42677B61"/>
    <w:rsid w:val="42756DB0"/>
    <w:rsid w:val="42B21AD2"/>
    <w:rsid w:val="42BC7497"/>
    <w:rsid w:val="42FD694D"/>
    <w:rsid w:val="434A6D8F"/>
    <w:rsid w:val="43FA5777"/>
    <w:rsid w:val="44044D92"/>
    <w:rsid w:val="441C1611"/>
    <w:rsid w:val="443C440B"/>
    <w:rsid w:val="443F7DBF"/>
    <w:rsid w:val="44514F52"/>
    <w:rsid w:val="448965CB"/>
    <w:rsid w:val="44FA2D53"/>
    <w:rsid w:val="45601DBE"/>
    <w:rsid w:val="4571374F"/>
    <w:rsid w:val="458B1BB0"/>
    <w:rsid w:val="45A51004"/>
    <w:rsid w:val="45C70897"/>
    <w:rsid w:val="4611075B"/>
    <w:rsid w:val="46214818"/>
    <w:rsid w:val="467A0297"/>
    <w:rsid w:val="468B7125"/>
    <w:rsid w:val="46C4691F"/>
    <w:rsid w:val="479D1D34"/>
    <w:rsid w:val="47B609C0"/>
    <w:rsid w:val="482D31EA"/>
    <w:rsid w:val="485970A0"/>
    <w:rsid w:val="486B6F97"/>
    <w:rsid w:val="48A41906"/>
    <w:rsid w:val="48B65C71"/>
    <w:rsid w:val="48F303D7"/>
    <w:rsid w:val="492837FF"/>
    <w:rsid w:val="492E6A57"/>
    <w:rsid w:val="4A0030EE"/>
    <w:rsid w:val="4AC36065"/>
    <w:rsid w:val="4B7501F5"/>
    <w:rsid w:val="4B8C2DEB"/>
    <w:rsid w:val="4B933EB0"/>
    <w:rsid w:val="4BFA3C9F"/>
    <w:rsid w:val="4C0E3379"/>
    <w:rsid w:val="4C107F48"/>
    <w:rsid w:val="4C3277BC"/>
    <w:rsid w:val="4CC353EB"/>
    <w:rsid w:val="4CF36F3C"/>
    <w:rsid w:val="4D4F67BA"/>
    <w:rsid w:val="4D603399"/>
    <w:rsid w:val="4D867EE1"/>
    <w:rsid w:val="4DBC4C65"/>
    <w:rsid w:val="4DBF6FDA"/>
    <w:rsid w:val="4DF6568D"/>
    <w:rsid w:val="4E550010"/>
    <w:rsid w:val="4E5F14CB"/>
    <w:rsid w:val="4F3705F8"/>
    <w:rsid w:val="4FAC3540"/>
    <w:rsid w:val="4FBB12F4"/>
    <w:rsid w:val="4FCF1583"/>
    <w:rsid w:val="4FFA7625"/>
    <w:rsid w:val="501B0BF9"/>
    <w:rsid w:val="502A613B"/>
    <w:rsid w:val="507D2599"/>
    <w:rsid w:val="5096229D"/>
    <w:rsid w:val="50DC4184"/>
    <w:rsid w:val="512765B4"/>
    <w:rsid w:val="51475B39"/>
    <w:rsid w:val="514C3EA7"/>
    <w:rsid w:val="519849E5"/>
    <w:rsid w:val="51B36892"/>
    <w:rsid w:val="52506DA7"/>
    <w:rsid w:val="533B2B84"/>
    <w:rsid w:val="537A7243"/>
    <w:rsid w:val="539C1B81"/>
    <w:rsid w:val="53AE750F"/>
    <w:rsid w:val="53F263AD"/>
    <w:rsid w:val="549A6BFA"/>
    <w:rsid w:val="54E72921"/>
    <w:rsid w:val="55806F07"/>
    <w:rsid w:val="55FA2961"/>
    <w:rsid w:val="565E7F4F"/>
    <w:rsid w:val="56775789"/>
    <w:rsid w:val="56857D06"/>
    <w:rsid w:val="56914056"/>
    <w:rsid w:val="56DB613D"/>
    <w:rsid w:val="57FC2169"/>
    <w:rsid w:val="58096275"/>
    <w:rsid w:val="581C04F1"/>
    <w:rsid w:val="582E6EF7"/>
    <w:rsid w:val="58434392"/>
    <w:rsid w:val="584E30E6"/>
    <w:rsid w:val="59014D02"/>
    <w:rsid w:val="597B384D"/>
    <w:rsid w:val="59996DA8"/>
    <w:rsid w:val="59C30F1B"/>
    <w:rsid w:val="5A0D5854"/>
    <w:rsid w:val="5A20156F"/>
    <w:rsid w:val="5AC7121C"/>
    <w:rsid w:val="5AD90B8D"/>
    <w:rsid w:val="5AE12927"/>
    <w:rsid w:val="5B2243E9"/>
    <w:rsid w:val="5B4E1A44"/>
    <w:rsid w:val="5B666742"/>
    <w:rsid w:val="5B873201"/>
    <w:rsid w:val="5B89551D"/>
    <w:rsid w:val="5B967767"/>
    <w:rsid w:val="5B9E55DE"/>
    <w:rsid w:val="5C286807"/>
    <w:rsid w:val="5C446BC8"/>
    <w:rsid w:val="5C4C687B"/>
    <w:rsid w:val="5C7C2768"/>
    <w:rsid w:val="5C8E7E09"/>
    <w:rsid w:val="5CB23AE6"/>
    <w:rsid w:val="5CF55792"/>
    <w:rsid w:val="5CFD533A"/>
    <w:rsid w:val="5D6C30F3"/>
    <w:rsid w:val="5D893B14"/>
    <w:rsid w:val="5E2B7D62"/>
    <w:rsid w:val="5EA06921"/>
    <w:rsid w:val="5ED5006A"/>
    <w:rsid w:val="5F576E4B"/>
    <w:rsid w:val="5F7A2C30"/>
    <w:rsid w:val="5FBE370A"/>
    <w:rsid w:val="60292845"/>
    <w:rsid w:val="6106615E"/>
    <w:rsid w:val="612E1A5D"/>
    <w:rsid w:val="61816046"/>
    <w:rsid w:val="62391564"/>
    <w:rsid w:val="62816669"/>
    <w:rsid w:val="62BA0953"/>
    <w:rsid w:val="62D03A7C"/>
    <w:rsid w:val="62F16BCB"/>
    <w:rsid w:val="62F648FE"/>
    <w:rsid w:val="63341DB1"/>
    <w:rsid w:val="63A10995"/>
    <w:rsid w:val="63C23EFA"/>
    <w:rsid w:val="64107B50"/>
    <w:rsid w:val="643A070A"/>
    <w:rsid w:val="644C573D"/>
    <w:rsid w:val="648667A7"/>
    <w:rsid w:val="64DB383A"/>
    <w:rsid w:val="65032F85"/>
    <w:rsid w:val="65136B50"/>
    <w:rsid w:val="657E2A35"/>
    <w:rsid w:val="65A94E9D"/>
    <w:rsid w:val="65C60A92"/>
    <w:rsid w:val="662203DD"/>
    <w:rsid w:val="66585B38"/>
    <w:rsid w:val="66DD6702"/>
    <w:rsid w:val="679406CB"/>
    <w:rsid w:val="67C35C0B"/>
    <w:rsid w:val="683276A6"/>
    <w:rsid w:val="68652AB3"/>
    <w:rsid w:val="68AD17BB"/>
    <w:rsid w:val="68D94D22"/>
    <w:rsid w:val="692B2E4A"/>
    <w:rsid w:val="694303FB"/>
    <w:rsid w:val="696A0B34"/>
    <w:rsid w:val="698D6A17"/>
    <w:rsid w:val="69EE3535"/>
    <w:rsid w:val="69F954C1"/>
    <w:rsid w:val="6A2031B6"/>
    <w:rsid w:val="6A2B7533"/>
    <w:rsid w:val="6A440C53"/>
    <w:rsid w:val="6AC61F6F"/>
    <w:rsid w:val="6ADE74F0"/>
    <w:rsid w:val="6B1002C0"/>
    <w:rsid w:val="6B723594"/>
    <w:rsid w:val="6B805156"/>
    <w:rsid w:val="6BD50977"/>
    <w:rsid w:val="6BEA2A9B"/>
    <w:rsid w:val="6C9C0875"/>
    <w:rsid w:val="6CAA3931"/>
    <w:rsid w:val="6D3933CA"/>
    <w:rsid w:val="6D7B61EC"/>
    <w:rsid w:val="6DD049FF"/>
    <w:rsid w:val="6E09491E"/>
    <w:rsid w:val="6E0D3655"/>
    <w:rsid w:val="6E5F4465"/>
    <w:rsid w:val="6E8C54DA"/>
    <w:rsid w:val="6EF11E03"/>
    <w:rsid w:val="6F111C62"/>
    <w:rsid w:val="6F2176E5"/>
    <w:rsid w:val="6F3053CA"/>
    <w:rsid w:val="6F592303"/>
    <w:rsid w:val="6F5F5B74"/>
    <w:rsid w:val="6F9B1C65"/>
    <w:rsid w:val="6FD47A25"/>
    <w:rsid w:val="6FFB146E"/>
    <w:rsid w:val="701A5C74"/>
    <w:rsid w:val="706516C3"/>
    <w:rsid w:val="70896E68"/>
    <w:rsid w:val="715B60E9"/>
    <w:rsid w:val="71EA1FED"/>
    <w:rsid w:val="72C16204"/>
    <w:rsid w:val="730313F6"/>
    <w:rsid w:val="731E1007"/>
    <w:rsid w:val="73370D24"/>
    <w:rsid w:val="7359268C"/>
    <w:rsid w:val="739503EB"/>
    <w:rsid w:val="73A05B28"/>
    <w:rsid w:val="73C07D69"/>
    <w:rsid w:val="74B42AE4"/>
    <w:rsid w:val="750A429D"/>
    <w:rsid w:val="753732A9"/>
    <w:rsid w:val="755D38A7"/>
    <w:rsid w:val="75614792"/>
    <w:rsid w:val="75784473"/>
    <w:rsid w:val="757E044C"/>
    <w:rsid w:val="75977BC3"/>
    <w:rsid w:val="75B161B3"/>
    <w:rsid w:val="75E470E3"/>
    <w:rsid w:val="76736B32"/>
    <w:rsid w:val="76957795"/>
    <w:rsid w:val="76E3765E"/>
    <w:rsid w:val="76FC2AFA"/>
    <w:rsid w:val="77653671"/>
    <w:rsid w:val="778546CC"/>
    <w:rsid w:val="77921197"/>
    <w:rsid w:val="77B56730"/>
    <w:rsid w:val="77C04A8B"/>
    <w:rsid w:val="77D85DB3"/>
    <w:rsid w:val="780252A0"/>
    <w:rsid w:val="78027772"/>
    <w:rsid w:val="78A50513"/>
    <w:rsid w:val="796518DD"/>
    <w:rsid w:val="796E0C55"/>
    <w:rsid w:val="79AA0532"/>
    <w:rsid w:val="79FE1DDD"/>
    <w:rsid w:val="7A075767"/>
    <w:rsid w:val="7A18292C"/>
    <w:rsid w:val="7A212062"/>
    <w:rsid w:val="7A282A11"/>
    <w:rsid w:val="7AC21562"/>
    <w:rsid w:val="7AD474A4"/>
    <w:rsid w:val="7B5350AD"/>
    <w:rsid w:val="7B697C89"/>
    <w:rsid w:val="7B8D34C3"/>
    <w:rsid w:val="7B971D84"/>
    <w:rsid w:val="7BF32F03"/>
    <w:rsid w:val="7C1724A5"/>
    <w:rsid w:val="7C8E3CCF"/>
    <w:rsid w:val="7CA54112"/>
    <w:rsid w:val="7CE50CE4"/>
    <w:rsid w:val="7D260304"/>
    <w:rsid w:val="7D2E5ABF"/>
    <w:rsid w:val="7E2142A2"/>
    <w:rsid w:val="7E4F5384"/>
    <w:rsid w:val="7E5A6DFA"/>
    <w:rsid w:val="7E7B0BF2"/>
    <w:rsid w:val="7E8D75B6"/>
    <w:rsid w:val="7EB2417D"/>
    <w:rsid w:val="7EF760EE"/>
    <w:rsid w:val="7F2A21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7"/>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1"/>
    <w:pPr>
      <w:spacing w:before="161"/>
      <w:ind w:left="120"/>
    </w:pPr>
    <w:rPr>
      <w:rFonts w:ascii="宋体" w:hAnsi="宋体" w:eastAsia="宋体" w:cs="宋体"/>
      <w:sz w:val="24"/>
      <w:lang w:val="zh-CN" w:bidi="zh-CN"/>
    </w:rPr>
  </w:style>
  <w:style w:type="paragraph" w:styleId="3">
    <w:name w:val="Body Text First Indent"/>
    <w:basedOn w:val="2"/>
    <w:unhideWhenUsed/>
    <w:qFormat/>
    <w:uiPriority w:val="99"/>
    <w:pPr>
      <w:ind w:firstLine="420" w:firstLineChars="100"/>
    </w:pPr>
    <w:rPr>
      <w:rFonts w:ascii="Times New Roman" w:hAnsi="Times New Roman" w:cs="Times New Roman"/>
    </w:rPr>
  </w:style>
  <w:style w:type="paragraph" w:styleId="7">
    <w:name w:val="annotation text"/>
    <w:basedOn w:val="1"/>
    <w:link w:val="56"/>
    <w:semiHidden/>
    <w:unhideWhenUsed/>
    <w:qFormat/>
    <w:uiPriority w:val="99"/>
  </w:style>
  <w:style w:type="paragraph" w:styleId="8">
    <w:name w:val="toc 3"/>
    <w:basedOn w:val="1"/>
    <w:next w:val="1"/>
    <w:unhideWhenUsed/>
    <w:qFormat/>
    <w:uiPriority w:val="39"/>
    <w:pPr>
      <w:tabs>
        <w:tab w:val="right" w:leader="dot" w:pos="8296"/>
      </w:tabs>
      <w:ind w:left="838" w:leftChars="381"/>
    </w:pPr>
    <w:rPr>
      <w:sz w:val="21"/>
      <w:szCs w:val="21"/>
    </w:rPr>
  </w:style>
  <w:style w:type="paragraph" w:styleId="9">
    <w:name w:val="Plain Text"/>
    <w:basedOn w:val="1"/>
    <w:link w:val="40"/>
    <w:qFormat/>
    <w:uiPriority w:val="0"/>
    <w:pPr>
      <w:widowControl w:val="0"/>
      <w:adjustRightInd/>
      <w:snapToGrid/>
      <w:spacing w:after="0"/>
      <w:jc w:val="both"/>
    </w:pPr>
    <w:rPr>
      <w:rFonts w:ascii="宋体" w:hAnsi="Courier New" w:eastAsia="宋体" w:cs="Times New Roman"/>
      <w:b/>
      <w:kern w:val="2"/>
      <w:sz w:val="21"/>
      <w:szCs w:val="20"/>
    </w:rPr>
  </w:style>
  <w:style w:type="paragraph" w:styleId="10">
    <w:name w:val="Balloon Text"/>
    <w:basedOn w:val="1"/>
    <w:link w:val="43"/>
    <w:semiHidden/>
    <w:unhideWhenUsed/>
    <w:qFormat/>
    <w:uiPriority w:val="99"/>
    <w:pPr>
      <w:spacing w:after="0"/>
    </w:pPr>
    <w:rPr>
      <w:sz w:val="18"/>
      <w:szCs w:val="18"/>
    </w:rPr>
  </w:style>
  <w:style w:type="paragraph" w:styleId="11">
    <w:name w:val="footer"/>
    <w:basedOn w:val="1"/>
    <w:link w:val="42"/>
    <w:unhideWhenUsed/>
    <w:qFormat/>
    <w:uiPriority w:val="99"/>
    <w:pPr>
      <w:tabs>
        <w:tab w:val="center" w:pos="4153"/>
        <w:tab w:val="right" w:pos="8306"/>
      </w:tabs>
    </w:pPr>
    <w:rPr>
      <w:sz w:val="18"/>
      <w:szCs w:val="18"/>
    </w:rPr>
  </w:style>
  <w:style w:type="paragraph" w:styleId="12">
    <w:name w:val="header"/>
    <w:basedOn w:val="1"/>
    <w:link w:val="41"/>
    <w:unhideWhenUsed/>
    <w:qFormat/>
    <w:uiPriority w:val="99"/>
    <w:pPr>
      <w:pBdr>
        <w:bottom w:val="single" w:color="auto" w:sz="6" w:space="1"/>
      </w:pBdr>
      <w:tabs>
        <w:tab w:val="center" w:pos="4153"/>
        <w:tab w:val="right" w:pos="8306"/>
      </w:tabs>
      <w:jc w:val="center"/>
    </w:pPr>
    <w:rPr>
      <w:sz w:val="18"/>
      <w:szCs w:val="18"/>
    </w:rPr>
  </w:style>
  <w:style w:type="paragraph" w:styleId="13">
    <w:name w:val="toc 1"/>
    <w:basedOn w:val="1"/>
    <w:next w:val="1"/>
    <w:semiHidden/>
    <w:unhideWhenUsed/>
    <w:qFormat/>
    <w:uiPriority w:val="39"/>
  </w:style>
  <w:style w:type="paragraph" w:styleId="14">
    <w:name w:val="toc 4"/>
    <w:basedOn w:val="1"/>
    <w:next w:val="1"/>
    <w:unhideWhenUsed/>
    <w:qFormat/>
    <w:uiPriority w:val="39"/>
    <w:pPr>
      <w:tabs>
        <w:tab w:val="right" w:leader="dot" w:pos="8296"/>
      </w:tabs>
      <w:spacing w:after="120"/>
      <w:ind w:left="1320" w:leftChars="600"/>
    </w:pPr>
  </w:style>
  <w:style w:type="paragraph" w:styleId="15">
    <w:name w:val="footnote text"/>
    <w:basedOn w:val="1"/>
    <w:semiHidden/>
    <w:unhideWhenUsed/>
    <w:qFormat/>
    <w:uiPriority w:val="99"/>
    <w:rPr>
      <w:sz w:val="18"/>
    </w:rPr>
  </w:style>
  <w:style w:type="paragraph" w:styleId="16">
    <w:name w:val="toc 2"/>
    <w:basedOn w:val="1"/>
    <w:next w:val="1"/>
    <w:unhideWhenUsed/>
    <w:qFormat/>
    <w:uiPriority w:val="39"/>
    <w:pPr>
      <w:tabs>
        <w:tab w:val="right" w:leader="dot" w:pos="8296"/>
      </w:tabs>
      <w:spacing w:after="0" w:line="360" w:lineRule="auto"/>
      <w:ind w:left="440" w:leftChars="200"/>
      <w:jc w:val="center"/>
    </w:pPr>
    <w:rPr>
      <w:rFonts w:ascii="宋体" w:hAnsi="宋体" w:eastAsia="宋体"/>
      <w:sz w:val="30"/>
      <w:szCs w:val="30"/>
    </w:rPr>
  </w:style>
  <w:style w:type="paragraph" w:styleId="17">
    <w:name w:val="Normal (Web)"/>
    <w:basedOn w:val="1"/>
    <w:link w:val="45"/>
    <w:qFormat/>
    <w:uiPriority w:val="0"/>
    <w:pPr>
      <w:widowControl w:val="0"/>
      <w:adjustRightInd/>
      <w:snapToGrid/>
      <w:spacing w:after="0"/>
      <w:jc w:val="both"/>
    </w:pPr>
    <w:rPr>
      <w:rFonts w:eastAsia="宋体" w:asciiTheme="minorHAnsi" w:hAnsiTheme="minorHAnsi"/>
      <w:kern w:val="2"/>
      <w:sz w:val="24"/>
      <w:szCs w:val="24"/>
    </w:rPr>
  </w:style>
  <w:style w:type="paragraph" w:styleId="18">
    <w:name w:val="annotation subject"/>
    <w:basedOn w:val="7"/>
    <w:next w:val="7"/>
    <w:link w:val="57"/>
    <w:semiHidden/>
    <w:unhideWhenUsed/>
    <w:qFormat/>
    <w:uiPriority w:val="99"/>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Emphasis"/>
    <w:basedOn w:val="21"/>
    <w:qFormat/>
    <w:uiPriority w:val="20"/>
    <w:rPr>
      <w:i/>
      <w:iCs/>
    </w:rPr>
  </w:style>
  <w:style w:type="character" w:styleId="23">
    <w:name w:val="Hyperlink"/>
    <w:qFormat/>
    <w:uiPriority w:val="99"/>
    <w:rPr>
      <w:rFonts w:hint="eastAsia" w:ascii="宋体" w:hAnsi="宋体" w:eastAsia="宋体" w:cs="宋体"/>
      <w:b/>
      <w:color w:val="0031C1"/>
      <w:kern w:val="0"/>
      <w:sz w:val="18"/>
      <w:szCs w:val="18"/>
      <w:u w:val="none"/>
      <w:lang w:eastAsia="en-US"/>
    </w:rPr>
  </w:style>
  <w:style w:type="character" w:styleId="24">
    <w:name w:val="annotation reference"/>
    <w:basedOn w:val="21"/>
    <w:semiHidden/>
    <w:unhideWhenUsed/>
    <w:qFormat/>
    <w:uiPriority w:val="99"/>
    <w:rPr>
      <w:sz w:val="21"/>
      <w:szCs w:val="21"/>
    </w:rPr>
  </w:style>
  <w:style w:type="character" w:styleId="25">
    <w:name w:val="footnote reference"/>
    <w:basedOn w:val="21"/>
    <w:semiHidden/>
    <w:unhideWhenUsed/>
    <w:qFormat/>
    <w:uiPriority w:val="99"/>
    <w:rPr>
      <w:vertAlign w:val="superscript"/>
    </w:rPr>
  </w:style>
  <w:style w:type="character" w:customStyle="1" w:styleId="26">
    <w:name w:val="标题 2 字符"/>
    <w:basedOn w:val="21"/>
    <w:link w:val="4"/>
    <w:qFormat/>
    <w:uiPriority w:val="9"/>
    <w:rPr>
      <w:rFonts w:asciiTheme="majorHAnsi" w:hAnsiTheme="majorHAnsi" w:eastAsiaTheme="majorEastAsia" w:cstheme="majorBidi"/>
      <w:b/>
      <w:bCs/>
      <w:sz w:val="32"/>
      <w:szCs w:val="32"/>
    </w:rPr>
  </w:style>
  <w:style w:type="character" w:customStyle="1" w:styleId="27">
    <w:name w:val="标题 3 字符"/>
    <w:basedOn w:val="21"/>
    <w:link w:val="5"/>
    <w:qFormat/>
    <w:uiPriority w:val="9"/>
    <w:rPr>
      <w:rFonts w:ascii="Tahoma" w:hAnsi="Tahoma"/>
      <w:b/>
      <w:bCs/>
      <w:sz w:val="32"/>
      <w:szCs w:val="32"/>
    </w:rPr>
  </w:style>
  <w:style w:type="paragraph" w:styleId="28">
    <w:name w:val="List Paragraph"/>
    <w:basedOn w:val="1"/>
    <w:qFormat/>
    <w:uiPriority w:val="34"/>
    <w:pPr>
      <w:ind w:firstLine="420" w:firstLineChars="200"/>
    </w:pPr>
  </w:style>
  <w:style w:type="character" w:customStyle="1" w:styleId="29">
    <w:name w:val="标题 4 字符"/>
    <w:basedOn w:val="21"/>
    <w:link w:val="6"/>
    <w:qFormat/>
    <w:uiPriority w:val="9"/>
    <w:rPr>
      <w:rFonts w:asciiTheme="majorHAnsi" w:hAnsiTheme="majorHAnsi" w:eastAsiaTheme="majorEastAsia" w:cstheme="majorBidi"/>
      <w:b/>
      <w:bCs/>
      <w:sz w:val="28"/>
      <w:szCs w:val="28"/>
    </w:rPr>
  </w:style>
  <w:style w:type="character" w:customStyle="1" w:styleId="30">
    <w:name w:val="正文缩进2格 Char"/>
    <w:link w:val="31"/>
    <w:qFormat/>
    <w:uiPriority w:val="0"/>
    <w:rPr>
      <w:rFonts w:ascii="仿宋_GB2312" w:hAnsi="宋体" w:eastAsia="仿宋_GB2312"/>
      <w:kern w:val="2"/>
      <w:sz w:val="31"/>
    </w:rPr>
  </w:style>
  <w:style w:type="paragraph" w:customStyle="1" w:styleId="31">
    <w:name w:val="正文缩进2格"/>
    <w:basedOn w:val="1"/>
    <w:link w:val="30"/>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32">
    <w:name w:val="正文缩进4格"/>
    <w:basedOn w:val="31"/>
    <w:qFormat/>
    <w:uiPriority w:val="0"/>
    <w:pPr>
      <w:ind w:left="2" w:firstLine="538" w:firstLineChars="192"/>
    </w:pPr>
    <w:rPr>
      <w:color w:val="0000FF"/>
      <w:sz w:val="28"/>
    </w:rPr>
  </w:style>
  <w:style w:type="character" w:customStyle="1" w:styleId="33">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34">
    <w:name w:val="_Style 3"/>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character" w:customStyle="1" w:styleId="35">
    <w:name w:val="标题1"/>
    <w:qFormat/>
    <w:uiPriority w:val="0"/>
    <w:rPr>
      <w:rFonts w:ascii="Times New Roman" w:hAnsi="Times New Roman" w:eastAsia="宋体" w:cs="Times New Roman"/>
      <w:b/>
      <w:kern w:val="0"/>
      <w:sz w:val="24"/>
      <w:szCs w:val="20"/>
      <w:lang w:eastAsia="en-US"/>
    </w:rPr>
  </w:style>
  <w:style w:type="character" w:customStyle="1" w:styleId="36">
    <w:name w:val="标题 3.1 Char"/>
    <w:link w:val="37"/>
    <w:qFormat/>
    <w:uiPriority w:val="0"/>
    <w:rPr>
      <w:rFonts w:ascii="宋体" w:hAnsi="宋体" w:eastAsia="宋体"/>
      <w:b/>
      <w:color w:val="FF0000"/>
      <w:kern w:val="2"/>
      <w:sz w:val="32"/>
    </w:rPr>
  </w:style>
  <w:style w:type="paragraph" w:customStyle="1" w:styleId="37">
    <w:name w:val="标题 3.1"/>
    <w:basedOn w:val="5"/>
    <w:link w:val="36"/>
    <w:qFormat/>
    <w:uiPriority w:val="0"/>
    <w:pPr>
      <w:widowControl w:val="0"/>
      <w:tabs>
        <w:tab w:val="left" w:pos="1440"/>
        <w:tab w:val="left" w:pos="1620"/>
      </w:tabs>
      <w:adjustRightInd/>
      <w:snapToGrid/>
      <w:spacing w:line="600" w:lineRule="exact"/>
      <w:jc w:val="both"/>
    </w:pPr>
    <w:rPr>
      <w:rFonts w:ascii="宋体" w:hAnsi="宋体" w:eastAsia="宋体"/>
      <w:bCs w:val="0"/>
      <w:color w:val="FF0000"/>
      <w:kern w:val="2"/>
      <w:szCs w:val="22"/>
    </w:rPr>
  </w:style>
  <w:style w:type="character" w:customStyle="1" w:styleId="38">
    <w:name w:val="样式 楷体_GB2312 小四"/>
    <w:qFormat/>
    <w:uiPriority w:val="0"/>
    <w:rPr>
      <w:rFonts w:ascii="楷体_GB2312" w:hAnsi="楷体_GB2312" w:eastAsia="仿宋_GB2312"/>
      <w:sz w:val="24"/>
    </w:rPr>
  </w:style>
  <w:style w:type="character" w:customStyle="1" w:styleId="39">
    <w:name w:val="纯文本 Char"/>
    <w:qFormat/>
    <w:uiPriority w:val="0"/>
    <w:rPr>
      <w:rFonts w:ascii="宋体" w:hAnsi="Courier New" w:eastAsia="宋体" w:cs="Times New Roman"/>
      <w:b/>
      <w:kern w:val="2"/>
      <w:sz w:val="21"/>
      <w:szCs w:val="20"/>
    </w:rPr>
  </w:style>
  <w:style w:type="character" w:customStyle="1" w:styleId="40">
    <w:name w:val="纯文本 字符"/>
    <w:basedOn w:val="21"/>
    <w:link w:val="9"/>
    <w:semiHidden/>
    <w:qFormat/>
    <w:uiPriority w:val="99"/>
    <w:rPr>
      <w:rFonts w:ascii="宋体" w:hAnsi="Courier New" w:eastAsia="宋体" w:cs="Courier New"/>
      <w:sz w:val="21"/>
      <w:szCs w:val="21"/>
    </w:rPr>
  </w:style>
  <w:style w:type="character" w:customStyle="1" w:styleId="41">
    <w:name w:val="页眉 字符"/>
    <w:basedOn w:val="21"/>
    <w:link w:val="12"/>
    <w:qFormat/>
    <w:uiPriority w:val="99"/>
    <w:rPr>
      <w:rFonts w:ascii="Tahoma" w:hAnsi="Tahoma"/>
      <w:sz w:val="18"/>
      <w:szCs w:val="18"/>
    </w:rPr>
  </w:style>
  <w:style w:type="character" w:customStyle="1" w:styleId="42">
    <w:name w:val="页脚 字符"/>
    <w:basedOn w:val="21"/>
    <w:link w:val="11"/>
    <w:qFormat/>
    <w:uiPriority w:val="99"/>
    <w:rPr>
      <w:rFonts w:ascii="Tahoma" w:hAnsi="Tahoma"/>
      <w:sz w:val="18"/>
      <w:szCs w:val="18"/>
    </w:rPr>
  </w:style>
  <w:style w:type="character" w:customStyle="1" w:styleId="43">
    <w:name w:val="批注框文本 字符"/>
    <w:basedOn w:val="21"/>
    <w:link w:val="10"/>
    <w:semiHidden/>
    <w:qFormat/>
    <w:uiPriority w:val="99"/>
    <w:rPr>
      <w:rFonts w:ascii="Tahoma" w:hAnsi="Tahoma"/>
      <w:sz w:val="18"/>
      <w:szCs w:val="18"/>
    </w:rPr>
  </w:style>
  <w:style w:type="paragraph" w:customStyle="1" w:styleId="44">
    <w:name w:val="Char Char2 Char"/>
    <w:basedOn w:val="1"/>
    <w:qFormat/>
    <w:uiPriority w:val="0"/>
    <w:pPr>
      <w:widowControl w:val="0"/>
      <w:adjustRightInd/>
      <w:snapToGrid/>
      <w:spacing w:after="0"/>
      <w:jc w:val="both"/>
    </w:pPr>
    <w:rPr>
      <w:rFonts w:ascii="宋体" w:hAnsi="宋体" w:eastAsia="宋体" w:cs="Times New Roman"/>
      <w:b/>
      <w:kern w:val="2"/>
      <w:sz w:val="28"/>
      <w:szCs w:val="28"/>
    </w:rPr>
  </w:style>
  <w:style w:type="character" w:customStyle="1" w:styleId="45">
    <w:name w:val="普通(网站) 字符"/>
    <w:link w:val="17"/>
    <w:qFormat/>
    <w:uiPriority w:val="0"/>
    <w:rPr>
      <w:rFonts w:eastAsia="宋体"/>
      <w:kern w:val="2"/>
      <w:sz w:val="24"/>
      <w:szCs w:val="24"/>
    </w:rPr>
  </w:style>
  <w:style w:type="paragraph" w:customStyle="1" w:styleId="46">
    <w:name w:val="列出段落1"/>
    <w:basedOn w:val="1"/>
    <w:qFormat/>
    <w:uiPriority w:val="99"/>
    <w:pPr>
      <w:widowControl w:val="0"/>
      <w:adjustRightInd/>
      <w:snapToGrid/>
      <w:spacing w:after="0" w:line="360" w:lineRule="auto"/>
      <w:ind w:firstLine="420" w:firstLineChars="200"/>
      <w:jc w:val="both"/>
    </w:pPr>
    <w:rPr>
      <w:rFonts w:ascii="Times New Roman" w:hAnsi="Times New Roman" w:eastAsia="宋体" w:cs="Times New Roman"/>
      <w:kern w:val="2"/>
      <w:sz w:val="24"/>
      <w:szCs w:val="24"/>
    </w:rPr>
  </w:style>
  <w:style w:type="character" w:customStyle="1" w:styleId="47">
    <w:name w:val="p141"/>
    <w:qFormat/>
    <w:uiPriority w:val="0"/>
    <w:rPr>
      <w:sz w:val="21"/>
      <w:szCs w:val="21"/>
    </w:rPr>
  </w:style>
  <w:style w:type="character" w:customStyle="1" w:styleId="48">
    <w:name w:val="font31"/>
    <w:basedOn w:val="21"/>
    <w:qFormat/>
    <w:uiPriority w:val="0"/>
    <w:rPr>
      <w:rFonts w:hint="eastAsia" w:ascii="仿宋" w:hAnsi="仿宋" w:eastAsia="仿宋" w:cs="仿宋"/>
      <w:color w:val="000000"/>
      <w:sz w:val="18"/>
      <w:szCs w:val="18"/>
      <w:u w:val="none"/>
    </w:rPr>
  </w:style>
  <w:style w:type="character" w:customStyle="1" w:styleId="49">
    <w:name w:val="font81"/>
    <w:basedOn w:val="21"/>
    <w:qFormat/>
    <w:uiPriority w:val="0"/>
    <w:rPr>
      <w:rFonts w:hint="eastAsia" w:ascii="仿宋" w:hAnsi="仿宋" w:eastAsia="仿宋" w:cs="仿宋"/>
      <w:color w:val="FF0000"/>
      <w:sz w:val="18"/>
      <w:szCs w:val="18"/>
      <w:u w:val="none"/>
    </w:rPr>
  </w:style>
  <w:style w:type="character" w:customStyle="1" w:styleId="50">
    <w:name w:val="font112"/>
    <w:basedOn w:val="21"/>
    <w:qFormat/>
    <w:uiPriority w:val="0"/>
    <w:rPr>
      <w:rFonts w:ascii="Cambria" w:hAnsi="Cambria" w:eastAsia="Cambria" w:cs="Cambria"/>
      <w:color w:val="000000"/>
      <w:sz w:val="18"/>
      <w:szCs w:val="18"/>
      <w:u w:val="none"/>
    </w:rPr>
  </w:style>
  <w:style w:type="character" w:customStyle="1" w:styleId="51">
    <w:name w:val="font11"/>
    <w:basedOn w:val="21"/>
    <w:qFormat/>
    <w:uiPriority w:val="0"/>
    <w:rPr>
      <w:rFonts w:ascii="Calibri" w:hAnsi="Calibri" w:cs="Calibri"/>
      <w:color w:val="000000"/>
      <w:sz w:val="18"/>
      <w:szCs w:val="18"/>
      <w:u w:val="none"/>
    </w:rPr>
  </w:style>
  <w:style w:type="character" w:customStyle="1" w:styleId="52">
    <w:name w:val="font41"/>
    <w:basedOn w:val="21"/>
    <w:qFormat/>
    <w:uiPriority w:val="0"/>
    <w:rPr>
      <w:rFonts w:hint="eastAsia" w:ascii="仿宋" w:hAnsi="仿宋" w:eastAsia="仿宋" w:cs="仿宋"/>
      <w:color w:val="000000"/>
      <w:sz w:val="18"/>
      <w:szCs w:val="18"/>
      <w:u w:val="none"/>
    </w:rPr>
  </w:style>
  <w:style w:type="character" w:customStyle="1" w:styleId="53">
    <w:name w:val="font121"/>
    <w:basedOn w:val="21"/>
    <w:qFormat/>
    <w:uiPriority w:val="0"/>
    <w:rPr>
      <w:rFonts w:hint="default" w:ascii="Calibri" w:hAnsi="Calibri" w:cs="Calibri"/>
      <w:color w:val="000000"/>
      <w:sz w:val="18"/>
      <w:szCs w:val="18"/>
      <w:u w:val="none"/>
    </w:rPr>
  </w:style>
  <w:style w:type="character" w:customStyle="1" w:styleId="54">
    <w:name w:val="font131"/>
    <w:basedOn w:val="21"/>
    <w:qFormat/>
    <w:uiPriority w:val="0"/>
    <w:rPr>
      <w:rFonts w:ascii="Malgun Gothic" w:hAnsi="Malgun Gothic" w:eastAsia="Malgun Gothic" w:cs="Malgun Gothic"/>
      <w:color w:val="000000"/>
      <w:sz w:val="18"/>
      <w:szCs w:val="18"/>
      <w:u w:val="none"/>
    </w:rPr>
  </w:style>
  <w:style w:type="character" w:customStyle="1" w:styleId="55">
    <w:name w:val="font141"/>
    <w:basedOn w:val="21"/>
    <w:qFormat/>
    <w:uiPriority w:val="0"/>
    <w:rPr>
      <w:rFonts w:ascii="Segoe UI Emoji" w:hAnsi="Segoe UI Emoji" w:eastAsia="Segoe UI Emoji" w:cs="Segoe UI Emoji"/>
      <w:color w:val="000000"/>
      <w:sz w:val="18"/>
      <w:szCs w:val="18"/>
      <w:u w:val="none"/>
    </w:rPr>
  </w:style>
  <w:style w:type="character" w:customStyle="1" w:styleId="56">
    <w:name w:val="批注文字 字符"/>
    <w:basedOn w:val="21"/>
    <w:link w:val="7"/>
    <w:semiHidden/>
    <w:qFormat/>
    <w:uiPriority w:val="99"/>
    <w:rPr>
      <w:rFonts w:ascii="Tahoma" w:hAnsi="Tahoma" w:eastAsia="微软雅黑" w:cstheme="minorBidi"/>
      <w:sz w:val="22"/>
      <w:szCs w:val="22"/>
    </w:rPr>
  </w:style>
  <w:style w:type="character" w:customStyle="1" w:styleId="57">
    <w:name w:val="批注主题 字符"/>
    <w:basedOn w:val="56"/>
    <w:link w:val="18"/>
    <w:semiHidden/>
    <w:qFormat/>
    <w:uiPriority w:val="99"/>
    <w:rPr>
      <w:rFonts w:ascii="Tahoma" w:hAnsi="Tahoma" w:eastAsia="微软雅黑" w:cstheme="minorBidi"/>
      <w:b/>
      <w:bCs/>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6BD83C-2A9B-4E6F-A772-FE212356A246}">
  <ds:schemaRefs/>
</ds:datastoreItem>
</file>

<file path=docProps/app.xml><?xml version="1.0" encoding="utf-8"?>
<Properties xmlns="http://schemas.openxmlformats.org/officeDocument/2006/extended-properties" xmlns:vt="http://schemas.openxmlformats.org/officeDocument/2006/docPropsVTypes">
  <Template>Normal.dotm</Template>
  <Manager>HLR</Manager>
  <Company>广东三方诚信招标有限公司东莞分公司</Company>
  <Pages>85</Pages>
  <Words>7479</Words>
  <Characters>42635</Characters>
  <Lines>355</Lines>
  <Paragraphs>100</Paragraphs>
  <TotalTime>11</TotalTime>
  <ScaleCrop>false</ScaleCrop>
  <LinksUpToDate>false</LinksUpToDate>
  <CharactersWithSpaces>50014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文件</cp:category>
  <dcterms:created xsi:type="dcterms:W3CDTF">2021-03-23T07:09:00Z</dcterms:created>
  <dc:creator>广东三方诚信招标有限公司东莞分公司</dc:creator>
  <cp:keywords>文件格式版本</cp:keywords>
  <cp:lastModifiedBy>嗨呀</cp:lastModifiedBy>
  <cp:lastPrinted>2019-04-01T01:49:00Z</cp:lastPrinted>
  <dcterms:modified xsi:type="dcterms:W3CDTF">2021-04-09T10:42:02Z</dcterms:modified>
  <dc:subject>公开招标文件版本</dc:subject>
  <dc:title>公开招标文件版本</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0DD67565D3504FDBBA3F7E8C5A43C518</vt:lpwstr>
  </property>
</Properties>
</file>