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95"/>
      <w:bookmarkStart w:id="1" w:name="bookmark93"/>
      <w:bookmarkStart w:id="2" w:name="bookmark94"/>
      <w:r>
        <w:rPr>
          <w:color w:val="000000"/>
          <w:spacing w:val="0"/>
          <w:w w:val="100"/>
          <w:position w:val="0"/>
        </w:rPr>
        <w:t>协议供货执行规程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、适用范围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服务器、台式计算机、便携式计算机、喷墨打印机、激光打 印机、针式打印机、复印机、投影仪、通用照相机、速印机、乘 用车（轿车）、客车、电梯、空调机、视频会议系统设备、通用 摄像机、家具用具、装修工程、修缮工程、印刷服务。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二、米购程序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55"/>
        </w:tabs>
        <w:bidi w:val="0"/>
        <w:spacing w:before="0" w:after="0" w:line="603" w:lineRule="exact"/>
        <w:ind w:left="0" w:right="0" w:firstLine="800"/>
        <w:jc w:val="both"/>
      </w:pPr>
      <w:bookmarkStart w:id="3" w:name="bookmark96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采购计划备案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160" w:right="0" w:firstLine="540"/>
        <w:jc w:val="both"/>
      </w:pPr>
      <w:r>
        <w:rPr>
          <w:color w:val="000000"/>
          <w:spacing w:val="0"/>
          <w:w w:val="100"/>
          <w:position w:val="0"/>
        </w:rPr>
        <w:t>实行协议供货的项目，采购人应通过东莞市政府采购系统 （以下简称采购系统）编制协议供货采购计划，并完成计划备案。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55"/>
        </w:tabs>
        <w:bidi w:val="0"/>
        <w:spacing w:before="0" w:after="0" w:line="608" w:lineRule="exact"/>
        <w:ind w:left="0" w:right="0" w:firstLine="800"/>
        <w:jc w:val="both"/>
      </w:pPr>
      <w:bookmarkStart w:id="4" w:name="bookmark97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确定采购需求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采购人应按采购系统中的采购需求模板确定采购需求，工 程类项目原则上应明确具体的工程量清单。采购需求应合规、 完整、明确，采购人对采购需求的完整性及合规性负责。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55"/>
        </w:tabs>
        <w:bidi w:val="0"/>
        <w:spacing w:before="0" w:after="0" w:line="608" w:lineRule="exact"/>
        <w:ind w:left="0" w:right="0" w:firstLine="800"/>
        <w:jc w:val="both"/>
      </w:pPr>
      <w:bookmarkStart w:id="5" w:name="bookmark98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选择成交方式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采购人应通过采购系统选择协议供货成交方式。协议供货成 交方式包括议价和竞价两种方式，采购人可以根据实际情况自行 选择。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.议价</w:t>
      </w:r>
      <w:r>
        <w:rPr>
          <w:color w:val="000000"/>
          <w:spacing w:val="0"/>
          <w:w w:val="100"/>
          <w:position w:val="0"/>
        </w:rPr>
        <w:t>方式。采购人在协议供应商库中自行选择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家供应商 进行议价。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.竞</w:t>
      </w:r>
      <w:r>
        <w:rPr>
          <w:color w:val="000000"/>
          <w:spacing w:val="0"/>
          <w:w w:val="100"/>
          <w:position w:val="0"/>
        </w:rPr>
        <w:t>价方式（竞价方式不适用于乘用车（轿车）、客车、电 梯项目）。采购人可以自行决定采用自行选择、系统随机选择、 自行选择+系统随机选择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 xml:space="preserve">种模式，通过协议供应商库选择不少于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家供应商后，发出竞价邀请。竞价期间，采购人因故取消采购 任务或修改采购需求的，应及时终止竞价。竞价时间截止后，不 得终止竞价。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48"/>
        </w:tabs>
        <w:bidi w:val="0"/>
        <w:spacing w:before="0" w:after="0" w:line="599" w:lineRule="exact"/>
        <w:ind w:left="0" w:right="0" w:firstLine="800"/>
        <w:jc w:val="both"/>
      </w:pPr>
      <w:bookmarkStart w:id="6" w:name="bookmark9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确定成交供应商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.议价</w:t>
      </w:r>
      <w:r>
        <w:rPr>
          <w:color w:val="000000"/>
          <w:spacing w:val="0"/>
          <w:w w:val="100"/>
          <w:position w:val="0"/>
        </w:rPr>
        <w:t>方式。协议供应商应在满足采购需求的前提下报价， 采购人可以根据报价响应情况确定成交供应商。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4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.竞价</w:t>
      </w:r>
      <w:r>
        <w:rPr>
          <w:color w:val="000000"/>
          <w:spacing w:val="0"/>
          <w:w w:val="100"/>
          <w:position w:val="0"/>
        </w:rPr>
        <w:t>方式。发出竞价邀请后，协议供应商应在满足采购需 求的前提下，在规定时间内一次报出不得更改的价格。报价结束 后，采购人按照满足采购需求且报价最低的原则确定成交供应 商；报价相同的，报价时间最早的排序第一；报价及报价时间相 同的，采购人自行确定。满足竞价需求且报价的供应商不足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家 的，协议竞价失败。竞价结束后，系统将向采购人及竞价供应商 推送竞价结果。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协议竞价失败的，采购人可以采用其他电子化采购模式或实 行自主采购，也可以重新组织竞价实施采购。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48"/>
        </w:tabs>
        <w:bidi w:val="0"/>
        <w:spacing w:before="0" w:after="0" w:line="599" w:lineRule="exact"/>
        <w:ind w:left="0" w:right="0" w:firstLine="800"/>
        <w:jc w:val="both"/>
      </w:pPr>
      <w:bookmarkStart w:id="7" w:name="bookmark10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合同签订和备案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9" w:lineRule="exact"/>
        <w:ind w:left="0" w:right="0" w:firstLine="640"/>
        <w:jc w:val="both"/>
        <w:sectPr>
          <w:footnotePr>
            <w:numFmt w:val="decimal"/>
          </w:footnotePr>
          <w:pgSz w:w="11900" w:h="16840"/>
          <w:pgMar w:top="2090" w:right="1510" w:bottom="1856" w:left="146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采购人应在确定成交供应商后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个工作日内通过采购系统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确认合同，并完成合同备案和公开。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48"/>
        </w:tabs>
        <w:bidi w:val="0"/>
        <w:spacing w:before="0" w:after="0" w:line="606" w:lineRule="exact"/>
        <w:ind w:left="0" w:right="0" w:firstLine="700"/>
        <w:jc w:val="both"/>
      </w:pPr>
      <w:bookmarkStart w:id="8" w:name="bookmark10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履约验收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成交供应商应按照报价响应和采购合同履约。采购人应依照 合同条款及时进行验收。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48"/>
        </w:tabs>
        <w:bidi w:val="0"/>
        <w:spacing w:before="0" w:after="0" w:line="612" w:lineRule="exact"/>
        <w:ind w:left="0" w:right="0" w:firstLine="700"/>
        <w:jc w:val="both"/>
      </w:pPr>
      <w:bookmarkStart w:id="9" w:name="bookmark10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货款支付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采购人完成验收后，应在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个工作日内按照财政资金管理相 关规定支付货款。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48"/>
        </w:tabs>
        <w:bidi w:val="0"/>
        <w:spacing w:before="0" w:after="0" w:line="606" w:lineRule="exact"/>
        <w:ind w:left="0" w:right="0" w:firstLine="700"/>
        <w:jc w:val="both"/>
      </w:pPr>
      <w:bookmarkStart w:id="10" w:name="bookmark10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评价反馈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采购人应通过采购系统对协议供应商进行评价，反馈履约 过程中出现的问题。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三、其他事项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603" w:lineRule="exact"/>
        <w:ind w:left="0" w:right="0" w:firstLine="760"/>
        <w:jc w:val="both"/>
      </w:pPr>
      <w:bookmarkStart w:id="11" w:name="bookmark10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协议供应商由市公共资源交易中心公开征集入库。符 合资格条件的供应商可以在每月份前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个工作日向市公共资源 交易中心申请入库。协议供货商名单可以通过东莞市政府采购网 首页“协议供应商库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”查</w:t>
      </w:r>
      <w:r>
        <w:rPr>
          <w:color w:val="000000"/>
          <w:spacing w:val="0"/>
          <w:w w:val="100"/>
          <w:position w:val="0"/>
        </w:rPr>
        <w:t>询。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606" w:lineRule="exact"/>
        <w:ind w:left="0" w:right="0" w:firstLine="760"/>
        <w:jc w:val="both"/>
      </w:pPr>
      <w:bookmarkStart w:id="12" w:name="bookmark10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采购人在执行采购活动中，如发生成交供应商不按合 同约定供货、产品质量或售后服务不合格等问题，请与市公共资 源交易中心联系（联系电话: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28330629. </w:t>
      </w:r>
      <w:r>
        <w:rPr>
          <w:b/>
          <w:bCs/>
          <w:color w:val="000000"/>
          <w:spacing w:val="0"/>
          <w:w w:val="100"/>
          <w:position w:val="0"/>
        </w:rPr>
        <w:t xml:space="preserve">28330636&gt; 23668507 </w:t>
      </w:r>
      <w:r>
        <w:rPr>
          <w:color w:val="000000"/>
          <w:spacing w:val="0"/>
          <w:w w:val="100"/>
          <w:position w:val="0"/>
        </w:rPr>
        <w:t>）; 遇到系统技术问题，请与系统技术人员联系（联系人：袁工、柳 工，联系电话：</w:t>
      </w:r>
      <w:r>
        <w:rPr>
          <w:b/>
          <w:bCs/>
          <w:color w:val="000000"/>
          <w:spacing w:val="0"/>
          <w:w w:val="100"/>
          <w:position w:val="0"/>
        </w:rPr>
        <w:t>22831015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22830540</w:t>
      </w:r>
      <w:r>
        <w:rPr>
          <w:color w:val="000000"/>
          <w:spacing w:val="0"/>
          <w:w w:val="100"/>
          <w:position w:val="0"/>
        </w:rPr>
        <w:t>）;如遇政策问题，市直 单位请联系市财政局政府采购监管科（联系电话：</w:t>
      </w:r>
      <w:r>
        <w:rPr>
          <w:b/>
          <w:bCs/>
          <w:color w:val="000000"/>
          <w:spacing w:val="0"/>
          <w:w w:val="100"/>
          <w:position w:val="0"/>
        </w:rPr>
        <w:t>22831132</w:t>
      </w:r>
      <w:r>
        <w:rPr>
          <w:color w:val="000000"/>
          <w:spacing w:val="0"/>
          <w:w w:val="100"/>
          <w:position w:val="0"/>
        </w:rPr>
        <w:t>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0"/>
        <w:jc w:val="left"/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type w:val="continuous"/>
          <w:pgSz w:w="11900" w:h="16840"/>
          <w:pgMar w:top="2090" w:right="1510" w:bottom="1856" w:left="1462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22831131. 22831025. 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 xml:space="preserve">22830161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）,</w:t>
      </w:r>
      <w:r>
        <w:rPr>
          <w:color w:val="000000"/>
          <w:spacing w:val="0"/>
          <w:w w:val="100"/>
          <w:position w:val="0"/>
        </w:rPr>
        <w:t>镇（街道、园区）单位请联 系当地财政部门。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2" w:after="5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090" w:right="0" w:bottom="185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东莞市财政局办公室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090" w:right="1889" w:bottom="1856" w:left="1788" w:header="0" w:footer="3" w:gutter="0"/>
          <w:cols w:space="2952" w:num="2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9</w:t>
      </w:r>
      <w:r>
        <w:rPr>
          <w:color w:val="000000"/>
          <w:spacing w:val="0"/>
          <w:w w:val="100"/>
          <w:position w:val="0"/>
        </w:rPr>
        <w:t>日印发</w:t>
      </w: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5939155</wp:posOffset>
              </wp:positionH>
              <wp:positionV relativeFrom="page">
                <wp:posOffset>9772015</wp:posOffset>
              </wp:positionV>
              <wp:extent cx="507365" cy="11874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3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—25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467.65pt;margin-top:769.45pt;height:9.35pt;width:39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cK/AXZAAAADgEAAA8AAAAAAAAAAQAgAAAAIgAAAGRycy9k&#10;b3ducmV2LnhtbFBLAQIUABQAAAAIAIdO4kB4smvsjwEAACM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—25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9758045</wp:posOffset>
              </wp:positionV>
              <wp:extent cx="502920" cy="12319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-26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83.35pt;margin-top:768.35pt;height:9.7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8avmY1wAAAA0BAAAPAAAAAAAAAAEAIAAAACIAAABkcnMv&#10;ZG93bnJldi54bWxQSwECFAAUAAAACACHTuJAOoj9HpIBAAAj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-26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78AE"/>
    <w:rsid w:val="0CC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40" w:line="637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2020-09-24T08:17:00Z</dcterms:created>
  <dc:creator>英子小盆友</dc:creator>
  <cp:lastModifiedBy>英子小盆友</cp:lastModifiedBy>
  <dcterms:modified xsi:type="dcterms:W3CDTF">2020-09-24T08:17:31Z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