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6"/>
        <w:ind w:firstLine="240"/>
        <w:rPr>
          <w:rFonts w:ascii="黑体" w:eastAsia="黑体"/>
          <w:color w:val="auto"/>
          <w:szCs w:val="21"/>
          <w:highlight w:val="none"/>
        </w:rPr>
      </w:pPr>
    </w:p>
    <w:p>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GDZT2023168A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东莞市德懋机电有限公司增资扩产2000kVA安装项目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东莞市石排镇下沙刘屋股份经济合作社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3"/>
        <w:ind w:left="0" w:leftChars="0"/>
        <w:rPr>
          <w:color w:val="auto"/>
          <w:sz w:val="40"/>
          <w:szCs w:val="40"/>
          <w:highlight w:val="none"/>
        </w:rPr>
      </w:pPr>
      <w:r>
        <w:rPr>
          <w:rFonts w:hint="eastAsia"/>
          <w:color w:val="auto"/>
          <w:sz w:val="40"/>
          <w:szCs w:val="40"/>
          <w:highlight w:val="none"/>
        </w:rPr>
        <w:t>目录</w:t>
      </w:r>
    </w:p>
    <w:p>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东莞市石排镇下沙刘屋股份经济合作社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东莞市德懋机电有限公司增资扩产2000kVA安装项目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GDZT2023168A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东莞市德懋机电有限公司增资扩产2000kVA安装项目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653"/>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3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9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东莞市德懋机电有限公司增资扩产2000kVA安装项目</w:t>
            </w:r>
          </w:p>
        </w:tc>
        <w:tc>
          <w:tcPr>
            <w:tcW w:w="43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193"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1,725,398.59</w:t>
            </w:r>
            <w:r>
              <w:rPr>
                <w:rFonts w:hint="eastAsia" w:ascii="宋体" w:hAnsi="宋体"/>
                <w:color w:val="auto"/>
                <w:szCs w:val="21"/>
                <w:highlight w:val="none"/>
              </w:rPr>
              <w:t>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日起至</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10</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日起至</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10</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0～1</w:t>
      </w:r>
      <w:r>
        <w:rPr>
          <w:rFonts w:hint="eastAsia" w:ascii="宋体" w:hAnsi="宋体"/>
          <w:bCs/>
          <w:color w:val="auto"/>
          <w:szCs w:val="21"/>
          <w:highlight w:val="none"/>
          <w:lang w:val="en-US" w:eastAsia="zh-CN"/>
        </w:rPr>
        <w:t>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午1</w:t>
      </w:r>
      <w:r>
        <w:rPr>
          <w:rFonts w:hint="eastAsia" w:ascii="宋体" w:hAnsi="宋体"/>
          <w:bCs/>
          <w:color w:val="auto"/>
          <w:szCs w:val="21"/>
          <w:highlight w:val="none"/>
          <w:lang w:val="en-US" w:eastAsia="zh-CN"/>
        </w:rPr>
        <w:t>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刘工</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东莞市石排镇</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w:t>
      </w:r>
      <w:bookmarkStart w:id="385" w:name="_GoBack"/>
      <w:bookmarkEnd w:id="385"/>
      <w:r>
        <w:rPr>
          <w:rFonts w:hint="eastAsia" w:ascii="宋体" w:hAnsi="宋体"/>
          <w:bCs/>
          <w:color w:val="auto"/>
          <w:szCs w:val="21"/>
          <w:highlight w:val="none"/>
          <w:lang w:val="en-US" w:eastAsia="zh-CN"/>
        </w:rPr>
        <w:t>69-86655020</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w:t>
      </w:r>
    </w:p>
    <w:p>
      <w:pPr>
        <w:pStyle w:val="2"/>
        <w:rPr>
          <w:color w:val="auto"/>
          <w:sz w:val="21"/>
          <w:szCs w:val="21"/>
          <w:highlight w:val="none"/>
        </w:rPr>
      </w:pPr>
    </w:p>
    <w:p>
      <w:pPr>
        <w:pStyle w:val="4"/>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4"/>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30638"/>
            <w:bookmarkStart w:id="19" w:name="_Toc2479"/>
            <w:bookmarkStart w:id="20" w:name="_Toc14146"/>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4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eastAsia="宋体" w:cs="宋体"/>
                <w:bCs/>
                <w:color w:val="auto"/>
                <w:sz w:val="21"/>
                <w:szCs w:val="21"/>
                <w:highlight w:val="none"/>
                <w:lang w:val="zh-CN" w:eastAsia="zh-CN"/>
              </w:rPr>
              <w:t>招标文件</w:t>
            </w:r>
            <w:r>
              <w:rPr>
                <w:rFonts w:hint="eastAsia" w:ascii="宋体" w:hAnsi="宋体" w:eastAsia="宋体" w:cs="宋体"/>
                <w:bCs/>
                <w:color w:val="auto"/>
                <w:sz w:val="21"/>
                <w:szCs w:val="21"/>
                <w:highlight w:val="none"/>
                <w:lang w:val="zh-CN"/>
              </w:rPr>
              <w:t>要求且价格最低的</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为评标基准价，其价格分为满分。其他</w:t>
            </w:r>
            <w:r>
              <w:rPr>
                <w:rFonts w:hint="eastAsia" w:asci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的价格分统一按照下列公式计算：</w:t>
            </w:r>
          </w:p>
          <w:p>
            <w:pPr>
              <w:pStyle w:val="41"/>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得分=(评标基准价／</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651"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具有国家认证认可的监督管理部门批准设立的认证机构颁发的质量管理体系认证证书、环境管理体系认证证书、职业健康安全管理体系认证证书，每个得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须提供上述有效期</w:t>
            </w:r>
            <w:r>
              <w:rPr>
                <w:rFonts w:hint="eastAsia" w:ascii="宋体" w:hAnsi="宋体" w:cs="宋体"/>
                <w:bCs/>
                <w:color w:val="auto"/>
                <w:sz w:val="21"/>
                <w:szCs w:val="21"/>
                <w:highlight w:val="none"/>
                <w:lang w:val="en-US" w:eastAsia="zh-CN"/>
              </w:rPr>
              <w:t>内</w:t>
            </w:r>
            <w:r>
              <w:rPr>
                <w:rFonts w:hint="eastAsia" w:ascii="宋体" w:hAnsi="宋体" w:eastAsia="宋体" w:cs="宋体"/>
                <w:bCs/>
                <w:color w:val="auto"/>
                <w:sz w:val="21"/>
                <w:szCs w:val="21"/>
                <w:highlight w:val="none"/>
              </w:rPr>
              <w:t>的证书复印件加盖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小时到现场，不得分。</w:t>
            </w:r>
          </w:p>
          <w:p>
            <w:pPr>
              <w:pStyle w:val="41"/>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根据投标人对项目重点难点的了解与分析并提出合理建议进行综合</w:t>
            </w:r>
            <w:r>
              <w:rPr>
                <w:rFonts w:hint="eastAsia" w:ascii="宋体" w:hAnsi="宋体" w:eastAsia="宋体" w:cs="宋体"/>
                <w:color w:val="auto"/>
                <w:kern w:val="2"/>
                <w:sz w:val="21"/>
                <w:szCs w:val="21"/>
                <w:highlight w:val="none"/>
                <w:lang w:val="en-US" w:eastAsia="zh-CN"/>
              </w:rPr>
              <w:t>评审：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对项目认识深刻，总体工作思路表述清晰、完整、严谨、合理；熟悉工程情况、工作目标明确、对重点和难点工程认识充分，理解得当，得</w:t>
            </w:r>
            <w:r>
              <w:rPr>
                <w:rFonts w:hint="eastAsia" w:ascii="宋体" w:hAnsi="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对项目认识较好，总体工作思路表述清晰、完整；对重点和难点工程认识较好，得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对项目认识一般，总体工作思路一般完整；对重点和难点工程认识一般，得3分；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对项目认识不足，总体工作思路不完整；对重点和难点工程认识不足，</w:t>
            </w:r>
            <w:r>
              <w:rPr>
                <w:rFonts w:hint="eastAsia" w:ascii="宋体" w:hAnsi="宋体" w:cs="宋体"/>
                <w:color w:val="auto"/>
                <w:kern w:val="2"/>
                <w:sz w:val="21"/>
                <w:szCs w:val="21"/>
                <w:highlight w:val="none"/>
                <w:lang w:val="en-US" w:eastAsia="zh-CN"/>
              </w:rPr>
              <w:t>得</w:t>
            </w:r>
            <w:r>
              <w:rPr>
                <w:rFonts w:hint="eastAsia" w:ascii="宋体" w:hAnsi="宋体" w:eastAsia="宋体" w:cs="宋体"/>
                <w:color w:val="auto"/>
                <w:kern w:val="2"/>
                <w:sz w:val="21"/>
                <w:szCs w:val="21"/>
                <w:highlight w:val="none"/>
              </w:rPr>
              <w:t>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无提供施工方案说明，不得分。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供货方案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根据投标人提供的供货方案的完整性、合理性、可行性等情况进行综合评审：</w:t>
            </w:r>
          </w:p>
          <w:p>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供货方案科学完整、合理、可行，得1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w:t>
            </w:r>
          </w:p>
          <w:p>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供货方案较完整、较合理、较可行，得</w:t>
            </w: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分。</w:t>
            </w:r>
          </w:p>
          <w:p>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供货方案基本完整、基本合理、基本可行，得</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分。</w:t>
            </w:r>
          </w:p>
          <w:p>
            <w:pPr>
              <w:pStyle w:val="41"/>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供货方案简单，可行性差，得1分。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rPr>
              <w:t>无提供供货方案，得0分。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质量保证承诺</w:t>
            </w:r>
          </w:p>
        </w:tc>
        <w:tc>
          <w:tcPr>
            <w:tcW w:w="592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根据投标人的质量保证承诺及服务方案详细完善程度进行</w:t>
            </w:r>
            <w:r>
              <w:rPr>
                <w:rFonts w:hint="eastAsia" w:ascii="宋体" w:eastAsia="宋体" w:cs="宋体"/>
                <w:color w:val="auto"/>
                <w:sz w:val="21"/>
                <w:szCs w:val="21"/>
                <w:highlight w:val="none"/>
              </w:rPr>
              <w:t>综合评审：</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质量保证承诺优于招标文件要求，服务方案详细完整，可行性强，得1</w:t>
            </w:r>
            <w:r>
              <w:rPr>
                <w:rFonts w:hint="eastAsia" w:ascii="宋体" w:eastAsia="宋体"/>
                <w:color w:val="auto"/>
                <w:sz w:val="21"/>
                <w:szCs w:val="21"/>
                <w:highlight w:val="none"/>
                <w:lang w:val="en-US" w:eastAsia="zh-CN"/>
              </w:rPr>
              <w:t>0</w:t>
            </w:r>
            <w:r>
              <w:rPr>
                <w:rFonts w:hint="eastAsia" w:ascii="宋体" w:eastAsia="宋体"/>
                <w:color w:val="auto"/>
                <w:sz w:val="21"/>
                <w:szCs w:val="21"/>
                <w:highlight w:val="none"/>
              </w:rPr>
              <w:t>分。</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质量保证承诺满足招标文件要求，服务方案较完整，可行性较强，得</w:t>
            </w:r>
            <w:r>
              <w:rPr>
                <w:rFonts w:hint="eastAsia" w:ascii="宋体" w:eastAsia="宋体"/>
                <w:color w:val="auto"/>
                <w:sz w:val="21"/>
                <w:szCs w:val="21"/>
                <w:highlight w:val="none"/>
                <w:lang w:val="en-US" w:eastAsia="zh-CN"/>
              </w:rPr>
              <w:t>6</w:t>
            </w:r>
            <w:r>
              <w:rPr>
                <w:rFonts w:hint="eastAsia" w:ascii="宋体" w:eastAsia="宋体"/>
                <w:color w:val="auto"/>
                <w:sz w:val="21"/>
                <w:szCs w:val="21"/>
                <w:highlight w:val="none"/>
              </w:rPr>
              <w:t>分。</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质量保证承诺基本满足招标文件要求，服务方案基本完整，可行性一般，得</w:t>
            </w:r>
            <w:r>
              <w:rPr>
                <w:rFonts w:hint="eastAsia" w:ascii="宋体" w:eastAsia="宋体"/>
                <w:color w:val="auto"/>
                <w:sz w:val="21"/>
                <w:szCs w:val="21"/>
                <w:highlight w:val="none"/>
                <w:lang w:val="en-US" w:eastAsia="zh-CN"/>
              </w:rPr>
              <w:t>3</w:t>
            </w:r>
            <w:r>
              <w:rPr>
                <w:rFonts w:hint="eastAsia" w:ascii="宋体" w:eastAsia="宋体"/>
                <w:color w:val="auto"/>
                <w:sz w:val="21"/>
                <w:szCs w:val="21"/>
                <w:highlight w:val="none"/>
              </w:rPr>
              <w:t>分。</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质量保证承诺不能满足招标文件要求，服务方案不完整，可行性差，得1分。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eastAsia="宋体"/>
                <w:color w:val="auto"/>
                <w:sz w:val="21"/>
                <w:szCs w:val="21"/>
                <w:highlight w:val="none"/>
              </w:rPr>
              <w:t>无提供质量保证承诺或服务方案，得0分。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根据售后服务方案、售后服务承诺、售后点技术力量等以及对用户单位提出的维护要求响应情况，出现紧急情况时的服务措施等进行</w:t>
            </w:r>
            <w:r>
              <w:rPr>
                <w:rFonts w:hint="eastAsia" w:ascii="宋体" w:eastAsia="宋体" w:cs="宋体"/>
                <w:color w:val="auto"/>
                <w:sz w:val="21"/>
                <w:szCs w:val="21"/>
                <w:highlight w:val="none"/>
              </w:rPr>
              <w:t>综合评审：</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售后服务方案科学完整，售后服务承诺优于招标文件要求，可操作性强，得10分。</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售后服务方案较完整，售后服务承诺满足招标文件要求，可操作性较强，得6分。</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售后服务方案基本完整，售后服务承诺基本满足招标文件要求，可操作性一般，得3分。</w:t>
            </w:r>
          </w:p>
          <w:p>
            <w:pPr>
              <w:pStyle w:val="41"/>
              <w:keepNext w:val="0"/>
              <w:keepLines w:val="0"/>
              <w:pageBreakBefore w:val="0"/>
              <w:kinsoku/>
              <w:wordWrap/>
              <w:overflowPunct/>
              <w:topLinePunct w:val="0"/>
              <w:autoSpaceDE/>
              <w:autoSpaceDN/>
              <w:bidi w:val="0"/>
              <w:adjustRightInd/>
              <w:snapToGrid/>
              <w:spacing w:line="240" w:lineRule="auto"/>
              <w:ind w:left="1" w:firstLine="420" w:firstLineChars="200"/>
              <w:textAlignment w:val="auto"/>
              <w:rPr>
                <w:rFonts w:ascii="宋体" w:eastAsia="宋体"/>
                <w:color w:val="auto"/>
                <w:sz w:val="21"/>
                <w:szCs w:val="21"/>
                <w:highlight w:val="none"/>
              </w:rPr>
            </w:pPr>
            <w:r>
              <w:rPr>
                <w:rFonts w:hint="eastAsia" w:ascii="宋体" w:eastAsia="宋体"/>
                <w:color w:val="auto"/>
                <w:sz w:val="21"/>
                <w:szCs w:val="21"/>
                <w:highlight w:val="none"/>
              </w:rPr>
              <w:t>售后服务方案不完整，售后服务承诺不满足招标文件要求，可操作性差，得1分。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olor w:val="auto"/>
                <w:sz w:val="21"/>
                <w:szCs w:val="21"/>
                <w:highlight w:val="none"/>
              </w:rPr>
              <w:t>无提供售后服务方案或售后服务承诺，得0分。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restart"/>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vMerge w:val="restart"/>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技术力量</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拟派本项目的项目负责人（仅指一人）：</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项目负责人具有注册建造师证书的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得3分。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须提供上述人员的证书及</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为其缴纳</w:t>
            </w:r>
            <w:r>
              <w:rPr>
                <w:rFonts w:hint="eastAsia" w:ascii="宋体" w:hAnsi="宋体" w:cs="宋体"/>
                <w:bCs/>
                <w:color w:val="auto"/>
                <w:sz w:val="21"/>
                <w:szCs w:val="21"/>
                <w:highlight w:val="none"/>
                <w:lang w:val="en-US" w:eastAsia="zh-CN"/>
              </w:rPr>
              <w:t>的距开标前</w:t>
            </w:r>
            <w:r>
              <w:rPr>
                <w:rFonts w:hint="eastAsia" w:ascii="宋体" w:hAnsi="宋体" w:eastAsia="宋体" w:cs="宋体"/>
                <w:bCs/>
                <w:color w:val="auto"/>
                <w:sz w:val="21"/>
                <w:szCs w:val="21"/>
                <w:highlight w:val="none"/>
              </w:rPr>
              <w:t>12个月内</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不含开标当月</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任意1个月的社保证明，复印件加盖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拟派本项目的其他人员（项目负责人除外）：</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①具有电气（力）类或机电工程类工程师证书的，中级或以上的每个得2分，最高得4分，其他不得分。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②具有安全生产考核合格证书（证书信息须为安全生产专职人员或以上，即“建安C”类或以上）的得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须提供上述人员的证书及</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为其缴纳</w:t>
            </w:r>
            <w:r>
              <w:rPr>
                <w:rFonts w:hint="eastAsia" w:ascii="宋体" w:hAnsi="宋体" w:cs="宋体"/>
                <w:bCs/>
                <w:color w:val="auto"/>
                <w:sz w:val="21"/>
                <w:szCs w:val="21"/>
                <w:highlight w:val="none"/>
                <w:lang w:val="en-US" w:eastAsia="zh-CN"/>
              </w:rPr>
              <w:t>的距开标前</w:t>
            </w:r>
            <w:r>
              <w:rPr>
                <w:rFonts w:hint="eastAsia" w:ascii="宋体" w:hAnsi="宋体" w:eastAsia="宋体" w:cs="宋体"/>
                <w:bCs/>
                <w:color w:val="auto"/>
                <w:sz w:val="21"/>
                <w:szCs w:val="21"/>
                <w:highlight w:val="none"/>
              </w:rPr>
              <w:t>12个月内</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不含开标当月</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任意1个月的社保证明，复印件加盖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4"/>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298847174"/>
      <w:bookmarkStart w:id="31" w:name="_Toc1530"/>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3494"/>
      <w:bookmarkStart w:id="54" w:name="_Toc1423"/>
      <w:bookmarkStart w:id="55" w:name="_Toc21771"/>
      <w:r>
        <w:rPr>
          <w:rFonts w:hint="eastAsia" w:ascii="宋体" w:hAnsi="宋体"/>
          <w:color w:val="auto"/>
          <w:sz w:val="21"/>
          <w:szCs w:val="21"/>
          <w:highlight w:val="none"/>
        </w:rPr>
        <w:t>8.招标文件的组成</w:t>
      </w:r>
      <w:bookmarkEnd w:id="53"/>
      <w:bookmarkEnd w:id="54"/>
      <w:bookmarkEnd w:id="5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7997"/>
      <w:bookmarkStart w:id="57" w:name="_Toc14217"/>
      <w:bookmarkStart w:id="58" w:name="_Toc17274"/>
      <w:r>
        <w:rPr>
          <w:rFonts w:hint="eastAsia" w:ascii="宋体" w:hAnsi="宋体"/>
          <w:color w:val="auto"/>
          <w:sz w:val="21"/>
          <w:szCs w:val="21"/>
          <w:highlight w:val="none"/>
        </w:rPr>
        <w:t>9.招标文件的澄清或修改</w:t>
      </w:r>
      <w:bookmarkEnd w:id="56"/>
      <w:bookmarkEnd w:id="57"/>
      <w:bookmarkEnd w:id="5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8092"/>
      <w:bookmarkStart w:id="63" w:name="_Toc7434"/>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307934854"/>
      <w:bookmarkStart w:id="66" w:name="_Toc303084256"/>
      <w:bookmarkStart w:id="67" w:name="_Toc28866"/>
      <w:bookmarkStart w:id="68" w:name="_Toc382049103"/>
      <w:bookmarkStart w:id="69" w:name="_Toc12145"/>
      <w:bookmarkStart w:id="70" w:name="_Toc18999"/>
      <w:bookmarkStart w:id="71"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6535"/>
      <w:bookmarkStart w:id="80" w:name="_Toc27724"/>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8"/>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19520"/>
      <w:bookmarkStart w:id="85" w:name="_Toc30815"/>
      <w:bookmarkStart w:id="86" w:name="_Toc22169"/>
      <w:r>
        <w:rPr>
          <w:rFonts w:hint="eastAsia" w:ascii="宋体" w:hAnsi="宋体"/>
          <w:color w:val="auto"/>
          <w:sz w:val="21"/>
          <w:szCs w:val="21"/>
          <w:highlight w:val="none"/>
        </w:rPr>
        <w:t>15.★投标有效期</w:t>
      </w:r>
      <w:bookmarkEnd w:id="84"/>
      <w:bookmarkEnd w:id="85"/>
      <w:bookmarkEnd w:id="8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25817"/>
      <w:bookmarkStart w:id="88" w:name="_Toc12456"/>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31124"/>
      <w:bookmarkStart w:id="92" w:name="_Toc24109"/>
      <w:bookmarkStart w:id="93" w:name="_Toc3200"/>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382049111"/>
      <w:bookmarkStart w:id="95" w:name="_Toc303084264"/>
      <w:bookmarkStart w:id="96" w:name="_Toc23678"/>
      <w:bookmarkStart w:id="97" w:name="_Toc473"/>
      <w:bookmarkStart w:id="98" w:name="_Toc29590"/>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7473"/>
      <w:bookmarkStart w:id="101" w:name="_Toc17417"/>
      <w:bookmarkStart w:id="102" w:name="_Toc8628"/>
      <w:r>
        <w:rPr>
          <w:rFonts w:hint="eastAsia" w:ascii="宋体" w:hAnsi="宋体"/>
          <w:color w:val="auto"/>
          <w:sz w:val="21"/>
          <w:szCs w:val="21"/>
          <w:highlight w:val="none"/>
        </w:rPr>
        <w:t>18.迟交的投标文件</w:t>
      </w:r>
      <w:bookmarkEnd w:id="100"/>
      <w:bookmarkEnd w:id="101"/>
      <w:bookmarkEnd w:id="102"/>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382049112"/>
      <w:bookmarkStart w:id="107" w:name="_Toc23477"/>
      <w:bookmarkStart w:id="108" w:name="_Toc5900"/>
      <w:bookmarkStart w:id="109" w:name="_Toc7689"/>
      <w:bookmarkStart w:id="110" w:name="_Toc303084265"/>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5049"/>
      <w:bookmarkStart w:id="116" w:name="_Toc23466"/>
      <w:bookmarkStart w:id="117" w:name="_Toc29574"/>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4251"/>
      <w:bookmarkStart w:id="119" w:name="_Toc27700"/>
      <w:bookmarkStart w:id="120" w:name="_Toc28458"/>
      <w:r>
        <w:rPr>
          <w:rFonts w:hint="eastAsia" w:ascii="宋体" w:hAnsi="宋体"/>
          <w:color w:val="auto"/>
          <w:sz w:val="21"/>
          <w:szCs w:val="21"/>
          <w:highlight w:val="none"/>
        </w:rPr>
        <w:t>22.开标</w:t>
      </w:r>
      <w:bookmarkEnd w:id="118"/>
      <w:bookmarkEnd w:id="119"/>
      <w:bookmarkEnd w:id="120"/>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22591"/>
      <w:bookmarkStart w:id="138" w:name="_Toc20328"/>
      <w:bookmarkStart w:id="139" w:name="_Toc382049120"/>
      <w:bookmarkStart w:id="140" w:name="_Toc12115"/>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6696"/>
      <w:bookmarkStart w:id="146" w:name="_Toc27817"/>
      <w:bookmarkStart w:id="147" w:name="_Toc17778"/>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9283"/>
      <w:bookmarkStart w:id="150" w:name="_Toc508284013"/>
      <w:bookmarkStart w:id="151" w:name="_Toc23136"/>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2744"/>
      <w:bookmarkStart w:id="157" w:name="_Toc29009"/>
      <w:bookmarkStart w:id="158" w:name="_Toc382049124"/>
      <w:bookmarkStart w:id="159" w:name="_Toc303084277"/>
      <w:bookmarkStart w:id="160" w:name="_Toc7405"/>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20699"/>
      <w:bookmarkStart w:id="164" w:name="_Toc13694"/>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10082"/>
      <w:bookmarkStart w:id="175" w:name="_Toc6548"/>
      <w:bookmarkStart w:id="176" w:name="_Toc21187"/>
      <w:r>
        <w:rPr>
          <w:rFonts w:hint="eastAsia" w:ascii="宋体" w:hAnsi="宋体"/>
          <w:color w:val="auto"/>
          <w:sz w:val="21"/>
          <w:szCs w:val="21"/>
          <w:highlight w:val="none"/>
        </w:rPr>
        <w:t>35.招标文件的解释权</w:t>
      </w:r>
      <w:bookmarkEnd w:id="174"/>
      <w:bookmarkEnd w:id="175"/>
      <w:bookmarkEnd w:id="176"/>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506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7"/>
        <w:gridCol w:w="67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w:t>
            </w:r>
            <w:r>
              <w:rPr>
                <w:rFonts w:hint="eastAsia" w:ascii="宋体" w:hAnsi="宋体"/>
                <w:color w:val="auto"/>
                <w:szCs w:val="21"/>
                <w:highlight w:val="none"/>
                <w:lang w:val="en-US" w:eastAsia="zh-CN"/>
              </w:rPr>
              <w:t>完工期</w:t>
            </w:r>
          </w:p>
        </w:tc>
        <w:tc>
          <w:tcPr>
            <w:tcW w:w="6736" w:type="dxa"/>
            <w:vAlign w:val="center"/>
          </w:tcPr>
          <w:p>
            <w:pPr>
              <w:keepNext w:val="0"/>
              <w:keepLines w:val="0"/>
              <w:pageBreakBefore w:val="0"/>
              <w:kinsoku/>
              <w:wordWrap/>
              <w:overflowPunct/>
              <w:topLinePunct w:val="0"/>
              <w:bidi w:val="0"/>
              <w:adjustRightInd/>
              <w:snapToGrid/>
              <w:spacing w:after="0" w:line="36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cs="宋体"/>
                <w:b w:val="0"/>
                <w:bCs/>
                <w:color w:val="auto"/>
                <w:kern w:val="2"/>
                <w:sz w:val="21"/>
                <w:szCs w:val="21"/>
                <w:highlight w:val="none"/>
                <w:lang w:val="en-US" w:eastAsia="zh-CN" w:bidi="ar-SA"/>
              </w:rPr>
              <w:t>签订合同后，</w:t>
            </w:r>
            <w:r>
              <w:rPr>
                <w:rFonts w:hint="default" w:ascii="宋体" w:hAnsi="宋体" w:cs="宋体"/>
                <w:b w:val="0"/>
                <w:bCs/>
                <w:color w:val="auto"/>
                <w:kern w:val="2"/>
                <w:sz w:val="21"/>
                <w:szCs w:val="21"/>
                <w:highlight w:val="none"/>
                <w:lang w:val="en-US" w:eastAsia="zh-CN" w:bidi="ar-SA"/>
              </w:rPr>
              <w:t>30天内</w:t>
            </w:r>
            <w:r>
              <w:rPr>
                <w:rFonts w:hint="eastAsia" w:ascii="宋体" w:hAnsi="宋体" w:cs="宋体"/>
                <w:b w:val="0"/>
                <w:bCs/>
                <w:color w:val="auto"/>
                <w:kern w:val="2"/>
                <w:sz w:val="21"/>
                <w:szCs w:val="21"/>
                <w:highlight w:val="none"/>
                <w:lang w:val="en-US" w:eastAsia="zh-CN" w:bidi="ar-SA"/>
              </w:rPr>
              <w:t>完成（包括供货、施工、安装、调试、验收工作）。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0"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w:t>
            </w:r>
            <w:r>
              <w:rPr>
                <w:rFonts w:ascii="宋体" w:hAnsi="宋体" w:eastAsia="宋体"/>
                <w:color w:val="auto"/>
                <w:sz w:val="21"/>
                <w:szCs w:val="21"/>
                <w:highlight w:val="none"/>
              </w:rPr>
              <w:t>质保期</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kern w:val="2"/>
                <w:sz w:val="21"/>
                <w:szCs w:val="21"/>
                <w:highlight w:val="none"/>
                <w:lang w:val="en-US" w:eastAsia="zh-CN" w:bidi="ar-SA"/>
              </w:rPr>
              <w:t>质保期为一年。供货并安装完毕，并经招标人验收合格之日起进入质保期。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★付款方式</w:t>
            </w:r>
          </w:p>
        </w:tc>
        <w:tc>
          <w:tcPr>
            <w:tcW w:w="673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1、设备安装及工程施工完成后，经试运行及相关主管部门验收合格后支付合同金额的100%。</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2、货款按约定的方式支付，成交单位凭以下有效的文件向采购人提出支付货款的申请：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①合同；②</w:t>
            </w:r>
            <w:r>
              <w:rPr>
                <w:rFonts w:hint="eastAsia" w:ascii="宋体" w:hAnsi="宋体" w:cs="宋体"/>
                <w:color w:val="auto"/>
                <w:szCs w:val="21"/>
                <w:highlight w:val="none"/>
                <w:lang w:val="en-US" w:bidi="zh-CN"/>
              </w:rPr>
              <w:t>中标</w:t>
            </w:r>
            <w:r>
              <w:rPr>
                <w:rFonts w:hint="default" w:ascii="宋体" w:hAnsi="宋体" w:cs="宋体"/>
                <w:color w:val="auto"/>
                <w:szCs w:val="21"/>
                <w:highlight w:val="none"/>
                <w:lang w:val="en-US" w:bidi="zh-CN"/>
              </w:rPr>
              <w:t>单位开具的正式发票；③中标通知书；④验收资料。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项目地点</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kern w:val="2"/>
                <w:sz w:val="21"/>
                <w:szCs w:val="21"/>
                <w:highlight w:val="none"/>
              </w:rPr>
              <w:t>采购人指定地点。（如有变化另行确定）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5"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Cs w:val="21"/>
                <w:highlight w:val="none"/>
                <w:lang w:val="zh-CN" w:eastAsia="zh-CN" w:bidi="zh-CN"/>
              </w:rPr>
            </w:pPr>
            <w:r>
              <w:rPr>
                <w:rFonts w:hint="eastAsia" w:ascii="宋体" w:hAnsi="宋体" w:eastAsia="宋体"/>
                <w:color w:val="auto"/>
                <w:szCs w:val="21"/>
                <w:highlight w:val="none"/>
              </w:rPr>
              <w:t>投标报价采取打包报价的方式，投标报价包括材料、工具、人工、管理费、利润、税金、风险、招标代理费用等一切因素所有应该和可能发生的费用因素</w:t>
            </w:r>
            <w:r>
              <w:rPr>
                <w:rFonts w:hint="eastAsia" w:ascii="宋体" w:hAnsi="宋体"/>
                <w:color w:val="auto"/>
                <w:szCs w:val="21"/>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4"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合同条款</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bidi="zh-CN"/>
              </w:rPr>
            </w:pPr>
            <w:r>
              <w:rPr>
                <w:rFonts w:hint="eastAsia" w:ascii="宋体" w:hAnsi="宋体" w:eastAsia="宋体"/>
                <w:color w:val="auto"/>
                <w:szCs w:val="21"/>
                <w:highlight w:val="none"/>
                <w:lang w:eastAsia="zh-CN"/>
              </w:rPr>
              <w:t>供应商</w:t>
            </w:r>
            <w:r>
              <w:rPr>
                <w:rFonts w:ascii="宋体" w:hAnsi="宋体" w:eastAsia="宋体"/>
                <w:color w:val="auto"/>
                <w:szCs w:val="21"/>
                <w:highlight w:val="none"/>
              </w:rPr>
              <w:t>实质响应合同各条款。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4" w:hRule="atLeast"/>
        </w:trPr>
        <w:tc>
          <w:tcPr>
            <w:tcW w:w="1674" w:type="dxa"/>
            <w:vAlign w:val="center"/>
          </w:tcPr>
          <w:p>
            <w:pPr>
              <w:pStyle w:val="70"/>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6736" w:type="dxa"/>
            <w:vAlign w:val="center"/>
          </w:tcPr>
          <w:p>
            <w:pPr>
              <w:pStyle w:val="70"/>
              <w:autoSpaceDE w:val="0"/>
              <w:autoSpaceDN w:val="0"/>
              <w:spacing w:line="360" w:lineRule="auto"/>
              <w:ind w:firstLine="420" w:firstLineChars="200"/>
              <w:jc w:val="both"/>
              <w:rPr>
                <w:rFonts w:hint="eastAsia" w:ascii="宋体" w:hAnsi="宋体" w:eastAsia="宋体"/>
                <w:color w:val="auto"/>
                <w:szCs w:val="21"/>
                <w:highlight w:val="none"/>
                <w:lang w:eastAsia="zh-CN"/>
              </w:rPr>
            </w:pPr>
            <w:r>
              <w:rPr>
                <w:rFonts w:hint="eastAsia" w:ascii="宋体" w:hAnsi="宋体" w:cs="宋体"/>
                <w:color w:val="auto"/>
                <w:szCs w:val="21"/>
                <w:highlight w:val="none"/>
              </w:rPr>
              <w:t>按国家及行业相关标准验收。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3"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投标人</w:t>
            </w:r>
            <w:r>
              <w:rPr>
                <w:rFonts w:hint="eastAsia" w:ascii="宋体" w:hAnsi="宋体" w:eastAsia="宋体"/>
                <w:color w:val="auto"/>
                <w:szCs w:val="21"/>
                <w:highlight w:val="none"/>
              </w:rPr>
              <w:t>应充分结合本</w:t>
            </w:r>
            <w:r>
              <w:rPr>
                <w:rFonts w:hint="eastAsia" w:ascii="宋体" w:hAnsi="宋体"/>
                <w:color w:val="auto"/>
                <w:szCs w:val="21"/>
                <w:highlight w:val="none"/>
                <w:lang w:val="en-US" w:eastAsia="zh-CN"/>
              </w:rPr>
              <w:t>招标</w:t>
            </w:r>
            <w:r>
              <w:rPr>
                <w:rFonts w:hint="eastAsia" w:ascii="宋体" w:hAnsi="宋体" w:eastAsia="宋体"/>
                <w:color w:val="auto"/>
                <w:szCs w:val="21"/>
                <w:highlight w:val="none"/>
              </w:rPr>
              <w:t>文件上下文了解项目</w:t>
            </w:r>
            <w:r>
              <w:rPr>
                <w:rFonts w:hint="eastAsia" w:ascii="宋体" w:hAnsi="宋体"/>
                <w:color w:val="auto"/>
                <w:szCs w:val="21"/>
                <w:highlight w:val="none"/>
                <w:lang w:val="en-US" w:eastAsia="zh-CN"/>
              </w:rPr>
              <w:t>采购</w:t>
            </w:r>
            <w:r>
              <w:rPr>
                <w:rFonts w:hint="eastAsia" w:ascii="宋体" w:hAnsi="宋体" w:eastAsia="宋体"/>
                <w:color w:val="auto"/>
                <w:szCs w:val="21"/>
                <w:highlight w:val="none"/>
              </w:rPr>
              <w:t>需求、</w:t>
            </w:r>
            <w:r>
              <w:rPr>
                <w:rFonts w:hint="eastAsia" w:ascii="宋体" w:hAnsi="宋体"/>
                <w:color w:val="auto"/>
                <w:szCs w:val="21"/>
                <w:highlight w:val="none"/>
                <w:lang w:val="en-US" w:eastAsia="zh-CN"/>
              </w:rPr>
              <w:t>招标</w:t>
            </w:r>
            <w:r>
              <w:rPr>
                <w:rFonts w:hint="eastAsia" w:ascii="宋体" w:hAnsi="宋体" w:eastAsia="宋体"/>
                <w:color w:val="auto"/>
                <w:szCs w:val="21"/>
                <w:highlight w:val="none"/>
              </w:rPr>
              <w:t>文件未尽事宜，将在合同签订或项目执行过程中双方协商确定，</w:t>
            </w:r>
            <w:r>
              <w:rPr>
                <w:rFonts w:hint="eastAsia" w:ascii="宋体" w:hAnsi="宋体"/>
                <w:color w:val="auto"/>
                <w:szCs w:val="21"/>
                <w:highlight w:val="none"/>
                <w:lang w:val="en-US" w:eastAsia="zh-CN"/>
              </w:rPr>
              <w:t>投标人</w:t>
            </w:r>
            <w:r>
              <w:rPr>
                <w:rFonts w:hint="eastAsia" w:ascii="宋体" w:hAnsi="宋体" w:eastAsia="宋体"/>
                <w:color w:val="auto"/>
                <w:szCs w:val="21"/>
                <w:highlight w:val="none"/>
              </w:rPr>
              <w:t>须无条件满足采购单位的合理要求。</w:t>
            </w:r>
          </w:p>
        </w:tc>
      </w:tr>
    </w:tbl>
    <w:p>
      <w:pPr>
        <w:rPr>
          <w:color w:val="auto"/>
          <w:highlight w:val="none"/>
        </w:rPr>
      </w:pPr>
    </w:p>
    <w:p>
      <w:pPr>
        <w:pStyle w:val="2"/>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5"/>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pPr>
        <w:outlineLvl w:val="0"/>
        <w:rPr>
          <w:rFonts w:hint="eastAsia" w:ascii="宋体" w:hAnsi="宋体" w:eastAsia="宋体" w:cs="宋体"/>
          <w:b/>
          <w:color w:val="auto"/>
          <w:sz w:val="21"/>
          <w:szCs w:val="21"/>
          <w:highlight w:val="none"/>
          <w:lang w:val="en-US" w:eastAsia="zh-CN"/>
        </w:rPr>
      </w:pPr>
      <w:bookmarkStart w:id="182" w:name="_Toc31278"/>
      <w:bookmarkStart w:id="183" w:name="_Toc13112"/>
      <w:bookmarkStart w:id="184" w:name="_Toc24679"/>
      <w:bookmarkStart w:id="185" w:name="_Toc14462"/>
      <w:r>
        <w:rPr>
          <w:rFonts w:hint="eastAsia" w:ascii="宋体" w:hAnsi="宋体" w:eastAsia="宋体" w:cs="宋体"/>
          <w:b/>
          <w:color w:val="auto"/>
          <w:sz w:val="21"/>
          <w:szCs w:val="21"/>
          <w:highlight w:val="none"/>
          <w:lang w:val="en-US" w:eastAsia="zh-CN"/>
        </w:rPr>
        <w:t>一、项目清单</w:t>
      </w:r>
    </w:p>
    <w:p>
      <w:pPr>
        <w:pStyle w:val="2"/>
        <w:keepNext w:val="0"/>
        <w:keepLines w:val="0"/>
        <w:pageBreakBefore w:val="0"/>
        <w:widowControl w:val="0"/>
        <w:kinsoku/>
        <w:wordWrap/>
        <w:overflowPunct/>
        <w:topLinePunct w:val="0"/>
        <w:autoSpaceDE/>
        <w:autoSpaceDN/>
        <w:bidi w:val="0"/>
        <w:adjustRightInd/>
        <w:snapToGrid/>
        <w:spacing w:before="0"/>
        <w:ind w:left="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文件的技术规格中指出的工艺、材料和设备的标准以及参照的品牌或型号仅起说明作用，并没有任何限制性。供应商可以选用替代标准、品牌或型号，但这些替代要实质上满足或超过文件的要求。</w:t>
      </w:r>
    </w:p>
    <w:tbl>
      <w:tblPr>
        <w:tblStyle w:val="27"/>
        <w:tblW w:w="84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8"/>
        <w:gridCol w:w="2545"/>
        <w:gridCol w:w="2009"/>
        <w:gridCol w:w="716"/>
        <w:gridCol w:w="775"/>
        <w:gridCol w:w="1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6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5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200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7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数量</w:t>
            </w:r>
          </w:p>
        </w:tc>
        <w:tc>
          <w:tcPr>
            <w:tcW w:w="186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color w:val="auto"/>
                <w:szCs w:val="21"/>
                <w:highlight w:val="none"/>
              </w:rPr>
              <w:t>●</w:t>
            </w:r>
            <w:r>
              <w:rPr>
                <w:rFonts w:hint="eastAsia" w:ascii="宋体" w:hAnsi="宋体" w:eastAsia="宋体" w:cs="宋体"/>
                <w:i w:val="0"/>
                <w:iCs w:val="0"/>
                <w:color w:val="auto"/>
                <w:kern w:val="0"/>
                <w:sz w:val="20"/>
                <w:szCs w:val="20"/>
                <w:highlight w:val="none"/>
                <w:u w:val="none"/>
                <w:lang w:val="en-US" w:eastAsia="zh-CN" w:bidi="ar"/>
              </w:rPr>
              <w:t>干式变压器</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SCB11-2000/10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高压进线柜 G01</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XGN15-12-V</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高压计量柜 G02</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nil"/>
              <w:left w:val="single" w:color="000000" w:sz="4" w:space="0"/>
              <w:bottom w:val="single" w:color="000000" w:sz="4" w:space="0"/>
              <w:right w:val="single" w:color="000000" w:sz="8" w:space="0"/>
            </w:tcBorders>
            <w:shd w:val="clear" w:color="FFFFFF" w:fill="FFFFFF"/>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高压出线柜 G03</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XGN15-12-V</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低压进线柜 P01</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2000kVA-GCK</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配1个4000A框架开关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低压电容柜 P02~P03</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2000kVA-GCK</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静态补偿，配800kVAR电容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低压出线柜 P04</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2000kVA-GCK</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配3个630A，2个400A塑壳开关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低压出线柜 P05</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2000kVA-GCK</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配3个630A，2个400A塑壳开关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低压出线柜 P06</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2000kVA-GCK</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配3个630A，2个400A塑壳开关（其中1个400A公共消防负荷）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低压市发电转换柜 P07</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2000kVA-GCK</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配1台ATS-800A/4P双电源自动转换开关，2个400A，1个200A塑壳开关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母线槽</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4000A/4P</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8.20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始端弯通加工费</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4000A/4P</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接头器</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4000A/4P</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过渡铜排</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4000A/4P</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软连接</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4000A/4P</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进线箱</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弹簧支架</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吊架</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付</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r>
              <w:rPr>
                <w:rStyle w:val="71"/>
                <w:rFonts w:eastAsia="宋体"/>
                <w:color w:val="auto"/>
                <w:highlight w:val="none"/>
                <w:lang w:val="en-US" w:eastAsia="zh-CN" w:bidi="ar"/>
              </w:rPr>
              <w:t>0.4KV</w:t>
            </w:r>
            <w:r>
              <w:rPr>
                <w:rStyle w:val="72"/>
                <w:color w:val="auto"/>
                <w:highlight w:val="none"/>
                <w:lang w:val="en-US" w:eastAsia="zh-CN" w:bidi="ar"/>
              </w:rPr>
              <w:t>铜芯双塑线</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72"/>
                <w:color w:val="auto"/>
                <w:highlight w:val="none"/>
                <w:lang w:val="en-US" w:eastAsia="zh-CN" w:bidi="ar"/>
              </w:rPr>
              <w:t>25mm</w:t>
            </w:r>
            <w:r>
              <w:rPr>
                <w:rStyle w:val="73"/>
                <w:color w:val="auto"/>
                <w:highlight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铜芯电力电缆</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72"/>
                <w:color w:val="auto"/>
                <w:highlight w:val="none"/>
                <w:lang w:val="en-US" w:eastAsia="zh-CN" w:bidi="ar"/>
              </w:rPr>
              <w:t>ZRYJV-400mm</w:t>
            </w:r>
            <w:r>
              <w:rPr>
                <w:rStyle w:val="73"/>
                <w:color w:val="auto"/>
                <w:highlight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高压电缆</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ZRC-YJV22-3*70mm2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15.00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高压电缆</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ZRC-YJV22-3*95mm2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648.00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户外冷缩式终端头</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电缆热熔中间头</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户内电缆终端头</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户内电缆终端头</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r>
              <w:rPr>
                <w:rStyle w:val="71"/>
                <w:rFonts w:eastAsia="宋体"/>
                <w:color w:val="auto"/>
                <w:highlight w:val="none"/>
                <w:lang w:val="en-US" w:eastAsia="zh-CN" w:bidi="ar"/>
              </w:rPr>
              <w:t>10KV</w:t>
            </w:r>
            <w:r>
              <w:rPr>
                <w:rStyle w:val="72"/>
                <w:color w:val="auto"/>
                <w:highlight w:val="none"/>
                <w:lang w:val="en-US" w:eastAsia="zh-CN" w:bidi="ar"/>
              </w:rPr>
              <w:t>架空绝缘钢芯铝绞线</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JKLGYJ-95/15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r>
              <w:rPr>
                <w:rStyle w:val="71"/>
                <w:rFonts w:eastAsia="宋体"/>
                <w:color w:val="auto"/>
                <w:highlight w:val="none"/>
                <w:lang w:val="en-US" w:eastAsia="zh-CN" w:bidi="ar"/>
              </w:rPr>
              <w:t>10KV</w:t>
            </w:r>
            <w:r>
              <w:rPr>
                <w:rStyle w:val="72"/>
                <w:color w:val="auto"/>
                <w:highlight w:val="none"/>
                <w:lang w:val="en-US" w:eastAsia="zh-CN" w:bidi="ar"/>
              </w:rPr>
              <w:t>户外防爆自动脱离型高压避雷器</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YH5W--17/50SPE</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r>
              <w:rPr>
                <w:rStyle w:val="71"/>
                <w:rFonts w:eastAsia="宋体"/>
                <w:color w:val="auto"/>
                <w:highlight w:val="none"/>
                <w:lang w:val="en-US" w:eastAsia="zh-CN" w:bidi="ar"/>
              </w:rPr>
              <w:t>0.4KV</w:t>
            </w:r>
            <w:r>
              <w:rPr>
                <w:rStyle w:val="72"/>
                <w:color w:val="auto"/>
                <w:highlight w:val="none"/>
                <w:lang w:val="en-US" w:eastAsia="zh-CN" w:bidi="ar"/>
              </w:rPr>
              <w:t>低压避雷器</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YH5W--0.5/2.6</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r>
              <w:rPr>
                <w:rStyle w:val="71"/>
                <w:rFonts w:eastAsia="宋体"/>
                <w:color w:val="auto"/>
                <w:highlight w:val="none"/>
                <w:lang w:val="en-US" w:eastAsia="zh-CN" w:bidi="ar"/>
              </w:rPr>
              <w:t>10KV</w:t>
            </w:r>
            <w:r>
              <w:rPr>
                <w:rStyle w:val="72"/>
                <w:color w:val="auto"/>
                <w:highlight w:val="none"/>
                <w:lang w:val="en-US" w:eastAsia="zh-CN" w:bidi="ar"/>
              </w:rPr>
              <w:t>高压隔离开关</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HGW9--10G/630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铁支架及铁构件</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100kg</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0.40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电缆保护管</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72"/>
                <w:color w:val="auto"/>
                <w:highlight w:val="none"/>
                <w:lang w:val="en-US" w:eastAsia="zh-CN" w:bidi="ar"/>
              </w:rPr>
              <w:t>φ1</w:t>
            </w:r>
            <w:r>
              <w:rPr>
                <w:rStyle w:val="74"/>
                <w:color w:val="auto"/>
                <w:highlight w:val="none"/>
                <w:lang w:val="en-US" w:eastAsia="zh-CN" w:bidi="ar"/>
              </w:rPr>
              <w:t>14*3000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陶担</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S-210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铜铝线夹</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JYL-600A</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力矩节能线夹</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接地引铁</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φ16*6000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铁塔电缆支架</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塔型刀闸担</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绝缘胶</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72"/>
                <w:color w:val="auto"/>
                <w:highlight w:val="none"/>
                <w:lang w:val="en-US" w:eastAsia="zh-CN" w:bidi="ar"/>
              </w:rPr>
              <w:t>k</w:t>
            </w:r>
            <w:r>
              <w:rPr>
                <w:rStyle w:val="74"/>
                <w:color w:val="auto"/>
                <w:highlight w:val="none"/>
                <w:lang w:val="en-US" w:eastAsia="zh-CN" w:bidi="ar"/>
              </w:rPr>
              <w:t>g</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270.00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灭火器</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高压电缆标柱</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72"/>
                <w:color w:val="auto"/>
                <w:highlight w:val="none"/>
                <w:lang w:val="en-US" w:eastAsia="zh-CN" w:bidi="ar"/>
              </w:rPr>
              <w:t>0</w:t>
            </w:r>
            <w:r>
              <w:rPr>
                <w:rStyle w:val="74"/>
                <w:color w:val="auto"/>
                <w:highlight w:val="none"/>
                <w:lang w:val="en-US" w:eastAsia="zh-CN" w:bidi="ar"/>
              </w:rPr>
              <w:t>.12*0.12*1m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绝缘棒</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验电笔</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绝缘鞋</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绝缘手套</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安全标牌</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绝缘工具箱</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Style w:val="72"/>
                <w:color w:val="auto"/>
                <w:highlight w:val="none"/>
                <w:lang w:val="en-US" w:eastAsia="zh-CN" w:bidi="ar"/>
              </w:rPr>
              <w:t>热缩绝缘防护套(室</w:t>
            </w:r>
            <w:r>
              <w:rPr>
                <w:rStyle w:val="74"/>
                <w:color w:val="auto"/>
                <w:highlight w:val="none"/>
                <w:lang w:val="en-US" w:eastAsia="zh-CN" w:bidi="ar"/>
              </w:rPr>
              <w:t>内)</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户外电缆支架绝缘护套</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电力变压器系统调试 </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2000kVA</w:t>
            </w:r>
          </w:p>
        </w:tc>
        <w:tc>
          <w:tcPr>
            <w:tcW w:w="71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系统</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254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送配电装置系统调试 </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1kV以下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交流供电 (综合）</w:t>
            </w:r>
          </w:p>
        </w:tc>
        <w:tc>
          <w:tcPr>
            <w:tcW w:w="71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系统</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254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送配电装置系统调试 </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10kV以下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交流供电 (综合）</w:t>
            </w:r>
          </w:p>
        </w:tc>
        <w:tc>
          <w:tcPr>
            <w:tcW w:w="71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系统</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母线系统调试 </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(1kV以下)</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段</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母线系统调试 </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(10kV以下)</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段</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避雷器调试 </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(10kV以下)</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电容器调试 </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(1kV以下)</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调试 接地网</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系统</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254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10kV电缆交流耐试验</w:t>
            </w:r>
          </w:p>
        </w:tc>
        <w:tc>
          <w:tcPr>
            <w:tcW w:w="2006"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回路</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254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10kV电缆局放试验</w:t>
            </w:r>
          </w:p>
        </w:tc>
        <w:tc>
          <w:tcPr>
            <w:tcW w:w="2009"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回路</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254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配电房照明、排气扇</w:t>
            </w:r>
          </w:p>
        </w:tc>
        <w:tc>
          <w:tcPr>
            <w:tcW w:w="2006"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77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干式变压器基础</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室内电缆沟</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室外电缆管沟</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30.00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电缆工作井</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行车</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保护砖墩</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机械顶管</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1回</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580.00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开挖混凝土路面及修复</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50.00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开挖沥清路面及修复</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50.00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254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接地网</w:t>
            </w:r>
          </w:p>
        </w:tc>
        <w:tc>
          <w:tcPr>
            <w:tcW w:w="2006"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7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254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台班费</w:t>
            </w:r>
          </w:p>
        </w:tc>
        <w:tc>
          <w:tcPr>
            <w:tcW w:w="2009"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71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77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1.00 </w:t>
            </w:r>
          </w:p>
        </w:tc>
        <w:tc>
          <w:tcPr>
            <w:tcW w:w="1860" w:type="dxa"/>
            <w:tcBorders>
              <w:top w:val="single" w:color="000000" w:sz="4" w:space="0"/>
              <w:left w:val="single" w:color="000000" w:sz="4" w:space="0"/>
              <w:bottom w:val="nil"/>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注：1、保修期内24小时为</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提供免费检修服务。材料设备选用优质、安全、可靠产品。2、电缆线行位置由</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自行办理相关施工许可手续。3、</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不含发电房土建及电房地坪漆费用。 4、</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不含配电房门窗费用。5、</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不含低压柜出线至各用电端的低压导线及低压电缆费用。6、</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不含电力监控系统费用。7、</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不含火灾自动报警及气体灭火装置电气控制费用。 8、</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不含发电机及发电机至市发电转换柜之间电缆（母线槽）连接。</w:t>
      </w:r>
    </w:p>
    <w:p>
      <w:pPr>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二</w:t>
      </w:r>
      <w:r>
        <w:rPr>
          <w:rFonts w:hint="eastAsia" w:ascii="宋体" w:hAnsi="宋体" w:eastAsia="宋体" w:cs="宋体"/>
          <w:b/>
          <w:color w:val="auto"/>
          <w:sz w:val="21"/>
          <w:szCs w:val="21"/>
          <w:highlight w:val="none"/>
        </w:rPr>
        <w:t>、供货要求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1、所需工具设施物料由中标人自备、自费运到现场，完工后自费搬走。</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、调试：按国家相关验收规范进行，分阶段进行调试。</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的实施工作全部由中标人负责，但必须在招标人的指定人员的参与下进行。投标文件中须给出的具体供货和验收方法，在实际实施前必须先经招标人同意方可进行。调试的原始记录须经各方签字后作为验收的文件之一。</w:t>
      </w:r>
    </w:p>
    <w:p>
      <w:pPr>
        <w:outlineLvl w:val="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三、质保要求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质保期内由中标人负责对设备进行维护保养，排除故障，无偿提供非操作不当及非外部原因造成的部件、配件的更换。质保期内，所有维修服务均为上门服务，由此产生的费用均不再收取（质保期内，由中标人免费提供必要的备品备件及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故障保修响应时间为：2小时内响应到用户现场。如果故障在检修8小时后仍无法排除，投标人应在24小时内提供不低于故障产品规格型号档次的备用产品供用户使用，直至故障产品修复。对于重大紧急故障，中标人技术人员在2小时内到达最终用户现场免费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质保期内，中标人须每月派人上门按照国家现行的有关维修保养规范进行系统、全面的维修和保养，检查各系统的各功能和情况是否正常使用，发现问题及时处理，每次检测均要书面记录，并经双方签字认可，留作存档备查。</w:t>
      </w:r>
    </w:p>
    <w:p>
      <w:pPr>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lang w:eastAsia="zh-CN"/>
        </w:rPr>
        <w:t>采购人配合事项</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1、踏勘现场：本项目不组织投标人统一对项目现场进行踏勘，有需要的投标人可自行进行踏勘，以便获取编制投标文件和签署合同所需的所有资料。踏勘现场所发生的费用由投标人自己承担。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rPr>
        <w:t>2、投标人在投标文件中要列明在项目实施过程中要求采购人提供的合理配合条件。</w:t>
      </w:r>
    </w:p>
    <w:p>
      <w:pPr>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五</w:t>
      </w:r>
      <w:r>
        <w:rPr>
          <w:rFonts w:hint="eastAsia" w:ascii="宋体" w:hAnsi="宋体" w:eastAsia="宋体" w:cs="宋体"/>
          <w:b/>
          <w:color w:val="auto"/>
          <w:sz w:val="21"/>
          <w:szCs w:val="21"/>
          <w:highlight w:val="none"/>
          <w:lang w:eastAsia="zh-CN"/>
        </w:rPr>
        <w:t>、其它</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投标人应根据采购要求，在投标文件中提供切实可行的实施服务方案。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2、中标单位在供货安装过程中必须采取足够的安全措施，确保施工的安全，并自行负责相关安全责任。</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3、中标单位在安装过程中，如需对场地作局部破损，必须在供货安装实施前取得采购人的书面同意，并承诺负责恢复原状，采购人不另行支付任何费用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4、报价须包含货物购置费、运至采购人指定地点的运输费、装卸费、保管费、售后服务费，以及所有相关税金等。</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5、项目过程中所产生的废弃材料（如废弃土方等）须由中标单位按安装相关规定自行安排处理，采购方将不再另外支付相关费用。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6、项目未尽事宜将在采购合同中另行约定，中标单位需无条件同意采购单位基于为顺利完成本项目所提出的各项合理要求。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7、项目清单为本次采购最低要求，各供应商可以自行优化供货计划，为本项目设计最优投标方案。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8、承包人需到供电公司完成本</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的报建，施工资质审核，施工方案审核，报停电计划，项目图纸电子化移交，施工前安全技术交底，工作票签发和验收等，在施工过程中完成电力电缆的试验，保证通电且取得验收合格证, 并完成</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的移交工作及拆除材料移交入仓手续，此过程产生的一切费用由承包人承担。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9、在施工过程中完成自动化设备的调试、验收，此过程产生的一切费用由承包人承担。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中标后中标单位须到当地主管部门进行项目施工备案</w:t>
      </w:r>
      <w:r>
        <w:rPr>
          <w:rFonts w:hint="eastAsia" w:ascii="宋体" w:hAnsi="宋体" w:eastAsia="宋体" w:cs="宋体"/>
          <w:color w:val="auto"/>
          <w:sz w:val="21"/>
          <w:szCs w:val="21"/>
          <w:highlight w:val="none"/>
        </w:rPr>
        <w:t>。</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投标人在投标中可以选用替代标准、品牌或型号，但这些替代要实质上满足或超过招标文件的要求。项目评审时，由评标委员会负责对投标人提供的替代标准、品牌或型号的响应性进行审查。</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12、项目服务期间，中标人如不具备项目实施过程中的施工类资质，可与采购人协商进行专业分包，经采购人同意后委托符合资质的企业承接本项目的非主体、非关键性工作，费用由中标人自行解决。</w:t>
      </w:r>
    </w:p>
    <w:p>
      <w:pPr>
        <w:pStyle w:val="2"/>
        <w:rPr>
          <w:rFonts w:hint="eastAsia"/>
          <w:color w:val="auto"/>
          <w:highlight w:val="none"/>
        </w:rPr>
      </w:pPr>
    </w:p>
    <w:p>
      <w:pPr>
        <w:jc w:val="center"/>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rPr>
          <w:color w:val="auto"/>
          <w:highlight w:val="none"/>
        </w:rPr>
      </w:pPr>
    </w:p>
    <w:p>
      <w:pPr>
        <w:pStyle w:val="34"/>
        <w:ind w:left="0" w:leftChars="0" w:firstLine="0" w:firstLineChars="0"/>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ind w:left="0" w:leftChars="0" w:firstLine="0" w:firstLineChars="0"/>
        <w:rPr>
          <w:color w:val="auto"/>
          <w:highlight w:val="none"/>
        </w:rPr>
      </w:pPr>
    </w:p>
    <w:p>
      <w:pPr>
        <w:pStyle w:val="4"/>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pPr>
        <w:pStyle w:val="5"/>
        <w:spacing w:line="240" w:lineRule="auto"/>
        <w:jc w:val="center"/>
        <w:rPr>
          <w:rFonts w:ascii="宋体" w:hAnsi="宋体" w:cs="宋体"/>
          <w:color w:val="auto"/>
          <w:highlight w:val="none"/>
        </w:rPr>
      </w:pPr>
      <w:bookmarkStart w:id="192" w:name="_Toc19575"/>
      <w:bookmarkStart w:id="193" w:name="_Toc8880"/>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23749"/>
      <w:bookmarkStart w:id="199" w:name="_Toc1478"/>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6"/>
        <w:rPr>
          <w:color w:val="auto"/>
          <w:highlight w:val="none"/>
        </w:rPr>
      </w:pPr>
    </w:p>
    <w:p>
      <w:pPr>
        <w:rPr>
          <w:color w:val="auto"/>
          <w:highlight w:val="none"/>
        </w:rPr>
      </w:pPr>
    </w:p>
    <w:p>
      <w:pPr>
        <w:pStyle w:val="5"/>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5"/>
        <w:rPr>
          <w:rFonts w:ascii="黑体" w:eastAsia="黑体"/>
          <w:color w:val="auto"/>
          <w:sz w:val="32"/>
          <w:szCs w:val="32"/>
          <w:highlight w:val="none"/>
        </w:rPr>
      </w:pPr>
    </w:p>
    <w:p>
      <w:pPr>
        <w:pStyle w:val="35"/>
        <w:rPr>
          <w:rFonts w:ascii="黑体" w:eastAsia="黑体"/>
          <w:color w:val="auto"/>
          <w:sz w:val="32"/>
          <w:szCs w:val="32"/>
          <w:highlight w:val="none"/>
        </w:rPr>
      </w:pPr>
    </w:p>
    <w:p>
      <w:pPr>
        <w:pStyle w:val="5"/>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5"/>
        <w:rPr>
          <w:color w:val="auto"/>
          <w:highlight w:val="none"/>
        </w:rPr>
      </w:pPr>
    </w:p>
    <w:p>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17761"/>
      <w:bookmarkStart w:id="223" w:name="_Toc508960153"/>
      <w:bookmarkStart w:id="224" w:name="_Toc508898066"/>
      <w:bookmarkStart w:id="225" w:name="_Toc509479530"/>
      <w:bookmarkStart w:id="226" w:name="_Toc30247"/>
      <w:bookmarkStart w:id="227" w:name="_Toc30277"/>
      <w:bookmarkStart w:id="228" w:name="_Toc509844825"/>
      <w:bookmarkStart w:id="229" w:name="_Toc508958703"/>
      <w:bookmarkStart w:id="230" w:name="_Toc509927455"/>
      <w:bookmarkStart w:id="231" w:name="_Toc20910"/>
      <w:bookmarkStart w:id="232" w:name="_Toc510171693"/>
      <w:bookmarkStart w:id="233" w:name="_Toc2297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10171694"/>
      <w:bookmarkStart w:id="235" w:name="_Toc26216"/>
      <w:bookmarkStart w:id="236" w:name="_Toc31520"/>
      <w:bookmarkStart w:id="237" w:name="_Toc5447"/>
      <w:bookmarkStart w:id="238" w:name="_Toc509844826"/>
      <w:bookmarkStart w:id="239" w:name="_Toc509479531"/>
      <w:bookmarkStart w:id="240" w:name="_Toc509927456"/>
      <w:bookmarkStart w:id="241" w:name="_Toc508960154"/>
      <w:bookmarkStart w:id="242" w:name="_Toc508958704"/>
      <w:bookmarkStart w:id="243" w:name="_Toc21053"/>
      <w:bookmarkStart w:id="244" w:name="_Toc508898067"/>
      <w:bookmarkStart w:id="245" w:name="_Toc2852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8126"/>
      <w:bookmarkStart w:id="247" w:name="_Toc24848"/>
      <w:bookmarkStart w:id="248" w:name="_Toc508898068"/>
      <w:bookmarkStart w:id="249" w:name="_Toc509844827"/>
      <w:bookmarkStart w:id="250" w:name="_Toc510171695"/>
      <w:bookmarkStart w:id="251" w:name="_Toc509479532"/>
      <w:bookmarkStart w:id="252" w:name="_Toc14653"/>
      <w:bookmarkStart w:id="253" w:name="_Toc508960155"/>
      <w:bookmarkStart w:id="254" w:name="_Toc508958705"/>
      <w:bookmarkStart w:id="255" w:name="_Toc9148"/>
      <w:bookmarkStart w:id="256" w:name="_Toc509927457"/>
      <w:bookmarkStart w:id="257"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8958706"/>
      <w:bookmarkStart w:id="259" w:name="_Toc7858"/>
      <w:bookmarkStart w:id="260" w:name="_Toc22981"/>
      <w:bookmarkStart w:id="261" w:name="_Toc509927458"/>
      <w:bookmarkStart w:id="262" w:name="_Toc509844828"/>
      <w:bookmarkStart w:id="263" w:name="_Toc9837"/>
      <w:bookmarkStart w:id="264" w:name="_Toc28686"/>
      <w:bookmarkStart w:id="265" w:name="_Toc510171696"/>
      <w:bookmarkStart w:id="266" w:name="_Toc28044"/>
      <w:bookmarkStart w:id="267" w:name="_Toc509479533"/>
      <w:bookmarkStart w:id="268" w:name="_Toc508960156"/>
      <w:bookmarkStart w:id="269"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10171697"/>
      <w:bookmarkStart w:id="271" w:name="_Toc18843"/>
      <w:bookmarkStart w:id="272" w:name="_Toc5289"/>
      <w:bookmarkStart w:id="273" w:name="_Toc508958707"/>
      <w:bookmarkStart w:id="274" w:name="_Toc509844829"/>
      <w:bookmarkStart w:id="275" w:name="_Toc509927459"/>
      <w:bookmarkStart w:id="276" w:name="_Toc508898070"/>
      <w:bookmarkStart w:id="277" w:name="_Toc509479534"/>
      <w:bookmarkStart w:id="278" w:name="_Toc50896015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1"/>
        <w:spacing w:line="500" w:lineRule="atLeast"/>
        <w:ind w:firstLine="3517" w:firstLineChars="1675"/>
        <w:rPr>
          <w:rFonts w:ascii="宋体" w:eastAsia="宋体"/>
          <w:color w:val="auto"/>
          <w:sz w:val="21"/>
          <w:szCs w:val="21"/>
          <w:highlight w:val="none"/>
        </w:rPr>
      </w:pP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1"/>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29995"/>
      <w:bookmarkStart w:id="296" w:name="_Toc24210"/>
      <w:bookmarkStart w:id="297" w:name="_Toc1511"/>
      <w:bookmarkStart w:id="298" w:name="_Toc4926"/>
      <w:bookmarkStart w:id="299" w:name="_Toc5919"/>
      <w:bookmarkStart w:id="300" w:name="_Toc28067"/>
      <w:bookmarkStart w:id="301" w:name="_Toc1747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1"/>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8668"/>
      <w:bookmarkStart w:id="320" w:name="_Toc1274"/>
      <w:bookmarkStart w:id="321" w:name="_Toc4827"/>
      <w:bookmarkStart w:id="322" w:name="_Toc6080"/>
      <w:bookmarkStart w:id="323" w:name="_Toc26078"/>
      <w:bookmarkStart w:id="324" w:name="_Toc4464"/>
    </w:p>
    <w:p>
      <w:pPr>
        <w:pStyle w:val="5"/>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7079"/>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21739"/>
            <w:bookmarkStart w:id="331" w:name="_Toc14815"/>
            <w:bookmarkStart w:id="332" w:name="_Toc16872"/>
            <w:bookmarkStart w:id="333" w:name="_Toc4304"/>
            <w:bookmarkStart w:id="334" w:name="_Toc12049"/>
            <w:bookmarkStart w:id="335" w:name="_Toc10045"/>
            <w:bookmarkStart w:id="336" w:name="_Toc27090"/>
            <w:bookmarkStart w:id="337" w:name="_Toc15368"/>
            <w:bookmarkStart w:id="338" w:name="_Toc15903"/>
            <w:bookmarkStart w:id="339" w:name="_Toc2700"/>
            <w:bookmarkStart w:id="340" w:name="_Toc26124"/>
            <w:bookmarkStart w:id="341" w:name="_Toc1016"/>
            <w:bookmarkStart w:id="342" w:name="_Toc22448"/>
            <w:bookmarkStart w:id="343" w:name="_Toc24662"/>
            <w:bookmarkStart w:id="344" w:name="_Toc8312"/>
            <w:bookmarkStart w:id="345" w:name="_Toc32531"/>
            <w:bookmarkStart w:id="346" w:name="_Toc8490"/>
            <w:bookmarkStart w:id="347" w:name="_Toc21809"/>
            <w:bookmarkStart w:id="348" w:name="_Toc19251"/>
            <w:bookmarkStart w:id="349" w:name="_Toc27442"/>
            <w:bookmarkStart w:id="350" w:name="_Toc22917"/>
            <w:bookmarkStart w:id="351" w:name="_Toc7333"/>
            <w:bookmarkStart w:id="352" w:name="_Toc2287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2153"/>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27185"/>
            <w:bookmarkStart w:id="360" w:name="_Toc5992"/>
            <w:bookmarkStart w:id="361" w:name="_Toc17642"/>
            <w:bookmarkStart w:id="362" w:name="_Toc1912"/>
            <w:bookmarkStart w:id="363" w:name="_Toc20139"/>
            <w:bookmarkStart w:id="364" w:name="_Toc17296"/>
            <w:bookmarkStart w:id="365" w:name="_Toc1330"/>
            <w:bookmarkStart w:id="366" w:name="_Toc3701"/>
            <w:bookmarkStart w:id="367" w:name="_Toc5563"/>
            <w:bookmarkStart w:id="368" w:name="_Toc20820"/>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19105"/>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w:t>
      </w:r>
    </w:p>
    <w:p>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8"/>
        <w:rPr>
          <w:rFonts w:ascii="宋体" w:hAnsi="宋体"/>
          <w:color w:val="auto"/>
          <w:szCs w:val="21"/>
          <w:highlight w:val="none"/>
        </w:rPr>
      </w:pPr>
    </w:p>
    <w:p>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pStyle w:val="5"/>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b13fb730-b0a0-4147-aa28-b7e44dccb3a4"/>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C41BE8"/>
    <w:rsid w:val="04DF1036"/>
    <w:rsid w:val="05050E59"/>
    <w:rsid w:val="050F6021"/>
    <w:rsid w:val="05A97DEC"/>
    <w:rsid w:val="05C81981"/>
    <w:rsid w:val="05C9779C"/>
    <w:rsid w:val="064E6EC7"/>
    <w:rsid w:val="065A32ED"/>
    <w:rsid w:val="06BC41F2"/>
    <w:rsid w:val="06DF3DBD"/>
    <w:rsid w:val="06EA08AE"/>
    <w:rsid w:val="06FD0E8A"/>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7864F3"/>
    <w:rsid w:val="089F1700"/>
    <w:rsid w:val="08A276E5"/>
    <w:rsid w:val="09061A75"/>
    <w:rsid w:val="09182241"/>
    <w:rsid w:val="09242E62"/>
    <w:rsid w:val="093C069F"/>
    <w:rsid w:val="09417888"/>
    <w:rsid w:val="096332E7"/>
    <w:rsid w:val="09855177"/>
    <w:rsid w:val="09870F93"/>
    <w:rsid w:val="099E0D79"/>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552CAB"/>
    <w:rsid w:val="0C7B2220"/>
    <w:rsid w:val="0D890E47"/>
    <w:rsid w:val="0DBD266C"/>
    <w:rsid w:val="0DC64A00"/>
    <w:rsid w:val="0DFC60BA"/>
    <w:rsid w:val="0E1243D2"/>
    <w:rsid w:val="0E4249F1"/>
    <w:rsid w:val="0E7A447D"/>
    <w:rsid w:val="0E8417B5"/>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67657C"/>
    <w:rsid w:val="12C60D80"/>
    <w:rsid w:val="131867D4"/>
    <w:rsid w:val="131F7A3A"/>
    <w:rsid w:val="132645D0"/>
    <w:rsid w:val="13455ABC"/>
    <w:rsid w:val="1370322B"/>
    <w:rsid w:val="13A21329"/>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CF7BDC"/>
    <w:rsid w:val="17D54E75"/>
    <w:rsid w:val="17E62B67"/>
    <w:rsid w:val="180C0192"/>
    <w:rsid w:val="180F4499"/>
    <w:rsid w:val="18221ECE"/>
    <w:rsid w:val="190B7894"/>
    <w:rsid w:val="19302282"/>
    <w:rsid w:val="19A2789F"/>
    <w:rsid w:val="19F0243E"/>
    <w:rsid w:val="1A2C3A27"/>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6B76B3"/>
    <w:rsid w:val="1EA40BB4"/>
    <w:rsid w:val="1F43381C"/>
    <w:rsid w:val="1F6170AE"/>
    <w:rsid w:val="1FA4148D"/>
    <w:rsid w:val="20121621"/>
    <w:rsid w:val="201A421D"/>
    <w:rsid w:val="202F0AD2"/>
    <w:rsid w:val="20341172"/>
    <w:rsid w:val="204E554F"/>
    <w:rsid w:val="20590035"/>
    <w:rsid w:val="20C35213"/>
    <w:rsid w:val="20FC799E"/>
    <w:rsid w:val="21CD5F4F"/>
    <w:rsid w:val="22154DDD"/>
    <w:rsid w:val="22213E42"/>
    <w:rsid w:val="22336873"/>
    <w:rsid w:val="226A41D4"/>
    <w:rsid w:val="23175889"/>
    <w:rsid w:val="23675953"/>
    <w:rsid w:val="23715230"/>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5E3AFD"/>
    <w:rsid w:val="297A5FC4"/>
    <w:rsid w:val="2A1113BC"/>
    <w:rsid w:val="2A8D4F8F"/>
    <w:rsid w:val="2A911082"/>
    <w:rsid w:val="2A917B34"/>
    <w:rsid w:val="2AE3766F"/>
    <w:rsid w:val="2B174B96"/>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E449B6"/>
    <w:rsid w:val="2FF37AB3"/>
    <w:rsid w:val="304A650F"/>
    <w:rsid w:val="30890978"/>
    <w:rsid w:val="308C7755"/>
    <w:rsid w:val="30DE36F9"/>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DE1E08"/>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45FC4"/>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905BAD"/>
    <w:rsid w:val="40A51286"/>
    <w:rsid w:val="40CE3DC0"/>
    <w:rsid w:val="40D7455A"/>
    <w:rsid w:val="40E743E5"/>
    <w:rsid w:val="4110038E"/>
    <w:rsid w:val="41734CBA"/>
    <w:rsid w:val="41C01B53"/>
    <w:rsid w:val="41DD7057"/>
    <w:rsid w:val="420F7A65"/>
    <w:rsid w:val="4216611A"/>
    <w:rsid w:val="422D4870"/>
    <w:rsid w:val="423E300F"/>
    <w:rsid w:val="425656C8"/>
    <w:rsid w:val="4257273C"/>
    <w:rsid w:val="425D7213"/>
    <w:rsid w:val="42605346"/>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DF26DE"/>
    <w:rsid w:val="46E004E6"/>
    <w:rsid w:val="47841568"/>
    <w:rsid w:val="479D1D34"/>
    <w:rsid w:val="47B609C0"/>
    <w:rsid w:val="47CF543E"/>
    <w:rsid w:val="482D31EA"/>
    <w:rsid w:val="4833116F"/>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C84BDF"/>
    <w:rsid w:val="4DF6568D"/>
    <w:rsid w:val="4E2E1A80"/>
    <w:rsid w:val="4E550010"/>
    <w:rsid w:val="4E5F14CB"/>
    <w:rsid w:val="4E7F5FBD"/>
    <w:rsid w:val="4F3705F8"/>
    <w:rsid w:val="4F4C7762"/>
    <w:rsid w:val="4F651D09"/>
    <w:rsid w:val="4FAC3540"/>
    <w:rsid w:val="4FBB12F4"/>
    <w:rsid w:val="4FCF1583"/>
    <w:rsid w:val="4FFA7625"/>
    <w:rsid w:val="50026D7D"/>
    <w:rsid w:val="501B0BF9"/>
    <w:rsid w:val="50484E27"/>
    <w:rsid w:val="507D2599"/>
    <w:rsid w:val="5096229D"/>
    <w:rsid w:val="509B3BFC"/>
    <w:rsid w:val="50B44FCE"/>
    <w:rsid w:val="50DC4184"/>
    <w:rsid w:val="51330C53"/>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7675F9"/>
    <w:rsid w:val="57F13760"/>
    <w:rsid w:val="57FC2169"/>
    <w:rsid w:val="58096275"/>
    <w:rsid w:val="580E4560"/>
    <w:rsid w:val="581C04F1"/>
    <w:rsid w:val="582E6EF7"/>
    <w:rsid w:val="58434392"/>
    <w:rsid w:val="584E30E6"/>
    <w:rsid w:val="58D741D0"/>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75FDD"/>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4C6408"/>
    <w:rsid w:val="608179EA"/>
    <w:rsid w:val="608544E6"/>
    <w:rsid w:val="60A4258E"/>
    <w:rsid w:val="61014BB6"/>
    <w:rsid w:val="61027308"/>
    <w:rsid w:val="610A37F7"/>
    <w:rsid w:val="612E1A5D"/>
    <w:rsid w:val="61816046"/>
    <w:rsid w:val="61C55CA9"/>
    <w:rsid w:val="61FF417F"/>
    <w:rsid w:val="62182687"/>
    <w:rsid w:val="62391564"/>
    <w:rsid w:val="626D6B63"/>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A229F3"/>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0227AC"/>
    <w:rsid w:val="6B1002C0"/>
    <w:rsid w:val="6B1F5CFA"/>
    <w:rsid w:val="6B723594"/>
    <w:rsid w:val="6B805156"/>
    <w:rsid w:val="6BD50977"/>
    <w:rsid w:val="6BEA2A9B"/>
    <w:rsid w:val="6BFC3A16"/>
    <w:rsid w:val="6C174144"/>
    <w:rsid w:val="6C187AE1"/>
    <w:rsid w:val="6C9C0875"/>
    <w:rsid w:val="6C9D1F03"/>
    <w:rsid w:val="6CAA3931"/>
    <w:rsid w:val="6D3933CA"/>
    <w:rsid w:val="6D7B61EC"/>
    <w:rsid w:val="6DC3266E"/>
    <w:rsid w:val="6DD049FF"/>
    <w:rsid w:val="6DDB72FC"/>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B239C2"/>
    <w:rsid w:val="6FBC5308"/>
    <w:rsid w:val="6FD47A25"/>
    <w:rsid w:val="6FE77107"/>
    <w:rsid w:val="6FF44026"/>
    <w:rsid w:val="6FFB146E"/>
    <w:rsid w:val="70180A92"/>
    <w:rsid w:val="701A5C74"/>
    <w:rsid w:val="706516C3"/>
    <w:rsid w:val="707B510C"/>
    <w:rsid w:val="70864A71"/>
    <w:rsid w:val="70896E68"/>
    <w:rsid w:val="70D35446"/>
    <w:rsid w:val="710D751E"/>
    <w:rsid w:val="714556B4"/>
    <w:rsid w:val="715B60E9"/>
    <w:rsid w:val="71E96309"/>
    <w:rsid w:val="71EA1FED"/>
    <w:rsid w:val="72284A0C"/>
    <w:rsid w:val="722853DA"/>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67F59"/>
    <w:rsid w:val="754D77D2"/>
    <w:rsid w:val="755948DD"/>
    <w:rsid w:val="755D38A7"/>
    <w:rsid w:val="755D72AA"/>
    <w:rsid w:val="755F5A0F"/>
    <w:rsid w:val="75614792"/>
    <w:rsid w:val="75784473"/>
    <w:rsid w:val="757E044C"/>
    <w:rsid w:val="75977BC3"/>
    <w:rsid w:val="75B161B3"/>
    <w:rsid w:val="75C56F82"/>
    <w:rsid w:val="75E470E3"/>
    <w:rsid w:val="762F7BAA"/>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901032"/>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autoRedefine/>
    <w:unhideWhenUsed/>
    <w:qFormat/>
    <w:uiPriority w:val="9"/>
    <w:pPr>
      <w:keepNext/>
      <w:keepLines/>
      <w:outlineLvl w:val="2"/>
    </w:pPr>
    <w:rPr>
      <w:b/>
      <w:bCs/>
      <w:sz w:val="28"/>
      <w:szCs w:val="32"/>
    </w:rPr>
  </w:style>
  <w:style w:type="paragraph" w:styleId="6">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autoRedefine/>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9">
    <w:name w:val="Normal Indent"/>
    <w:basedOn w:val="1"/>
    <w:autoRedefine/>
    <w:qFormat/>
    <w:uiPriority w:val="0"/>
    <w:pPr>
      <w:autoSpaceDE w:val="0"/>
      <w:autoSpaceDN w:val="0"/>
      <w:adjustRightInd w:val="0"/>
      <w:ind w:firstLine="420"/>
      <w:jc w:val="left"/>
      <w:textAlignment w:val="baseline"/>
    </w:pPr>
    <w:rPr>
      <w:rFonts w:ascii="宋体"/>
      <w:kern w:val="0"/>
      <w:sz w:val="34"/>
      <w:szCs w:val="20"/>
    </w:rPr>
  </w:style>
  <w:style w:type="paragraph" w:styleId="10">
    <w:name w:val="annotation text"/>
    <w:basedOn w:val="1"/>
    <w:autoRedefine/>
    <w:semiHidden/>
    <w:unhideWhenUsed/>
    <w:qFormat/>
    <w:uiPriority w:val="99"/>
  </w:style>
  <w:style w:type="paragraph" w:styleId="11">
    <w:name w:val="toc 3"/>
    <w:basedOn w:val="1"/>
    <w:next w:val="1"/>
    <w:autoRedefine/>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autoRedefine/>
    <w:qFormat/>
    <w:uiPriority w:val="0"/>
    <w:pPr>
      <w:ind w:firstLine="539" w:firstLineChars="174"/>
    </w:pPr>
    <w:rPr>
      <w:rFonts w:ascii="仿宋_GB2312" w:eastAsia="仿宋_GB2312"/>
      <w:sz w:val="31"/>
    </w:rPr>
  </w:style>
  <w:style w:type="paragraph" w:styleId="14">
    <w:name w:val="Balloon Text"/>
    <w:basedOn w:val="1"/>
    <w:link w:val="52"/>
    <w:autoRedefine/>
    <w:semiHidden/>
    <w:unhideWhenUsed/>
    <w:qFormat/>
    <w:uiPriority w:val="99"/>
    <w:rPr>
      <w:sz w:val="18"/>
      <w:szCs w:val="18"/>
    </w:rPr>
  </w:style>
  <w:style w:type="paragraph" w:styleId="15">
    <w:name w:val="footer"/>
    <w:basedOn w:val="1"/>
    <w:link w:val="51"/>
    <w:autoRedefine/>
    <w:unhideWhenUsed/>
    <w:qFormat/>
    <w:uiPriority w:val="99"/>
    <w:pPr>
      <w:tabs>
        <w:tab w:val="center" w:pos="4153"/>
        <w:tab w:val="right" w:pos="8306"/>
      </w:tabs>
    </w:pPr>
    <w:rPr>
      <w:sz w:val="18"/>
      <w:szCs w:val="18"/>
    </w:rPr>
  </w:style>
  <w:style w:type="paragraph" w:styleId="16">
    <w:name w:val="header"/>
    <w:basedOn w:val="1"/>
    <w:link w:val="50"/>
    <w:autoRedefine/>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autoRedefine/>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autoRedefine/>
    <w:qFormat/>
    <w:uiPriority w:val="0"/>
    <w:rPr>
      <w:rFonts w:ascii="Times New Roman" w:hAnsi="Times New Roman"/>
      <w:szCs w:val="20"/>
    </w:rPr>
  </w:style>
  <w:style w:type="paragraph" w:styleId="20">
    <w:name w:val="index 1"/>
    <w:basedOn w:val="1"/>
    <w:next w:val="1"/>
    <w:autoRedefine/>
    <w:unhideWhenUsed/>
    <w:qFormat/>
    <w:uiPriority w:val="99"/>
  </w:style>
  <w:style w:type="paragraph" w:styleId="21">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22">
    <w:name w:val="footnote text"/>
    <w:basedOn w:val="1"/>
    <w:autoRedefine/>
    <w:semiHidden/>
    <w:unhideWhenUsed/>
    <w:qFormat/>
    <w:uiPriority w:val="99"/>
    <w:rPr>
      <w:sz w:val="18"/>
    </w:rPr>
  </w:style>
  <w:style w:type="paragraph" w:styleId="23">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autoRedefine/>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2"/>
    <w:autoRedefine/>
    <w:unhideWhenUsed/>
    <w:qFormat/>
    <w:uiPriority w:val="99"/>
    <w:pPr>
      <w:ind w:firstLine="420" w:firstLineChars="100"/>
    </w:pPr>
    <w:rPr>
      <w:rFonts w:ascii="Times New Roman" w:hAnsi="Times New Roman" w:cs="Times New Roman"/>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autoRedefine/>
    <w:qFormat/>
    <w:uiPriority w:val="20"/>
    <w:rPr>
      <w:i/>
      <w:iCs/>
    </w:rPr>
  </w:style>
  <w:style w:type="character" w:styleId="31">
    <w:name w:val="Hyperlink"/>
    <w:autoRedefine/>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autoRedefine/>
    <w:semiHidden/>
    <w:unhideWhenUsed/>
    <w:qFormat/>
    <w:uiPriority w:val="99"/>
    <w:rPr>
      <w:sz w:val="21"/>
      <w:szCs w:val="21"/>
    </w:rPr>
  </w:style>
  <w:style w:type="character" w:styleId="33">
    <w:name w:val="footnote reference"/>
    <w:basedOn w:val="29"/>
    <w:autoRedefine/>
    <w:semiHidden/>
    <w:unhideWhenUsed/>
    <w:qFormat/>
    <w:uiPriority w:val="99"/>
    <w:rPr>
      <w:vertAlign w:val="superscript"/>
    </w:rPr>
  </w:style>
  <w:style w:type="paragraph" w:customStyle="1" w:styleId="34">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autoRedefine/>
    <w:qFormat/>
    <w:uiPriority w:val="0"/>
    <w:pPr>
      <w:adjustRightInd/>
      <w:spacing w:before="25" w:after="25"/>
    </w:pPr>
    <w:rPr>
      <w:rFonts w:ascii="Times New Roman"/>
      <w:bCs/>
      <w:spacing w:val="10"/>
      <w:szCs w:val="20"/>
    </w:rPr>
  </w:style>
  <w:style w:type="character" w:customStyle="1" w:styleId="36">
    <w:name w:val="标题 2 Char"/>
    <w:basedOn w:val="29"/>
    <w:link w:val="4"/>
    <w:autoRedefine/>
    <w:qFormat/>
    <w:uiPriority w:val="9"/>
    <w:rPr>
      <w:rFonts w:asciiTheme="majorHAnsi" w:hAnsiTheme="majorHAnsi" w:eastAsiaTheme="majorEastAsia" w:cstheme="majorBidi"/>
      <w:b/>
      <w:bCs/>
      <w:sz w:val="32"/>
      <w:szCs w:val="32"/>
    </w:rPr>
  </w:style>
  <w:style w:type="character" w:customStyle="1" w:styleId="37">
    <w:name w:val="标题 3 Char"/>
    <w:basedOn w:val="29"/>
    <w:link w:val="5"/>
    <w:autoRedefine/>
    <w:qFormat/>
    <w:uiPriority w:val="9"/>
    <w:rPr>
      <w:rFonts w:ascii="Tahoma" w:hAnsi="Tahoma" w:eastAsia="宋体"/>
      <w:b/>
      <w:bCs/>
      <w:sz w:val="28"/>
      <w:szCs w:val="32"/>
    </w:rPr>
  </w:style>
  <w:style w:type="paragraph" w:styleId="38">
    <w:name w:val="List Paragraph"/>
    <w:basedOn w:val="1"/>
    <w:autoRedefine/>
    <w:qFormat/>
    <w:uiPriority w:val="34"/>
    <w:pPr>
      <w:ind w:firstLine="420" w:firstLineChars="200"/>
    </w:pPr>
  </w:style>
  <w:style w:type="character" w:customStyle="1" w:styleId="39">
    <w:name w:val="标题 4 Char"/>
    <w:basedOn w:val="29"/>
    <w:link w:val="6"/>
    <w:autoRedefine/>
    <w:qFormat/>
    <w:uiPriority w:val="9"/>
    <w:rPr>
      <w:rFonts w:eastAsia="宋体" w:asciiTheme="majorHAnsi" w:hAnsiTheme="majorHAnsi" w:cstheme="majorBidi"/>
      <w:b/>
      <w:bCs/>
      <w:sz w:val="24"/>
      <w:szCs w:val="28"/>
    </w:rPr>
  </w:style>
  <w:style w:type="character" w:customStyle="1" w:styleId="40">
    <w:name w:val="正文缩进2格 Char"/>
    <w:link w:val="41"/>
    <w:autoRedefine/>
    <w:qFormat/>
    <w:uiPriority w:val="0"/>
    <w:rPr>
      <w:rFonts w:ascii="仿宋_GB2312" w:hAnsi="宋体" w:eastAsia="仿宋_GB2312"/>
      <w:kern w:val="2"/>
      <w:sz w:val="31"/>
    </w:rPr>
  </w:style>
  <w:style w:type="paragraph" w:customStyle="1" w:styleId="41">
    <w:name w:val="正文缩进2格"/>
    <w:basedOn w:val="1"/>
    <w:next w:val="1"/>
    <w:link w:val="40"/>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autoRedefine/>
    <w:qFormat/>
    <w:uiPriority w:val="0"/>
    <w:pPr>
      <w:ind w:left="2" w:firstLine="538" w:firstLineChars="192"/>
    </w:pPr>
    <w:rPr>
      <w:color w:val="0000FF"/>
      <w:sz w:val="28"/>
    </w:rPr>
  </w:style>
  <w:style w:type="character" w:customStyle="1" w:styleId="43">
    <w:name w:val="正文缩进2格 Char Char"/>
    <w:autoRedefine/>
    <w:qFormat/>
    <w:uiPriority w:val="0"/>
    <w:rPr>
      <w:rFonts w:ascii="仿宋_GB2312" w:hAnsi="宋体" w:eastAsia="仿宋_GB2312" w:cs="Times New Roman"/>
      <w:b/>
      <w:kern w:val="2"/>
      <w:sz w:val="31"/>
      <w:szCs w:val="28"/>
      <w:lang w:val="en-US" w:eastAsia="zh-CN" w:bidi="ar-SA"/>
    </w:rPr>
  </w:style>
  <w:style w:type="character" w:customStyle="1" w:styleId="44">
    <w:name w:val="标题1"/>
    <w:autoRedefine/>
    <w:qFormat/>
    <w:uiPriority w:val="0"/>
    <w:rPr>
      <w:rFonts w:ascii="Times New Roman" w:hAnsi="Times New Roman" w:eastAsia="宋体" w:cs="Times New Roman"/>
      <w:b/>
      <w:kern w:val="0"/>
      <w:sz w:val="24"/>
      <w:szCs w:val="20"/>
      <w:lang w:eastAsia="en-US"/>
    </w:rPr>
  </w:style>
  <w:style w:type="character" w:customStyle="1" w:styleId="45">
    <w:name w:val="标题 3.1 Char"/>
    <w:link w:val="46"/>
    <w:autoRedefine/>
    <w:qFormat/>
    <w:uiPriority w:val="0"/>
    <w:rPr>
      <w:rFonts w:ascii="宋体" w:hAnsi="宋体" w:eastAsia="宋体"/>
      <w:b/>
      <w:color w:val="FF0000"/>
      <w:kern w:val="2"/>
      <w:sz w:val="32"/>
    </w:rPr>
  </w:style>
  <w:style w:type="paragraph" w:customStyle="1" w:styleId="46">
    <w:name w:val="标题 3.1"/>
    <w:basedOn w:val="5"/>
    <w:link w:val="45"/>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autoRedefine/>
    <w:qFormat/>
    <w:uiPriority w:val="0"/>
    <w:rPr>
      <w:rFonts w:ascii="楷体_GB2312" w:hAnsi="楷体_GB2312" w:eastAsia="仿宋_GB2312"/>
      <w:sz w:val="24"/>
    </w:rPr>
  </w:style>
  <w:style w:type="character" w:customStyle="1" w:styleId="48">
    <w:name w:val="纯文本 Char"/>
    <w:autoRedefine/>
    <w:qFormat/>
    <w:uiPriority w:val="0"/>
    <w:rPr>
      <w:rFonts w:ascii="宋体" w:hAnsi="Courier New" w:eastAsia="宋体" w:cs="Times New Roman"/>
      <w:b/>
      <w:kern w:val="2"/>
      <w:sz w:val="21"/>
      <w:szCs w:val="20"/>
    </w:rPr>
  </w:style>
  <w:style w:type="character" w:customStyle="1" w:styleId="49">
    <w:name w:val="纯文本 Char1"/>
    <w:basedOn w:val="29"/>
    <w:link w:val="12"/>
    <w:autoRedefine/>
    <w:semiHidden/>
    <w:qFormat/>
    <w:uiPriority w:val="99"/>
    <w:rPr>
      <w:rFonts w:ascii="宋体" w:hAnsi="Courier New" w:eastAsia="宋体" w:cs="Courier New"/>
      <w:sz w:val="21"/>
      <w:szCs w:val="21"/>
    </w:rPr>
  </w:style>
  <w:style w:type="character" w:customStyle="1" w:styleId="50">
    <w:name w:val="页眉 Char"/>
    <w:basedOn w:val="29"/>
    <w:link w:val="16"/>
    <w:autoRedefine/>
    <w:qFormat/>
    <w:uiPriority w:val="99"/>
    <w:rPr>
      <w:rFonts w:ascii="Tahoma" w:hAnsi="Tahoma"/>
      <w:sz w:val="18"/>
      <w:szCs w:val="18"/>
    </w:rPr>
  </w:style>
  <w:style w:type="character" w:customStyle="1" w:styleId="51">
    <w:name w:val="页脚 Char"/>
    <w:basedOn w:val="29"/>
    <w:link w:val="15"/>
    <w:autoRedefine/>
    <w:qFormat/>
    <w:uiPriority w:val="99"/>
    <w:rPr>
      <w:rFonts w:ascii="Tahoma" w:hAnsi="Tahoma"/>
      <w:sz w:val="18"/>
      <w:szCs w:val="18"/>
    </w:rPr>
  </w:style>
  <w:style w:type="character" w:customStyle="1" w:styleId="52">
    <w:name w:val="批注框文本 Char"/>
    <w:basedOn w:val="29"/>
    <w:link w:val="14"/>
    <w:autoRedefine/>
    <w:semiHidden/>
    <w:qFormat/>
    <w:uiPriority w:val="99"/>
    <w:rPr>
      <w:rFonts w:ascii="Tahoma" w:hAnsi="Tahoma"/>
      <w:sz w:val="18"/>
      <w:szCs w:val="18"/>
    </w:rPr>
  </w:style>
  <w:style w:type="paragraph" w:customStyle="1" w:styleId="53">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autoRedefine/>
    <w:qFormat/>
    <w:uiPriority w:val="0"/>
    <w:rPr>
      <w:rFonts w:eastAsia="宋体"/>
      <w:kern w:val="2"/>
      <w:sz w:val="24"/>
      <w:szCs w:val="24"/>
    </w:rPr>
  </w:style>
  <w:style w:type="paragraph" w:customStyle="1" w:styleId="55">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autoRedefine/>
    <w:qFormat/>
    <w:uiPriority w:val="0"/>
    <w:rPr>
      <w:sz w:val="21"/>
      <w:szCs w:val="21"/>
    </w:rPr>
  </w:style>
  <w:style w:type="paragraph" w:customStyle="1" w:styleId="57">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autoRedefine/>
    <w:qFormat/>
    <w:uiPriority w:val="0"/>
    <w:pPr>
      <w:ind w:firstLine="0" w:firstLineChars="0"/>
    </w:pPr>
  </w:style>
  <w:style w:type="paragraph" w:customStyle="1" w:styleId="59">
    <w:name w:val="一级条标题"/>
    <w:basedOn w:val="60"/>
    <w:next w:val="61"/>
    <w:autoRedefine/>
    <w:qFormat/>
    <w:uiPriority w:val="0"/>
    <w:pPr>
      <w:tabs>
        <w:tab w:val="left" w:pos="720"/>
      </w:tabs>
      <w:spacing w:beforeLines="0" w:afterLines="0"/>
      <w:outlineLvl w:val="2"/>
    </w:pPr>
  </w:style>
  <w:style w:type="paragraph" w:customStyle="1" w:styleId="60">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autoRedefine/>
    <w:qFormat/>
    <w:uiPriority w:val="0"/>
    <w:rPr>
      <w:rFonts w:ascii="宋体" w:hAnsi="宋体" w:eastAsia="宋体" w:cs="宋体"/>
      <w:color w:val="000000"/>
      <w:sz w:val="22"/>
      <w:szCs w:val="22"/>
      <w:u w:val="none"/>
    </w:rPr>
  </w:style>
  <w:style w:type="character" w:customStyle="1" w:styleId="63">
    <w:name w:val="font41"/>
    <w:basedOn w:val="29"/>
    <w:autoRedefine/>
    <w:qFormat/>
    <w:uiPriority w:val="0"/>
    <w:rPr>
      <w:rFonts w:hint="eastAsia" w:ascii="宋体" w:hAnsi="宋体" w:eastAsia="宋体" w:cs="宋体"/>
      <w:color w:val="000000"/>
      <w:sz w:val="22"/>
      <w:szCs w:val="22"/>
      <w:u w:val="none"/>
    </w:rPr>
  </w:style>
  <w:style w:type="character" w:customStyle="1" w:styleId="64">
    <w:name w:val="font181"/>
    <w:basedOn w:val="29"/>
    <w:autoRedefine/>
    <w:qFormat/>
    <w:uiPriority w:val="0"/>
    <w:rPr>
      <w:rFonts w:hint="default" w:ascii="Times New Roman" w:hAnsi="Times New Roman" w:cs="Times New Roman"/>
      <w:color w:val="000000"/>
      <w:sz w:val="22"/>
      <w:szCs w:val="22"/>
      <w:u w:val="none"/>
    </w:rPr>
  </w:style>
  <w:style w:type="character" w:customStyle="1" w:styleId="65">
    <w:name w:val="font221"/>
    <w:basedOn w:val="29"/>
    <w:autoRedefine/>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autoRedefine/>
    <w:qFormat/>
    <w:uiPriority w:val="0"/>
    <w:rPr>
      <w:rFonts w:hint="eastAsia" w:ascii="宋体" w:hAnsi="宋体" w:eastAsia="宋体" w:cs="宋体"/>
      <w:color w:val="000000"/>
      <w:sz w:val="22"/>
      <w:szCs w:val="22"/>
      <w:u w:val="none"/>
    </w:rPr>
  </w:style>
  <w:style w:type="character" w:customStyle="1" w:styleId="67">
    <w:name w:val="font131"/>
    <w:basedOn w:val="29"/>
    <w:autoRedefine/>
    <w:qFormat/>
    <w:uiPriority w:val="0"/>
    <w:rPr>
      <w:rFonts w:hint="eastAsia" w:ascii="微软雅黑" w:hAnsi="微软雅黑" w:eastAsia="微软雅黑" w:cs="微软雅黑"/>
      <w:color w:val="000000"/>
      <w:sz w:val="22"/>
      <w:szCs w:val="22"/>
      <w:u w:val="none"/>
    </w:rPr>
  </w:style>
  <w:style w:type="paragraph" w:customStyle="1" w:styleId="68">
    <w:name w:val="*正文"/>
    <w:basedOn w:val="1"/>
    <w:autoRedefine/>
    <w:qFormat/>
    <w:uiPriority w:val="0"/>
    <w:pPr>
      <w:spacing w:after="200"/>
      <w:ind w:firstLine="200"/>
    </w:pPr>
    <w:rPr>
      <w:rFonts w:ascii="宋体" w:hAnsi="宋体"/>
      <w:sz w:val="24"/>
      <w:szCs w:val="24"/>
    </w:rPr>
  </w:style>
  <w:style w:type="paragraph" w:customStyle="1" w:styleId="69">
    <w:name w:val="列出段落2"/>
    <w:basedOn w:val="1"/>
    <w:autoRedefine/>
    <w:qFormat/>
    <w:uiPriority w:val="0"/>
    <w:pPr>
      <w:ind w:firstLine="420" w:firstLineChars="200"/>
    </w:pPr>
    <w:rPr>
      <w:rFonts w:ascii="Calibri" w:hAnsi="Calibri" w:cs="Times New Roman"/>
    </w:rPr>
  </w:style>
  <w:style w:type="paragraph" w:customStyle="1" w:styleId="70">
    <w:name w:val="Table Paragraph"/>
    <w:basedOn w:val="1"/>
    <w:autoRedefine/>
    <w:qFormat/>
    <w:uiPriority w:val="1"/>
  </w:style>
  <w:style w:type="character" w:customStyle="1" w:styleId="71">
    <w:name w:val="font61"/>
    <w:basedOn w:val="29"/>
    <w:autoRedefine/>
    <w:qFormat/>
    <w:uiPriority w:val="0"/>
    <w:rPr>
      <w:rFonts w:hint="default" w:ascii="Times New Roman" w:hAnsi="Times New Roman" w:cs="Times New Roman"/>
      <w:color w:val="000000"/>
      <w:sz w:val="20"/>
      <w:szCs w:val="20"/>
      <w:u w:val="none"/>
    </w:rPr>
  </w:style>
  <w:style w:type="character" w:customStyle="1" w:styleId="72">
    <w:name w:val="font11"/>
    <w:basedOn w:val="29"/>
    <w:autoRedefine/>
    <w:qFormat/>
    <w:uiPriority w:val="0"/>
    <w:rPr>
      <w:rFonts w:hint="eastAsia" w:ascii="宋体" w:hAnsi="宋体" w:eastAsia="宋体" w:cs="宋体"/>
      <w:color w:val="000000"/>
      <w:sz w:val="20"/>
      <w:szCs w:val="20"/>
      <w:u w:val="none"/>
    </w:rPr>
  </w:style>
  <w:style w:type="character" w:customStyle="1" w:styleId="73">
    <w:name w:val="font31"/>
    <w:basedOn w:val="29"/>
    <w:autoRedefine/>
    <w:qFormat/>
    <w:uiPriority w:val="0"/>
    <w:rPr>
      <w:rFonts w:hint="eastAsia" w:ascii="宋体" w:hAnsi="宋体" w:eastAsia="宋体" w:cs="宋体"/>
      <w:color w:val="000000"/>
      <w:sz w:val="20"/>
      <w:szCs w:val="20"/>
      <w:u w:val="none"/>
      <w:vertAlign w:val="superscript"/>
    </w:rPr>
  </w:style>
  <w:style w:type="character" w:customStyle="1" w:styleId="74">
    <w:name w:val="font21"/>
    <w:basedOn w:val="29"/>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78</Pages>
  <Words>32240</Words>
  <Characters>33697</Characters>
  <Lines>392</Lines>
  <Paragraphs>110</Paragraphs>
  <TotalTime>2</TotalTime>
  <ScaleCrop>false</ScaleCrop>
  <LinksUpToDate>false</LinksUpToDate>
  <CharactersWithSpaces>35982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2024-01-03T03:20:09Z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B1F710F9613840718552060AEEAE6434_13</vt:lpwstr>
  </property>
</Properties>
</file>