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4"/>
        <w:rPr>
          <w:rFonts w:hint="eastAsia" w:ascii="黑体" w:eastAsia="黑体"/>
          <w:color w:val="auto"/>
          <w:szCs w:val="21"/>
          <w:highlight w:val="none"/>
          <w:lang w:eastAsia="zh-CN"/>
        </w:rPr>
      </w:pPr>
    </w:p>
    <w:p>
      <w:pPr>
        <w:pStyle w:val="24"/>
        <w:ind w:left="0" w:leftChars="0" w:firstLine="0" w:firstLineChars="0"/>
        <w:rPr>
          <w:rFonts w:hint="eastAsia" w:ascii="黑体" w:eastAsia="黑体"/>
          <w:color w:val="auto"/>
          <w:szCs w:val="21"/>
          <w:highlight w:val="none"/>
          <w:lang w:eastAsia="zh-CN"/>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东莞三角湖市级湿地公园管理维护项目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8"/>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6"/>
        <w:spacing w:before="0" w:after="0" w:line="360" w:lineRule="auto"/>
        <w:jc w:val="center"/>
        <w:rPr>
          <w:rFonts w:ascii="宋体" w:hAnsi="宋体" w:eastAsia="宋体" w:cs="宋体"/>
          <w:color w:val="auto"/>
          <w:highlight w:val="none"/>
        </w:rPr>
      </w:pPr>
      <w:bookmarkStart w:id="2" w:name="_Toc7988"/>
      <w:bookmarkStart w:id="3" w:name="_Toc8850"/>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东莞三角湖市级湿地公园管理维护项目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GDZT2023167C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东莞三角湖市级湿地公园管理维护项目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5"/>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东莞三角湖市级湿地公园管理维护项目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660,000.00</w:t>
            </w:r>
            <w:r>
              <w:rPr>
                <w:rFonts w:hint="eastAsia" w:ascii="宋体" w:hAnsi="宋体" w:eastAsia="宋体"/>
                <w:b/>
                <w:bCs/>
                <w:color w:val="auto"/>
                <w:sz w:val="21"/>
                <w:szCs w:val="21"/>
                <w:highlight w:val="none"/>
                <w:u w:val="singl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本项目整体专门面向中小企业采购。</w:t>
      </w:r>
      <w:r>
        <w:rPr>
          <w:rFonts w:hint="eastAsia"/>
          <w:color w:val="auto"/>
          <w:highlight w:val="none"/>
          <w:lang w:val="en-US" w:eastAsia="zh-CN"/>
        </w:rPr>
        <w:t>供应商</w:t>
      </w:r>
      <w:r>
        <w:rPr>
          <w:rFonts w:hint="eastAsia"/>
          <w:color w:val="auto"/>
          <w:highlight w:val="none"/>
        </w:rPr>
        <w:t>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val="en-US"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w:t>
      </w:r>
      <w:r>
        <w:rPr>
          <w:rFonts w:hint="eastAsia" w:ascii="宋体" w:hAnsi="宋体"/>
          <w:bCs/>
          <w:color w:val="auto"/>
          <w:sz w:val="21"/>
          <w:szCs w:val="21"/>
          <w:highlight w:val="none"/>
          <w:lang w:eastAsia="zh-CN"/>
        </w:rPr>
        <w:t>202</w:t>
      </w:r>
      <w:r>
        <w:rPr>
          <w:rFonts w:hint="eastAsia" w:ascii="宋体" w:hAnsi="宋体"/>
          <w:bCs/>
          <w:color w:val="auto"/>
          <w:sz w:val="21"/>
          <w:szCs w:val="21"/>
          <w:highlight w:val="none"/>
          <w:lang w:val="en-US" w:eastAsia="zh-CN"/>
        </w:rPr>
        <w:t>4</w:t>
      </w:r>
      <w:r>
        <w:rPr>
          <w:rFonts w:hint="eastAsia" w:ascii="宋体" w:hAnsi="宋体"/>
          <w:bCs/>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w:t>
      </w:r>
      <w:r>
        <w:rPr>
          <w:rFonts w:hint="eastAsia" w:ascii="宋体" w:hAnsi="宋体"/>
          <w:bCs/>
          <w:color w:val="auto"/>
          <w:sz w:val="21"/>
          <w:szCs w:val="21"/>
          <w:highlight w:val="none"/>
          <w:lang w:eastAsia="zh-CN"/>
        </w:rPr>
        <w:t>202</w:t>
      </w:r>
      <w:r>
        <w:rPr>
          <w:rFonts w:hint="eastAsia" w:ascii="宋体" w:hAnsi="宋体"/>
          <w:bCs/>
          <w:color w:val="auto"/>
          <w:sz w:val="21"/>
          <w:szCs w:val="21"/>
          <w:highlight w:val="none"/>
          <w:lang w:val="en-US" w:eastAsia="zh-CN"/>
        </w:rPr>
        <w:t>4</w:t>
      </w:r>
      <w:r>
        <w:rPr>
          <w:rFonts w:hint="eastAsia" w:ascii="宋体" w:hAnsi="宋体"/>
          <w:bCs/>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刘工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联系电话：0769-82301212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5"/>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default" w:ascii="宋体" w:hAnsi="宋体" w:eastAsia="宋体"/>
                <w:bCs/>
                <w:color w:val="auto"/>
                <w:sz w:val="21"/>
                <w:szCs w:val="21"/>
                <w:highlight w:val="none"/>
                <w:lang w:val="en-US" w:eastAsia="zh-CN"/>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履约保证金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如有需要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rPr>
          <w:rFonts w:hint="eastAsia" w:ascii="宋体" w:hAnsi="宋体" w:eastAsia="宋体" w:cs="宋体"/>
          <w:color w:val="auto"/>
          <w:sz w:val="21"/>
          <w:szCs w:val="21"/>
          <w:highlight w:val="none"/>
        </w:rPr>
      </w:pPr>
    </w:p>
    <w:p>
      <w:pPr>
        <w:pStyle w:val="24"/>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Hlk55300595"/>
      <w:bookmarkStart w:id="9" w:name="_Toc13473"/>
      <w:bookmarkStart w:id="10" w:name="_Toc4043"/>
      <w:bookmarkStart w:id="11" w:name="_Toc9572"/>
      <w:r>
        <w:rPr>
          <w:rFonts w:hint="eastAsia"/>
          <w:color w:val="auto"/>
          <w:sz w:val="28"/>
          <w:szCs w:val="28"/>
          <w:highlight w:val="none"/>
          <w:lang w:val="en-US" w:eastAsia="zh-CN"/>
        </w:rPr>
        <w:br w:type="page"/>
      </w: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6"/>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具有</w:t>
            </w:r>
            <w:r>
              <w:rPr>
                <w:color w:val="auto"/>
                <w:highlight w:val="none"/>
              </w:rPr>
              <w:t>绿化养护</w:t>
            </w:r>
            <w:r>
              <w:rPr>
                <w:rFonts w:hint="eastAsia" w:ascii="宋体" w:hAnsi="宋体" w:eastAsia="宋体" w:cs="宋体"/>
                <w:bCs/>
                <w:color w:val="auto"/>
                <w:sz w:val="21"/>
                <w:szCs w:val="21"/>
                <w:highlight w:val="none"/>
                <w:lang w:val="en-US" w:eastAsia="zh-CN"/>
              </w:rPr>
              <w:t>（或环卫保洁或水域保洁或公厕管养）</w:t>
            </w:r>
            <w:r>
              <w:rPr>
                <w:rFonts w:hint="eastAsia" w:ascii="宋体" w:hAnsi="宋体" w:eastAsia="宋体" w:cs="宋体"/>
                <w:bCs/>
                <w:color w:val="auto"/>
                <w:sz w:val="21"/>
                <w:szCs w:val="21"/>
                <w:highlight w:val="none"/>
              </w:rPr>
              <w:t>类项目业绩，每</w:t>
            </w:r>
            <w:r>
              <w:rPr>
                <w:rFonts w:hint="eastAsia" w:ascii="宋体" w:hAns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rPr>
              <w:t>个业绩得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最高得15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rPr>
              <w:t>注：须提供合同复印件加盖</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承诺在接到采购人通知后4小时（含）内到现场，得1分；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70分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供应商</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bookmarkStart w:id="402" w:name="_GoBack"/>
            <w:bookmarkEnd w:id="402"/>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对本项目编制的安全作业措施方案进行综合评审：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供应商</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报价)×价格权值</w:t>
            </w:r>
          </w:p>
        </w:tc>
      </w:tr>
    </w:tbl>
    <w:p>
      <w:pPr>
        <w:bidi w:val="0"/>
        <w:rPr>
          <w:rFonts w:hint="eastAsia"/>
          <w:color w:val="auto"/>
          <w:highlight w:val="none"/>
        </w:rPr>
      </w:pPr>
    </w:p>
    <w:p>
      <w:pPr>
        <w:bidi w:val="0"/>
        <w:rPr>
          <w:rFonts w:hint="eastAsia"/>
          <w:color w:val="auto"/>
          <w:highlight w:val="none"/>
        </w:rPr>
      </w:pPr>
    </w:p>
    <w:p>
      <w:pPr>
        <w:pStyle w:val="5"/>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5"/>
        <w:keepNext w:val="0"/>
        <w:keepLines w:val="0"/>
        <w:spacing w:before="0" w:after="0" w:line="360" w:lineRule="auto"/>
        <w:jc w:val="center"/>
        <w:rPr>
          <w:rFonts w:ascii="宋体" w:hAnsi="宋体" w:eastAsia="宋体"/>
          <w:color w:val="auto"/>
          <w:sz w:val="24"/>
          <w:szCs w:val="21"/>
          <w:highlight w:val="none"/>
        </w:rPr>
      </w:pPr>
      <w:bookmarkStart w:id="21" w:name="_Toc24057"/>
      <w:bookmarkStart w:id="22" w:name="_Toc466786434"/>
      <w:bookmarkStart w:id="23" w:name="_Toc507407359"/>
      <w:bookmarkStart w:id="24" w:name="_Toc102277756"/>
      <w:bookmarkStart w:id="25" w:name="_Toc28014"/>
      <w:bookmarkStart w:id="26" w:name="_Toc6968687"/>
      <w:bookmarkStart w:id="27" w:name="_Toc6882675"/>
      <w:bookmarkStart w:id="28" w:name="_Toc468157520"/>
      <w:bookmarkStart w:id="29" w:name="_Toc479991566"/>
      <w:bookmarkStart w:id="30" w:name="_Toc468606013"/>
      <w:bookmarkStart w:id="31" w:name="_Toc467236724"/>
      <w:bookmarkStart w:id="32" w:name="_Toc480171863"/>
      <w:bookmarkStart w:id="33" w:name="_Toc480010692"/>
      <w:bookmarkStart w:id="34" w:name="_Toc467987807"/>
      <w:bookmarkStart w:id="35" w:name="_Toc480021037"/>
      <w:bookmarkStart w:id="36" w:name="_Toc458262599"/>
      <w:bookmarkStart w:id="37" w:name="_Toc48207756"/>
      <w:bookmarkStart w:id="38" w:name="_Toc480020241"/>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6"/>
        <w:keepNext w:val="0"/>
        <w:keepLines w:val="0"/>
        <w:numPr>
          <w:ilvl w:val="0"/>
          <w:numId w:val="3"/>
        </w:numPr>
        <w:adjustRightInd/>
        <w:spacing w:before="0" w:after="0" w:line="360" w:lineRule="auto"/>
        <w:rPr>
          <w:rFonts w:hAnsi="宋体"/>
          <w:color w:val="auto"/>
          <w:sz w:val="21"/>
          <w:szCs w:val="21"/>
          <w:highlight w:val="none"/>
        </w:rPr>
      </w:pPr>
      <w:bookmarkStart w:id="39" w:name="_Toc475249114"/>
      <w:bookmarkStart w:id="40" w:name="_Toc17291"/>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6"/>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507407360"/>
      <w:bookmarkStart w:id="48" w:name="_Toc466786435"/>
      <w:bookmarkStart w:id="49" w:name="_Toc6968688"/>
      <w:bookmarkStart w:id="50" w:name="_Toc102277757"/>
    </w:p>
    <w:p>
      <w:pPr>
        <w:pStyle w:val="6"/>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6"/>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6"/>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6"/>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4511"/>
      <w:bookmarkStart w:id="72" w:name="_Toc21439"/>
      <w:bookmarkStart w:id="73" w:name="_Toc6968689"/>
      <w:bookmarkStart w:id="74" w:name="_Toc466786436"/>
      <w:bookmarkStart w:id="75" w:name="_Toc102277758"/>
      <w:bookmarkStart w:id="76" w:name="_Toc6882677"/>
      <w:bookmarkStart w:id="77" w:name="_Toc507407361"/>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102277759"/>
      <w:bookmarkStart w:id="83" w:name="_Toc6968690"/>
      <w:bookmarkStart w:id="84" w:name="_Toc6882678"/>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6"/>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6"/>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910"/>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5387"/>
      <w:bookmarkStart w:id="96" w:name="_Toc1662"/>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99" w:name="_Toc25734"/>
      <w:bookmarkStart w:id="100" w:name="_Toc479991583"/>
      <w:bookmarkStart w:id="101" w:name="_Toc468606030"/>
      <w:bookmarkStart w:id="102" w:name="_Toc468157537"/>
      <w:bookmarkStart w:id="103" w:name="_Toc454701382"/>
      <w:bookmarkStart w:id="104" w:name="_Toc480020258"/>
      <w:bookmarkStart w:id="105" w:name="_Toc503758471"/>
      <w:bookmarkStart w:id="106" w:name="_Toc480010709"/>
      <w:bookmarkStart w:id="107" w:name="_Toc467236741"/>
      <w:bookmarkStart w:id="108" w:name="_Toc10456"/>
      <w:bookmarkStart w:id="109" w:name="_Toc110953842"/>
      <w:bookmarkStart w:id="110" w:name="_Toc458262615"/>
      <w:bookmarkStart w:id="111" w:name="_Toc467987824"/>
      <w:bookmarkStart w:id="112" w:name="_Toc480021054"/>
      <w:bookmarkStart w:id="113" w:name="_Toc480171880"/>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5"/>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102277760"/>
      <w:bookmarkStart w:id="118" w:name="_Toc507407363"/>
      <w:bookmarkStart w:id="119" w:name="_Toc6968691"/>
      <w:bookmarkStart w:id="120" w:name="_Toc6882679"/>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6"/>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4400"/>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6425"/>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6"/>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6"/>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38" w:name="_Toc535141844"/>
      <w:bookmarkStart w:id="139" w:name="_Toc17157"/>
      <w:bookmarkStart w:id="140" w:name="_Toc17978"/>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6"/>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6"/>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1756"/>
      <w:bookmarkStart w:id="160" w:name="_Toc3829"/>
      <w:bookmarkStart w:id="161" w:name="_Toc37756778"/>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6"/>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6"/>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6"/>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5"/>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6"/>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5"/>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57975339"/>
      <w:bookmarkStart w:id="179" w:name="_Toc467236766"/>
      <w:bookmarkStart w:id="180" w:name="_Toc56353011"/>
      <w:bookmarkStart w:id="181" w:name="_Toc51756491"/>
      <w:bookmarkStart w:id="182" w:name="_Toc476976198"/>
      <w:bookmarkStart w:id="183" w:name="_Toc51939456"/>
      <w:bookmarkStart w:id="184" w:name="_Toc52027926"/>
      <w:bookmarkStart w:id="185" w:name="_Toc467050236"/>
      <w:bookmarkStart w:id="186" w:name="_Toc467049706"/>
      <w:bookmarkStart w:id="187" w:name="_Toc486671570"/>
      <w:bookmarkStart w:id="188" w:name="_Toc52021538"/>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6"/>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5"/>
        <w:spacing w:before="0" w:after="0" w:line="240" w:lineRule="auto"/>
        <w:rPr>
          <w:rFonts w:hint="eastAsia"/>
          <w:color w:val="auto"/>
          <w:sz w:val="28"/>
          <w:szCs w:val="28"/>
          <w:highlight w:val="none"/>
        </w:rPr>
      </w:pPr>
      <w:bookmarkStart w:id="191" w:name="_Toc3162"/>
      <w:bookmarkStart w:id="192" w:name="_Toc31854"/>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rPr>
              <w:t>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ascii="宋体" w:hAnsi="宋体" w:cs="宋体"/>
                <w:color w:val="auto"/>
                <w:szCs w:val="24"/>
                <w:highlight w:val="none"/>
                <w:lang w:val="en-US"/>
              </w:rPr>
            </w:pPr>
            <w:r>
              <w:rPr>
                <w:rFonts w:hint="eastAsia" w:ascii="宋体" w:hAnsi="宋体" w:cs="宋体"/>
                <w:color w:val="auto"/>
                <w:szCs w:val="24"/>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1、服务开始后从第三个月起每个月</w:t>
            </w:r>
            <w:r>
              <w:rPr>
                <w:rFonts w:ascii="宋体" w:hAnsi="宋体" w:cs="宋体"/>
                <w:color w:val="auto"/>
                <w:szCs w:val="24"/>
                <w:highlight w:val="none"/>
                <w:lang w:val="en-US" w:eastAsia="zh-CN"/>
              </w:rPr>
              <w:t>15</w:t>
            </w:r>
            <w:r>
              <w:rPr>
                <w:rFonts w:hint="eastAsia" w:ascii="宋体" w:hAnsi="宋体" w:cs="宋体"/>
                <w:color w:val="auto"/>
                <w:szCs w:val="24"/>
                <w:highlight w:val="none"/>
                <w:lang w:val="en-US" w:eastAsia="zh-CN"/>
              </w:rPr>
              <w:t>日前（如遇节假日顺延至第</w:t>
            </w:r>
            <w:r>
              <w:rPr>
                <w:rFonts w:hint="default" w:ascii="宋体" w:hAnsi="宋体" w:cs="宋体"/>
                <w:color w:val="auto"/>
                <w:szCs w:val="24"/>
                <w:highlight w:val="none"/>
                <w:lang w:val="en-US" w:eastAsia="zh-CN"/>
              </w:rPr>
              <w:t>1</w:t>
            </w:r>
            <w:r>
              <w:rPr>
                <w:rFonts w:hint="eastAsia" w:ascii="宋体" w:hAnsi="宋体" w:cs="宋体"/>
                <w:color w:val="auto"/>
                <w:szCs w:val="24"/>
                <w:highlight w:val="none"/>
                <w:lang w:val="en-US" w:eastAsia="zh-CN"/>
              </w:rPr>
              <w:t>个工作日）采购人向成交人支付第</w:t>
            </w:r>
            <w:r>
              <w:rPr>
                <w:rFonts w:hint="default" w:ascii="宋体" w:hAnsi="宋体" w:cs="宋体"/>
                <w:color w:val="auto"/>
                <w:szCs w:val="24"/>
                <w:highlight w:val="none"/>
                <w:lang w:val="en-US" w:eastAsia="zh-CN"/>
              </w:rPr>
              <w:t>1</w:t>
            </w:r>
            <w:r>
              <w:rPr>
                <w:rFonts w:hint="eastAsia" w:ascii="宋体" w:hAnsi="宋体" w:cs="宋体"/>
                <w:color w:val="auto"/>
                <w:szCs w:val="24"/>
                <w:highlight w:val="none"/>
                <w:lang w:val="en-US" w:eastAsia="zh-CN"/>
              </w:rPr>
              <w:t xml:space="preserve">个月的服务费，以此类推。（每月服务费原则按合同价除以12个月平均计算，每月服务费须经采购人现场考核评分，根据评分结果是否须扣除部分服务费的情形确定实际应付款数额后支付；付款前成交人应出具与实际应付款数额相符的发票，否则造成不能按时付款的责任由成交人自行承担）。 </w:t>
            </w:r>
          </w:p>
          <w:p>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ascii="宋体" w:hAnsi="宋体" w:cs="宋体"/>
                <w:color w:val="auto"/>
                <w:szCs w:val="24"/>
                <w:highlight w:val="none"/>
              </w:rPr>
            </w:pPr>
            <w:r>
              <w:rPr>
                <w:rFonts w:hint="default" w:ascii="宋体" w:hAnsi="宋体" w:cs="宋体"/>
                <w:color w:val="auto"/>
                <w:szCs w:val="24"/>
                <w:highlight w:val="none"/>
                <w:lang w:val="en-US" w:eastAsia="zh-CN"/>
              </w:rPr>
              <w:t>2</w:t>
            </w:r>
            <w:r>
              <w:rPr>
                <w:rFonts w:hint="eastAsia" w:ascii="宋体" w:hAnsi="宋体" w:cs="宋体"/>
                <w:color w:val="auto"/>
                <w:szCs w:val="24"/>
                <w:highlight w:val="none"/>
                <w:lang w:val="en-US" w:eastAsia="zh-CN"/>
              </w:rPr>
              <w:t>、本项目合同的管养经费由政府财政拨款，如因政策的影响，拨款未能及时到位，成交人不得以此为由而不履行本合同规定的义务。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rPr>
              <w:t>报价</w:t>
            </w:r>
            <w:r>
              <w:rPr>
                <w:rFonts w:hint="eastAsia" w:ascii="宋体" w:hAnsi="宋体" w:cs="宋体"/>
                <w:color w:val="auto"/>
                <w:szCs w:val="24"/>
                <w:highlight w:val="none"/>
                <w:lang w:val="en-US" w:eastAsia="zh-CN"/>
              </w:rPr>
              <w:t>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40" w:firstLineChars="200"/>
              <w:textAlignment w:val="auto"/>
              <w:rPr>
                <w:rFonts w:ascii="宋体" w:hAnsi="宋体" w:cs="宋体"/>
                <w:color w:val="auto"/>
                <w:szCs w:val="24"/>
                <w:highlight w:val="none"/>
              </w:rPr>
            </w:pPr>
            <w:r>
              <w:rPr>
                <w:rFonts w:hint="eastAsia" w:ascii="宋体" w:hAnsi="宋体" w:eastAsia="宋体" w:cs="宋体"/>
                <w:color w:val="auto"/>
                <w:sz w:val="22"/>
                <w:szCs w:val="22"/>
                <w:highlight w:val="none"/>
                <w:lang w:val="en-US" w:eastAsia="zh-CN"/>
              </w:rPr>
              <w:t>响应</w:t>
            </w:r>
            <w:r>
              <w:rPr>
                <w:rFonts w:hint="eastAsia" w:ascii="宋体" w:hAnsi="宋体" w:eastAsia="宋体" w:cs="宋体"/>
                <w:color w:val="auto"/>
                <w:sz w:val="22"/>
                <w:szCs w:val="22"/>
                <w:highlight w:val="none"/>
              </w:rPr>
              <w:t>报价采取打包报价的方式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响应</w:t>
            </w:r>
            <w:r>
              <w:rPr>
                <w:rFonts w:hint="eastAsia" w:ascii="宋体" w:hAnsi="宋体" w:eastAsia="宋体" w:cs="宋体"/>
                <w:color w:val="auto"/>
                <w:sz w:val="21"/>
                <w:szCs w:val="21"/>
                <w:highlight w:val="none"/>
                <w:lang w:val="en-US" w:eastAsia="zh-CN" w:bidi="zh-CN"/>
              </w:rPr>
              <w:t xml:space="preserve">报价包括材料、工具、人工、管理费、利润、税金、风险等一切因素所有应该和可能发生的费用因素。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spacing w:line="420" w:lineRule="exact"/>
              <w:jc w:val="center"/>
              <w:rPr>
                <w:rFonts w:ascii="宋体" w:hAnsi="宋体" w:cs="宋体"/>
                <w:color w:val="auto"/>
                <w:szCs w:val="24"/>
                <w:highlight w:val="none"/>
              </w:rPr>
            </w:pPr>
            <w:r>
              <w:rPr>
                <w:rFonts w:hint="eastAsia" w:ascii="宋体" w:hAnsi="宋体" w:eastAsia="宋体" w:cs="宋体"/>
                <w:color w:val="auto"/>
                <w:sz w:val="21"/>
                <w:szCs w:val="21"/>
                <w:highlight w:val="none"/>
                <w:lang w:eastAsia="zh-CN"/>
              </w:rPr>
              <w:t>验收要求</w:t>
            </w:r>
          </w:p>
        </w:tc>
        <w:tc>
          <w:tcPr>
            <w:tcW w:w="6413" w:type="dxa"/>
            <w:vAlign w:val="center"/>
          </w:tcPr>
          <w:p>
            <w:pPr>
              <w:spacing w:line="360" w:lineRule="auto"/>
              <w:ind w:firstLine="420" w:firstLineChars="200"/>
              <w:rPr>
                <w:rFonts w:hint="eastAsia" w:ascii="宋体" w:hAnsi="宋体" w:eastAsia="宋体" w:cs="宋体"/>
                <w:color w:val="auto"/>
                <w:szCs w:val="24"/>
                <w:highlight w:val="none"/>
                <w:lang w:eastAsia="zh-CN"/>
              </w:rPr>
            </w:pPr>
            <w:r>
              <w:rPr>
                <w:rFonts w:ascii="宋体" w:hAnsi="宋体" w:cs="宋体"/>
                <w:color w:val="auto"/>
                <w:szCs w:val="24"/>
                <w:highlight w:val="none"/>
              </w:rPr>
              <w:t>按国家及相关行业标准进行验收</w:t>
            </w:r>
            <w:r>
              <w:rPr>
                <w:rFonts w:hint="eastAsia" w:ascii="宋体" w:hAnsi="宋体" w:cs="宋体"/>
                <w:color w:val="auto"/>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vAlign w:val="top"/>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其他</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color w:val="auto"/>
                <w:highlight w:val="none"/>
              </w:rPr>
              <w:t>应商应充分结合本采购文件上下文了解项目采购需求、采购文件未尽事宜，将在合同签订或项目执行过程中双方协商确定，供应商须无条件满足采购单位的合理要求。</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13112"/>
      <w:bookmarkStart w:id="197" w:name="_Toc24679"/>
      <w:bookmarkStart w:id="198" w:name="_Toc14462"/>
      <w:bookmarkStart w:id="199" w:name="_Toc31278"/>
    </w:p>
    <w:p>
      <w:pPr>
        <w:pStyle w:val="7"/>
        <w:bidi w:val="0"/>
        <w:rPr>
          <w:color w:val="auto"/>
          <w:highlight w:val="none"/>
        </w:rPr>
      </w:pPr>
      <w:r>
        <w:rPr>
          <w:rFonts w:hint="eastAsia"/>
          <w:color w:val="auto"/>
          <w:highlight w:val="none"/>
        </w:rPr>
        <w:t>一、项目概况</w:t>
      </w:r>
    </w:p>
    <w:p>
      <w:pPr>
        <w:ind w:firstLine="420"/>
        <w:jc w:val="left"/>
        <w:rPr>
          <w:color w:val="auto"/>
          <w:sz w:val="21"/>
          <w:highlight w:val="none"/>
        </w:rPr>
      </w:pPr>
      <w:r>
        <w:rPr>
          <w:rFonts w:hint="eastAsia"/>
          <w:color w:val="auto"/>
          <w:sz w:val="21"/>
          <w:highlight w:val="none"/>
          <w:lang w:val="en-US" w:eastAsia="zh-CN"/>
        </w:rPr>
        <w:t>为</w:t>
      </w:r>
      <w:r>
        <w:rPr>
          <w:color w:val="auto"/>
          <w:sz w:val="21"/>
          <w:highlight w:val="none"/>
        </w:rPr>
        <w:t>进一步巩固横沥镇城市公园服务水平，不断提升环境品质，现以</w:t>
      </w:r>
      <w:r>
        <w:rPr>
          <w:rFonts w:hint="eastAsia"/>
          <w:color w:val="auto"/>
          <w:sz w:val="21"/>
          <w:highlight w:val="none"/>
          <w:lang w:val="en-US" w:eastAsia="zh-CN"/>
        </w:rPr>
        <w:t>竞争性磋商</w:t>
      </w:r>
      <w:r>
        <w:rPr>
          <w:color w:val="auto"/>
          <w:sz w:val="21"/>
          <w:highlight w:val="none"/>
        </w:rPr>
        <w:t>的方式选取一家服务单位，提供</w:t>
      </w:r>
      <w:r>
        <w:rPr>
          <w:rFonts w:hint="eastAsia"/>
          <w:color w:val="auto"/>
          <w:sz w:val="21"/>
          <w:highlight w:val="none"/>
          <w:lang w:eastAsia="zh-CN"/>
        </w:rPr>
        <w:t>东莞三角湖市级湿地公园管理维护</w:t>
      </w:r>
      <w:r>
        <w:rPr>
          <w:rFonts w:hint="eastAsia"/>
          <w:color w:val="auto"/>
          <w:sz w:val="21"/>
          <w:highlight w:val="none"/>
          <w:lang w:val="en-US" w:eastAsia="zh-CN"/>
        </w:rPr>
        <w:t>服务</w:t>
      </w:r>
      <w:r>
        <w:rPr>
          <w:color w:val="auto"/>
          <w:sz w:val="21"/>
          <w:highlight w:val="none"/>
        </w:rPr>
        <w:t>。</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东莞三角湖市级湿地公园总面积33.07公倾，其中湿地面积17.l公倾，湿地率为51.7%。需要养护绿化面积约53000平方米；广场、停车场、道路面积为6700平方米；水面面积为36500平方米及两座公厕。</w:t>
      </w:r>
    </w:p>
    <w:p>
      <w:pPr>
        <w:pStyle w:val="7"/>
        <w:bidi w:val="0"/>
        <w:rPr>
          <w:rFonts w:hint="eastAsia" w:eastAsia="宋体"/>
          <w:color w:val="auto"/>
          <w:highlight w:val="none"/>
        </w:rPr>
      </w:pPr>
      <w:r>
        <w:rPr>
          <w:rFonts w:hint="eastAsia" w:eastAsia="宋体"/>
          <w:color w:val="auto"/>
          <w:highlight w:val="none"/>
          <w:lang w:val="en-US" w:eastAsia="zh-CN"/>
        </w:rPr>
        <w:t>二、作业</w:t>
      </w:r>
      <w:r>
        <w:rPr>
          <w:rFonts w:hint="eastAsia" w:eastAsia="宋体"/>
          <w:color w:val="auto"/>
          <w:highlight w:val="none"/>
        </w:rPr>
        <w:t>要求</w:t>
      </w:r>
    </w:p>
    <w:p>
      <w:pPr>
        <w:pStyle w:val="8"/>
        <w:bidi w:val="0"/>
        <w:rPr>
          <w:rFonts w:hint="eastAsia"/>
          <w:color w:val="auto"/>
          <w:highlight w:val="none"/>
          <w:lang w:eastAsia="zh-CN"/>
        </w:rPr>
      </w:pPr>
      <w:r>
        <w:rPr>
          <w:rFonts w:hint="eastAsia"/>
          <w:color w:val="auto"/>
          <w:highlight w:val="none"/>
          <w:lang w:eastAsia="zh-CN"/>
        </w:rPr>
        <w:t>（一）</w:t>
      </w:r>
      <w:r>
        <w:rPr>
          <w:rFonts w:hint="eastAsia"/>
          <w:color w:val="auto"/>
          <w:highlight w:val="none"/>
          <w:lang w:val="en-US" w:eastAsia="zh-CN"/>
        </w:rPr>
        <w:t>绿化养护</w:t>
      </w:r>
      <w:r>
        <w:rPr>
          <w:rFonts w:hint="eastAsia"/>
          <w:color w:val="auto"/>
          <w:highlight w:val="none"/>
          <w:lang w:eastAsia="zh-CN"/>
        </w:rPr>
        <w:t>要求</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lang w:eastAsia="zh-CN"/>
        </w:rPr>
        <w:t>按照DB44/T 268—2005的规定对绿地进行养护，制订较完善的养护技术方案，建有工种齐全和相对稳定的养护队伍，养护基本到位、得当，基本达到黄土不露天，绿地总体景观较好。</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 xml:space="preserve">园林植物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2.1 草坪植物叶片大小、色泽正常，基本无枯黄叶；其它植物新梢枝叶萌发正常，叶片大小和色泽正常，基本无枯枝败叶。</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2.2 乔木树冠基本完整，生长与开花结果正常；主侧枝分布基本合理，分枝点高度与树种特性基本相适应，分枝不影响游览及观景。基本无死株、缺株。行道树的体量、高度基本保持一致，下缘线和分枝点高度的控制基本符合 DB44/T 268—2005的规定，倾斜率小于 5%。乔木树杆无铁钉、木板等 附着物。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2.3 花灌木生长正常，株型完整，开花正常，花后修剪合理、及时。木本地被植物生长正常，覆盖率达到97%以上，基本无杂草，无死株、缺株。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2.4 花坛、花带及绿篱轮廓基本清晰，线条基本整齐，无残缺，基本无杂草，修剪及时。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2.5 造型植物修剪合理，线条基本齐整、圆滑。规则式种植的造型植物，形状或体量基本保持一致；自然式种植的，形状和体量大小符合设计和景观的要求。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2.6 藤本植物生长正常，开花适时，牵引合理，覆盖率不低于85%。藤本植物尚未到达棚顶或篱顶时，应设立支撑物并作牵引，以利其攀缠。当以建筑物墙（柱）体为攀缠对象时，应经常进行绑扎、整理。藤本植物的修剪应以促进分枝为主，加快覆盖和攀缠的速度；同时，剪除徒长枝和下垂枝。多年生的藤本植物应定期翻蔓，清除枯枝，疏删老弱藤蔓。生长在沿街棚（篱）架或立交桥上的藤本權木，其下垂藤蔓必须及时修剪，以免影响行车安全。其滴灌设施必须经常检修，以免浇灌时沾污行人及车辆。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2.7 草本花卉正常，株型完整，开花适时，开花时覆盖率达到90%以上，基本无杂草；花后需修剪的，得到合理修剪。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2.8 草坪绿色期不少于250天，覆盖率不小于90%,杂草的覆盖率不超过3%,无积水，修剪合理。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2.9 水生植物生长旺盛，开花适时，生长范围符合景观要求。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2.10 绿篱生长旺盛，无死株，无明显断垄，无高草杂草，无明显病虫害发生。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2.11 补植、改植于5天内完成。草坪补植或改植后一个月内覆盖率达到95%以上，其它植物补植或改植的成活率达到98%以上，补植乔木必须做好支撑。同时树木支撑根据树木生长情况适时进行“松绑”处理。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2.12 病虫害控制及时、有效，被害植株不超过5%,被害叶片不超过植株叶片总量的3%。有害植物的危害得到及时治理，鼠害基本得到控制。同时注意防治红火蚁，选择使用高效、低毒、低残留、 高质量的饵剂和粉剂为主，依据相关使用说明规范用药。根据当地气候条件，每年开展2次全面防控 和两次补防。在春季婚飞前或婚飞高峰期进行第一次防控，2～3周后调查评估防效并补防一次；在夏季、秋季气候条件适宜时进行第二次防控，2～3周后再次调查评估防效，必要时补防。</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3、绿化保洁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3.1 每天上午7:00时前完成绿地的清洁工作，做好保洁，保洁时间为7:00-23:00，共16小时。绿地整洁，无杂物、无白色污染（树挂），绿化生产垃圾（如树枝、树叶、草屑等）、绿地内水面杂物应日产日清，做到保洁及时。</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3.2 绿地完整，地表无自然沉降、隆起等现象，无堆物、堆料、搭棚、乱张贴、涂鸦、乱挂乱拉、焚烧杂物，树干上无钉拴刻画等现象，绿地边线以外2米内的荒地的保洁工作到位，不能出现垃圾连片的地方（特别是花生壳、瓜子壳）或出现鼠洞、蚁穴、蚊蝇孳生地。行道树下距树干2米范围 内无堆物、堆料、圈栏或搭棚设摊等影响树木生长和养护管理的现象。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 xml:space="preserve">、施肥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.1 提倡应用平衡施肥技术，肥料的种类及数量应根据植物种类（品种）、生长发育阶段及观赏特性不同而确定。生长期应施氮肥为主的完全肥，发育期应增施磷、钾肥。每次施肥量应考虑施肥方法。施肥应以有机肥料为主，无机肥料为辅；不应长期在同一地块施用同一种化学肥料，以免破坏土壤的理化性状。</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.2 施肥要求：乔灌木每年不少于2次，2—3月和9—10月重点进行施肥，复合肥和基肥结合，每次2—3千克/株，对角埋施，新种、补种、生长势弱树木可适时适量多施；观花灌木每年不少于3次，每次0.5千克/株；草本花卉每年不少于4次，成片花卉每月撒施复合肥1次，每次0.15千克/平方米，每年根据其长势和覆盖率情况适当施基肥1—2次，每次0.5千克/平方米；绿篱每年撒施复合肥不少于2次，每次0.15千克/平方米，每年根据其长势和覆盖率情况适当施基肥1—2次，每次0.5千克/平方米；草地、地被每年不少于2次，每次施尿素0.1千克/平方米。</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.3 施肥应避免在雨天进行。其中，根外追肥宜在清晨或傍晚进行，浓度一般不宜大于1.5‰。除根外追肥外，肥料不得触及目的植物的叶片。</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eastAsia="zh-CN"/>
        </w:rPr>
        <w:t xml:space="preserve">、淋水要求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eastAsia="zh-CN"/>
        </w:rPr>
        <w:t xml:space="preserve">.1 旱季一般乔木3—5天淋水1次，新补植乔木，淋好定根水后，1周内每天淋水1次；单丛灌木、成片花卉、绿篱一般2—3天淋水1次，补植后一周内每天淋水1次，施肥和补植需加强淋水； 草地、地被一般每天淋水1次。雨季根据天气情况适当调节。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、苗木修剪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.1 自然形乔木每年不少于1次，造型乔木每年不少于4次。主要修剪内膛枝、徒长枝、病虫枝、交叉枝、下垂枝、扭伤枝及枯枝烂头等。庭荫树的分枝点应随着树木生长逐步提高，树冠与树干高度 的比例应在7</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3至6</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 xml:space="preserve">4之间。行道树在同一路段的分枝点高低、树高、冠幅大小应基本一致。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.2 自然形灌木每年不少于1次，造型灌木每年不少于6次。灌木修剪应促进枝繁叶茂、分布 均匀。花灌木修剪要有利于短枝和花芽的形成，遵循“自下而上、先内后外、去弱留强、去老留新” 的原则进行修剪。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.3 绿篱、模纹花坛修剪：绿篱、模纹花坛修剪每年不少于6次。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.4 草坪修剪：结缕草属和狗牙根属草坪草每年不少于6次，假俭草属、地毯草属、钝叶草属草坪草不少于3次。结缕草属草修剪留茬高度1. 3—5. 0cm，地毯草属草修剪留茬高度2. 5—5. 0cm，假俭草属草修剪留茬高度2. 5—5. 0cm，钝叶草属草修剪留茬高度3.8—7. 6cm，普通狗牙根修剪留 茬高度1. 3—3.8cm，杂种狗牙根修剪留茬高度0. 6—2. 5cm。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.5 休眠期修剪以整形为主，可稍重剪，生长期修剪以调整树势为主，宜轻剪。修剪要避开树木伤流盛期。绿化修剪后的枯枝干叶等，在修剪当天及时清理运走，并及时清除灌木丛上的修剪枝， 苗木落叶当天及时清扫保洁。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、浇灌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.1 浇灌的实施应科学、合理、宜采用喷灌或滴灌等节水方式。对于花坛及道路分车带内植物，在干旱季节，可进行叶面喷水。在花芽分化时应适当控制浇灌量，以免园林植物徒长。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.2 日浇灌的时间应根据季节与气温决定，并注意控制水温与表土温差不宜太大，以免造成根系伤害。夏秋高温季节，浇灌应避开中午烈日，宜在10时之前或16时之后进行；冬季及早春，宜在10时至16时之间进行。用机械进行浇水时，不宜在交通繁忙时段进行。</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.3 喷灌时应确保喷水的有效范围与园林植物的种植范围一致。 </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8</w:t>
      </w:r>
      <w:r>
        <w:rPr>
          <w:rFonts w:hint="eastAsia" w:ascii="宋体" w:hAnsi="宋体" w:eastAsia="宋体" w:cs="宋体"/>
          <w:color w:val="auto"/>
          <w:sz w:val="21"/>
          <w:highlight w:val="none"/>
          <w:lang w:eastAsia="zh-CN"/>
        </w:rPr>
        <w:t>、节假日·全民植树活动或突击性的植树绿化任务，能按时、按标准、按要求完成所分配的工作。每逢节假日，如春节、元旦、五一、国庆节等或某些特别日子，能按上级要求完成特别安排的工作。</w:t>
      </w:r>
    </w:p>
    <w:p>
      <w:pPr>
        <w:ind w:firstLine="420"/>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9</w:t>
      </w:r>
      <w:r>
        <w:rPr>
          <w:rFonts w:hint="eastAsia" w:ascii="宋体" w:hAnsi="宋体" w:eastAsia="宋体" w:cs="宋体"/>
          <w:color w:val="auto"/>
          <w:sz w:val="21"/>
          <w:highlight w:val="none"/>
          <w:lang w:eastAsia="zh-CN"/>
        </w:rPr>
        <w:t>、三防·防止意外及修复工作包括防台风、防汛、防寒等以及防止其它因素对绿地造成的损坏等，并定期巡视挡土墙及边坡，防止滑坡。由于不可抗力（如台风、暴雨等自然灾害）造成的绿化景观损害，养护单位应在12小时内或有关部门根据实际情况设定的时间内及时完成现场清理工作，并应以合同附件的形式向有关部门提交可行的解决方案。</w:t>
      </w:r>
    </w:p>
    <w:p>
      <w:pPr>
        <w:pStyle w:val="8"/>
        <w:bidi w:val="0"/>
        <w:rPr>
          <w:rFonts w:hint="eastAsia" w:eastAsia="宋体"/>
          <w:b/>
          <w:color w:val="auto"/>
          <w:highlight w:val="none"/>
          <w:lang w:eastAsia="zh-CN"/>
        </w:rPr>
      </w:pPr>
      <w:r>
        <w:rPr>
          <w:rFonts w:hint="eastAsia" w:eastAsia="宋体"/>
          <w:b/>
          <w:color w:val="auto"/>
          <w:highlight w:val="none"/>
          <w:lang w:val="en-US" w:eastAsia="zh-CN"/>
        </w:rPr>
        <w:t>（二）</w:t>
      </w:r>
      <w:r>
        <w:rPr>
          <w:rFonts w:hint="eastAsia" w:eastAsia="宋体"/>
          <w:b/>
          <w:color w:val="auto"/>
          <w:highlight w:val="none"/>
          <w:lang w:eastAsia="zh-CN"/>
        </w:rPr>
        <w:t>广场、停车场、道路清扫</w:t>
      </w:r>
      <w:r>
        <w:rPr>
          <w:rFonts w:hint="eastAsia" w:eastAsia="宋体"/>
          <w:b/>
          <w:color w:val="auto"/>
          <w:highlight w:val="none"/>
          <w:lang w:val="en-US" w:eastAsia="zh-CN"/>
        </w:rPr>
        <w:t>要求</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lang w:eastAsia="zh-CN"/>
        </w:rPr>
        <w:t>每天作业18小时，大扫每天早上（6:00—8:30）、下午（13:30-16:00）及晚上（</w:t>
      </w:r>
      <w:r>
        <w:rPr>
          <w:rFonts w:hint="eastAsia" w:ascii="宋体" w:hAnsi="宋体" w:eastAsia="宋体" w:cs="宋体"/>
          <w:color w:val="auto"/>
          <w:sz w:val="21"/>
          <w:highlight w:val="none"/>
          <w:lang w:val="en-US" w:eastAsia="zh-CN"/>
        </w:rPr>
        <w:t>18:00-20:30</w:t>
      </w:r>
      <w:r>
        <w:rPr>
          <w:rFonts w:hint="eastAsia" w:ascii="宋体" w:hAnsi="宋体" w:eastAsia="宋体" w:cs="宋体"/>
          <w:color w:val="auto"/>
          <w:sz w:val="21"/>
          <w:highlight w:val="none"/>
          <w:lang w:eastAsia="zh-CN"/>
        </w:rPr>
        <w:t>）共3次，全天候保持园区干净清洁，其他时间根据工作实际按采购人要求开展相关工作，包括但不限于：</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①在保洁时间内，园路、广场及附属管理设施未发现塑料、果皮、纸屑、胶袋、烟蒂等垃圾；无痰迹、口香糖、油渍；</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②路牙、花基无明显泥沙，园路、广场上洒落有泥沙及时清理干净；</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③雨水口堵塞，雨水井底淤泥废弃物未超过排水管道1/5口径；</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④园路、绿道、广场及附属管理设施的路面、路牙清扫后须见原色；</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⑤公共建筑的顶棚、栏杆、坐凳等外表清洁、无积尘、蜘蛛网、乱涂写、乱刻划现象；</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⑥未发现暴露垃圾或存余成堆垃圾；</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⑦无乱搭、乱建、乱张挂、乱设广告、乱堆杂物、乱倒垃圾、乱排污，无张挂已破损或有碍景观的广告牌等；</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⑧公共设施（坐凳、果皮箱、标识牌等）外表清洁，无污迹、积尘、乱张贴、乱涂画；</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⑨果皮箱需全部为有盖分类垃圾桶，摆放规范，箱内的丢弃物能在规定时间内全部清理干净，无满溢现象，无明显异味；</w:t>
      </w:r>
    </w:p>
    <w:p>
      <w:pPr>
        <w:pStyle w:val="8"/>
        <w:bidi w:val="0"/>
        <w:rPr>
          <w:rFonts w:hint="eastAsia" w:eastAsia="宋体"/>
          <w:b/>
          <w:color w:val="auto"/>
          <w:highlight w:val="none"/>
          <w:lang w:val="en-US" w:eastAsia="zh-CN"/>
        </w:rPr>
      </w:pPr>
      <w:r>
        <w:rPr>
          <w:rFonts w:hint="eastAsia" w:eastAsia="宋体"/>
          <w:b/>
          <w:color w:val="auto"/>
          <w:highlight w:val="none"/>
          <w:lang w:val="en-US" w:eastAsia="zh-CN"/>
        </w:rPr>
        <w:t>（三）水面保洁要求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河涌面源清理保洁项目工作范围包括利用机械或人工对河涌堤面及内外堤围、河道水面上及河道内水面所浸泡到的绿色植物丛中的垃圾、杂草、枯枝落叶、漂浮物、水草、水浮莲等杂物进行打捞清理、水面油污处理、日常保洁及外运处置等系列工作，从而保持河道景观，保护河道水环境。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2、</w:t>
      </w:r>
      <w:r>
        <w:rPr>
          <w:rFonts w:hint="eastAsia" w:ascii="宋体" w:hAnsi="宋体" w:cs="宋体"/>
          <w:color w:val="auto"/>
          <w:szCs w:val="21"/>
          <w:highlight w:val="none"/>
          <w:lang w:eastAsia="zh-CN" w:bidi="ar"/>
        </w:rPr>
        <w:t>成交人</w:t>
      </w:r>
      <w:r>
        <w:rPr>
          <w:rFonts w:hint="eastAsia" w:ascii="宋体" w:hAnsi="宋体" w:cs="宋体"/>
          <w:color w:val="auto"/>
          <w:szCs w:val="21"/>
          <w:highlight w:val="none"/>
          <w:lang w:bidi="ar"/>
        </w:rPr>
        <w:t>在服务期间，发现河涌存在油污污染的情况时，</w:t>
      </w:r>
      <w:r>
        <w:rPr>
          <w:rFonts w:hint="eastAsia" w:ascii="宋体" w:hAnsi="宋体" w:cs="宋体"/>
          <w:color w:val="auto"/>
          <w:szCs w:val="21"/>
          <w:highlight w:val="none"/>
          <w:lang w:eastAsia="zh-CN" w:bidi="ar"/>
        </w:rPr>
        <w:t>成交人</w:t>
      </w:r>
      <w:r>
        <w:rPr>
          <w:rFonts w:hint="eastAsia" w:ascii="宋体" w:hAnsi="宋体" w:cs="宋体"/>
          <w:color w:val="auto"/>
          <w:szCs w:val="21"/>
          <w:highlight w:val="none"/>
          <w:lang w:bidi="ar"/>
        </w:rPr>
        <w:t>必须按以下流程执行清理管养：1）清理河涌内沾染油污的草木与泥土，彻底清除河涌内油污污染物；2）将沾染了油污的吸油毡、草木等废物妥善转移处置，防止污染物发生二次污染；</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3、按照规定配备保洁人员及设备，保证河面清洁无漂浮物、无水浮莲，及时清理河道内非景观性植物、杂草。岸线水面不得有大于0.5平方米漂浮垃圾，大于0.3平方米漂浮垃圾2件之间的最小距离为150米，小件零星漂浮垃圾2件之间的最小距离为20米。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4、岸线回流区、河涌口、岸边滩头每50平方米不得有3件大于0.3平方米漂浮垃圾。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5、每50平方米岸线回流区不得有小件零星漂浮物5件，河涌口、岸边滩头不得有小件零星漂浮物10件。沿河道两岸河堤内立面及清水平台的垃圾在潮退后必须及时清理。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6、河面基本清洁。每3000平方米水面内漂浮物控制在1平方米以下，水面无聚集性漂浮垃圾、水生物、动物尸体、烂家具及其他漂浮的生活垃圾。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7、堤身、护堤地和滩地不得有较大面积的杂草，不得有大于0.3平方米的垃圾，小件垃圾之间的距离不得小于20米。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8、清洁作业要达到无漂浮、无垃圾、无水草、无淤积物、无乱堆物、</w:t>
      </w:r>
      <w:r>
        <w:rPr>
          <w:rFonts w:hint="eastAsia" w:ascii="宋体" w:hAnsi="宋体" w:eastAsia="宋体" w:cs="宋体"/>
          <w:color w:val="auto"/>
          <w:kern w:val="0"/>
          <w:sz w:val="21"/>
          <w:szCs w:val="21"/>
          <w:highlight w:val="none"/>
          <w:lang w:val="en-US" w:eastAsia="zh-CN" w:bidi="ar"/>
        </w:rPr>
        <w:t>无牛皮癣、</w:t>
      </w:r>
      <w:r>
        <w:rPr>
          <w:rFonts w:hint="eastAsia" w:ascii="宋体" w:hAnsi="宋体" w:cs="宋体"/>
          <w:color w:val="auto"/>
          <w:szCs w:val="21"/>
          <w:highlight w:val="none"/>
          <w:lang w:bidi="ar"/>
        </w:rPr>
        <w:t xml:space="preserve">无杂物、水面净、岸坡净、岸脚净、河床净、桥墩净。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9、桥角、桥墩边、水闸前面无垃圾及漂浮物。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10、对与河涌接驳的箱涵等排水管道进行垃圾清理，确保与河涌接驳的各箱涵等排水管道在可视范围内无垃圾、无水草、无淤积物等。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11、每日对水域保洁工作实行定时收运、保洁,每月按指定时间及指定格式向主管部门上报上月各类作业统计表和当月工作计划。  </w:t>
      </w:r>
    </w:p>
    <w:p>
      <w:pPr>
        <w:ind w:firstLine="420" w:firstLineChars="200"/>
        <w:rPr>
          <w:rFonts w:hint="default" w:ascii="宋体" w:hAnsi="宋体" w:eastAsia="宋体" w:cs="宋体"/>
          <w:b/>
          <w:bCs/>
          <w:color w:val="auto"/>
          <w:sz w:val="21"/>
          <w:highlight w:val="none"/>
          <w:lang w:val="en-US" w:eastAsia="zh-CN"/>
        </w:rPr>
      </w:pPr>
      <w:r>
        <w:rPr>
          <w:rFonts w:hint="eastAsia" w:ascii="宋体" w:hAnsi="宋体" w:cs="宋体"/>
          <w:color w:val="auto"/>
          <w:szCs w:val="21"/>
          <w:highlight w:val="none"/>
          <w:lang w:bidi="ar"/>
        </w:rPr>
        <w:t xml:space="preserve">12、所有垃圾均清运到采购人指定地点。 </w:t>
      </w:r>
    </w:p>
    <w:p>
      <w:pPr>
        <w:pStyle w:val="8"/>
        <w:bidi w:val="0"/>
        <w:rPr>
          <w:rFonts w:hint="default" w:eastAsia="宋体"/>
          <w:b/>
          <w:color w:val="auto"/>
          <w:highlight w:val="none"/>
          <w:lang w:val="en-US" w:eastAsia="zh-CN"/>
        </w:rPr>
      </w:pPr>
      <w:r>
        <w:rPr>
          <w:rFonts w:hint="eastAsia" w:eastAsia="宋体"/>
          <w:b/>
          <w:color w:val="auto"/>
          <w:highlight w:val="none"/>
          <w:lang w:val="en-US" w:eastAsia="zh-CN"/>
        </w:rPr>
        <w:t>（四）公共卫生间管理要求</w:t>
      </w:r>
    </w:p>
    <w:p>
      <w:pPr>
        <w:ind w:firstLine="420"/>
        <w:jc w:val="left"/>
        <w:rPr>
          <w:rFonts w:hint="eastAsia"/>
          <w:color w:val="auto"/>
          <w:highlight w:val="none"/>
          <w:lang w:eastAsia="zh-CN"/>
        </w:rPr>
      </w:pPr>
      <w:r>
        <w:rPr>
          <w:rFonts w:hint="eastAsia" w:ascii="宋体" w:hAnsi="宋体" w:eastAsia="宋体" w:cs="宋体"/>
          <w:color w:val="auto"/>
          <w:sz w:val="21"/>
          <w:highlight w:val="none"/>
          <w:lang w:eastAsia="zh-CN"/>
        </w:rPr>
        <w:t>按照专人管养公共卫生间的管理标准，至少配置专职公共卫生间管理员1名来负责日常保洁工作。每日彻底冲洗不少于2次，全面消毒不少于1次，首次冲洗应在7:00前完成；有防臭、防蝇、防蚊装置，应配置厕纸、洗手液、烘手器；在适当的位置设置规范、明显的公共卫生间指引牌、标志牌；雨天应设置防滑垫或防滑标志；公布公共卫生间的名称、管理制度、管养单位、开放时间、保洁时间、保洁人员、保洁记录、投诉电话等信息；清洁工具使用完毕应整齐存放在工具房（箱）内，不得放在便器、洗手盆、楼梯或母婴室内。公共卫生间应整洁、干净、美观并符合相关行业质量标准的要求；</w:t>
      </w:r>
    </w:p>
    <w:p>
      <w:pPr>
        <w:ind w:firstLine="420"/>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eastAsia="zh-CN"/>
        </w:rPr>
        <w:t>表</w:t>
      </w:r>
      <w:r>
        <w:rPr>
          <w:rFonts w:hint="eastAsia" w:ascii="宋体" w:hAnsi="宋体" w:eastAsia="宋体" w:cs="宋体"/>
          <w:color w:val="auto"/>
          <w:sz w:val="21"/>
          <w:highlight w:val="none"/>
          <w:lang w:val="en-US" w:eastAsia="zh-CN"/>
        </w:rPr>
        <w:t>1.公共卫生间保洁基本要求</w:t>
      </w:r>
    </w:p>
    <w:tbl>
      <w:tblPr>
        <w:tblStyle w:val="25"/>
        <w:tblW w:w="834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2431"/>
        <w:gridCol w:w="1602"/>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trPr>
        <w:tc>
          <w:tcPr>
            <w:tcW w:w="976" w:type="dxa"/>
            <w:shd w:val="clear" w:color="auto" w:fill="FFFFFF"/>
            <w:noWrap w:val="0"/>
            <w:vAlign w:val="center"/>
          </w:tcPr>
          <w:p>
            <w:pPr>
              <w:pStyle w:val="58"/>
              <w:spacing w:before="0" w:after="0" w:line="360" w:lineRule="auto"/>
              <w:ind w:left="2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tc>
        <w:tc>
          <w:tcPr>
            <w:tcW w:w="3334"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Style w:val="59"/>
                <w:rFonts w:hint="eastAsia" w:ascii="宋体" w:hAnsi="宋体" w:eastAsia="宋体" w:cs="宋体"/>
                <w:color w:val="auto"/>
                <w:sz w:val="21"/>
                <w:szCs w:val="21"/>
                <w:highlight w:val="none"/>
              </w:rPr>
              <w:t>一</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视检项目</w:t>
            </w:r>
          </w:p>
        </w:tc>
        <w:tc>
          <w:tcPr>
            <w:tcW w:w="1602"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纸片（块）</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烟蒂（个）</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粪迹（处）</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痰迹（处）</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苍蝇（只）</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蛛网</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窗格积尘</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2431" w:type="dxa"/>
            <w:shd w:val="clear" w:color="auto" w:fill="FFFFFF"/>
            <w:noWrap w:val="0"/>
            <w:vAlign w:val="center"/>
          </w:tcPr>
          <w:p>
            <w:pPr>
              <w:pStyle w:val="58"/>
              <w:spacing w:before="0" w:after="0" w:line="360" w:lineRule="auto"/>
              <w:ind w:left="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平、立面污迹（处）</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含门、窗、隔板、墙、地面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31" w:type="dxa"/>
            <w:shd w:val="clear" w:color="auto" w:fill="FFFFFF"/>
            <w:noWrap w:val="0"/>
            <w:vAlign w:val="center"/>
          </w:tcPr>
          <w:p>
            <w:pPr>
              <w:pStyle w:val="58"/>
              <w:spacing w:before="0" w:after="0" w:line="360" w:lineRule="auto"/>
              <w:ind w:left="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室内相对湿度（％)</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3334"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湿度计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2431" w:type="dxa"/>
            <w:shd w:val="clear" w:color="auto" w:fill="FFFFFF"/>
            <w:noWrap w:val="0"/>
            <w:vAlign w:val="center"/>
          </w:tcPr>
          <w:p>
            <w:pPr>
              <w:pStyle w:val="58"/>
              <w:spacing w:before="0" w:after="0" w:line="360" w:lineRule="auto"/>
              <w:ind w:left="2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换气次数（次</w:t>
            </w:r>
            <w:r>
              <w:rPr>
                <w:rFonts w:hint="eastAsia" w:ascii="宋体" w:hAnsi="宋体" w:eastAsia="宋体" w:cs="宋体"/>
                <w:color w:val="auto"/>
                <w:sz w:val="21"/>
                <w:szCs w:val="21"/>
                <w:highlight w:val="none"/>
                <w:lang w:eastAsia="en-US"/>
              </w:rPr>
              <w:t>/</w:t>
            </w:r>
            <w:r>
              <w:rPr>
                <w:rStyle w:val="60"/>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lang w:eastAsia="en-US"/>
              </w:rPr>
              <w:t>)</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3334"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通风设备功率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照度</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&gt;40</w:t>
            </w:r>
          </w:p>
        </w:tc>
        <w:tc>
          <w:tcPr>
            <w:tcW w:w="3334"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仪器测定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431" w:type="dxa"/>
            <w:shd w:val="clear" w:color="auto" w:fill="FFFFFF"/>
            <w:noWrap w:val="0"/>
            <w:vAlign w:val="center"/>
          </w:tcPr>
          <w:p>
            <w:pPr>
              <w:pStyle w:val="58"/>
              <w:spacing w:before="0" w:after="0" w:line="360" w:lineRule="auto"/>
              <w:ind w:left="2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设施完好率（％)</w:t>
            </w:r>
          </w:p>
        </w:tc>
        <w:tc>
          <w:tcPr>
            <w:tcW w:w="1602"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exact"/>
        </w:trPr>
        <w:tc>
          <w:tcPr>
            <w:tcW w:w="976"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2431" w:type="dxa"/>
            <w:shd w:val="clear" w:color="auto" w:fill="FFFFFF"/>
            <w:noWrap w:val="0"/>
            <w:vAlign w:val="center"/>
          </w:tcPr>
          <w:p>
            <w:pPr>
              <w:pStyle w:val="58"/>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保洁工具</w:t>
            </w:r>
          </w:p>
        </w:tc>
        <w:tc>
          <w:tcPr>
            <w:tcW w:w="1602" w:type="dxa"/>
            <w:shd w:val="clear" w:color="auto" w:fill="FFFFFF"/>
            <w:noWrap w:val="0"/>
            <w:vAlign w:val="center"/>
          </w:tcPr>
          <w:p>
            <w:pPr>
              <w:pStyle w:val="58"/>
              <w:spacing w:before="0" w:after="0" w:line="360" w:lineRule="auto"/>
              <w:ind w:left="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放置整齐</w:t>
            </w:r>
          </w:p>
        </w:tc>
        <w:tc>
          <w:tcPr>
            <w:tcW w:w="3334" w:type="dxa"/>
            <w:shd w:val="clear" w:color="auto" w:fill="FFFFFF"/>
            <w:noWrap w:val="0"/>
            <w:vAlign w:val="center"/>
          </w:tcPr>
          <w:p>
            <w:pPr>
              <w:spacing w:line="360" w:lineRule="auto"/>
              <w:jc w:val="center"/>
              <w:rPr>
                <w:rFonts w:hint="eastAsia" w:ascii="宋体" w:hAnsi="宋体" w:eastAsia="宋体" w:cs="宋体"/>
                <w:color w:val="auto"/>
                <w:spacing w:val="20"/>
                <w:sz w:val="21"/>
                <w:szCs w:val="21"/>
                <w:highlight w:val="none"/>
              </w:rPr>
            </w:pPr>
          </w:p>
        </w:tc>
      </w:tr>
    </w:tbl>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（3）所有人员在岗期间必须统一着装、穿戴反光衣，做好安全防护措施，夜间作业时应做好安全警示；</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（4）节假日、重大活动、特殊时期保洁工作按采购人要求及实际情况无条件延长保洁时间；</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5）从事环境卫生作业服务的机械车辆,出车前必须进行车辆检查，发现故障及时排除，确保车况良好、容貌整洁、颜色清晰、牌证齐全，严禁违章作业；进行道路和公共场所作业时要严格遵守交通法规，每日作业结束后对车辆进行例行保养，并定期做好各级保养工作；</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6）总体质量要求：在管养范围内不能有塑料、烟蒂、纸屑、果皮、乱张贴等垃圾，环卫设施保持干净整洁完好，园路无垃圾、无杂物、无积泥、无积水无污迹，路面干净、绿地和树圈干净、边角侧石干净、井沟干净、果皮箱等环卫设施干净等；</w:t>
      </w:r>
    </w:p>
    <w:p>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以上未尽事宜，按国家、地方、行业标准，按采购人要求执行。</w:t>
      </w:r>
    </w:p>
    <w:p>
      <w:pPr>
        <w:pStyle w:val="7"/>
        <w:bidi w:val="0"/>
        <w:rPr>
          <w:color w:val="auto"/>
          <w:highlight w:val="none"/>
        </w:rPr>
      </w:pPr>
      <w:r>
        <w:rPr>
          <w:rFonts w:hint="eastAsia"/>
          <w:color w:val="auto"/>
          <w:highlight w:val="none"/>
          <w:lang w:val="en-US" w:eastAsia="zh-CN"/>
        </w:rPr>
        <w:t>三</w:t>
      </w:r>
      <w:r>
        <w:rPr>
          <w:color w:val="auto"/>
          <w:highlight w:val="none"/>
        </w:rPr>
        <w:t>、其他要求</w:t>
      </w:r>
    </w:p>
    <w:p>
      <w:pPr>
        <w:ind w:firstLine="420"/>
        <w:jc w:val="left"/>
        <w:rPr>
          <w:rFonts w:hint="eastAsia" w:eastAsia="宋体"/>
          <w:color w:val="auto"/>
          <w:sz w:val="21"/>
          <w:highlight w:val="none"/>
          <w:lang w:val="en-US" w:eastAsia="zh-CN"/>
        </w:rPr>
      </w:pPr>
      <w:r>
        <w:rPr>
          <w:rFonts w:hint="eastAsia"/>
          <w:color w:val="auto"/>
          <w:sz w:val="21"/>
          <w:highlight w:val="none"/>
          <w:lang w:eastAsia="zh-CN"/>
        </w:rPr>
        <w:t>（</w:t>
      </w:r>
      <w:r>
        <w:rPr>
          <w:rFonts w:hint="eastAsia"/>
          <w:color w:val="auto"/>
          <w:sz w:val="21"/>
          <w:highlight w:val="none"/>
          <w:lang w:val="en-US" w:eastAsia="zh-CN"/>
        </w:rPr>
        <w:t>一</w:t>
      </w:r>
      <w:r>
        <w:rPr>
          <w:rFonts w:hint="eastAsia"/>
          <w:color w:val="auto"/>
          <w:sz w:val="21"/>
          <w:highlight w:val="none"/>
          <w:lang w:eastAsia="zh-CN"/>
        </w:rPr>
        <w:t>）</w:t>
      </w:r>
      <w:r>
        <w:rPr>
          <w:rFonts w:hint="eastAsia" w:ascii="宋体" w:hAnsi="宋体" w:eastAsia="宋体" w:cs="Times New Roman"/>
          <w:color w:val="auto"/>
          <w:sz w:val="21"/>
          <w:szCs w:val="21"/>
          <w:highlight w:val="none"/>
          <w:lang w:val="en-US" w:eastAsia="zh-CN"/>
        </w:rPr>
        <w:t>供应商</w:t>
      </w:r>
      <w:r>
        <w:rPr>
          <w:rFonts w:hint="eastAsia" w:ascii="宋体" w:hAnsi="宋体" w:eastAsia="宋体" w:cs="Times New Roman"/>
          <w:color w:val="auto"/>
          <w:sz w:val="21"/>
          <w:szCs w:val="21"/>
          <w:highlight w:val="none"/>
        </w:rPr>
        <w:t>应根据</w:t>
      </w:r>
      <w:r>
        <w:rPr>
          <w:rFonts w:hint="eastAsia" w:ascii="宋体" w:hAnsi="宋体" w:eastAsia="宋体" w:cs="Times New Roman"/>
          <w:color w:val="auto"/>
          <w:sz w:val="21"/>
          <w:szCs w:val="21"/>
          <w:highlight w:val="none"/>
          <w:lang w:val="en-US" w:eastAsia="zh-CN"/>
        </w:rPr>
        <w:t>本项目的作业要求</w:t>
      </w:r>
      <w:r>
        <w:rPr>
          <w:rFonts w:hint="eastAsia" w:ascii="宋体" w:hAnsi="宋体" w:eastAsia="宋体" w:cs="Times New Roman"/>
          <w:color w:val="auto"/>
          <w:sz w:val="21"/>
          <w:szCs w:val="21"/>
          <w:highlight w:val="none"/>
        </w:rPr>
        <w:t>，在</w:t>
      </w:r>
      <w:r>
        <w:rPr>
          <w:rFonts w:hint="eastAsia" w:ascii="宋体" w:hAnsi="宋体" w:eastAsia="宋体" w:cs="Times New Roman"/>
          <w:color w:val="auto"/>
          <w:sz w:val="21"/>
          <w:szCs w:val="21"/>
          <w:highlight w:val="none"/>
          <w:lang w:val="en-US" w:eastAsia="zh-CN"/>
        </w:rPr>
        <w:t>响应</w:t>
      </w:r>
      <w:r>
        <w:rPr>
          <w:rFonts w:hint="eastAsia" w:ascii="宋体" w:hAnsi="宋体" w:eastAsia="宋体" w:cs="Times New Roman"/>
          <w:color w:val="auto"/>
          <w:sz w:val="21"/>
          <w:szCs w:val="21"/>
          <w:highlight w:val="none"/>
        </w:rPr>
        <w:t>文件中提供切实可行</w:t>
      </w:r>
      <w:r>
        <w:rPr>
          <w:rFonts w:hint="eastAsia"/>
          <w:color w:val="auto"/>
          <w:sz w:val="21"/>
          <w:highlight w:val="none"/>
        </w:rPr>
        <w:t>服务方案</w:t>
      </w:r>
      <w:r>
        <w:rPr>
          <w:rFonts w:hint="eastAsia"/>
          <w:color w:val="auto"/>
          <w:sz w:val="21"/>
          <w:highlight w:val="none"/>
          <w:lang w:eastAsia="zh-CN"/>
        </w:rPr>
        <w:t>、</w:t>
      </w:r>
      <w:r>
        <w:rPr>
          <w:rFonts w:hint="eastAsia"/>
          <w:color w:val="auto"/>
          <w:sz w:val="21"/>
          <w:highlight w:val="none"/>
        </w:rPr>
        <w:t>安全作业措施方案</w:t>
      </w:r>
      <w:r>
        <w:rPr>
          <w:rFonts w:hint="eastAsia"/>
          <w:color w:val="auto"/>
          <w:sz w:val="21"/>
          <w:highlight w:val="none"/>
          <w:lang w:eastAsia="zh-CN"/>
        </w:rPr>
        <w:t>、</w:t>
      </w:r>
      <w:r>
        <w:rPr>
          <w:rFonts w:hint="eastAsia"/>
          <w:color w:val="auto"/>
          <w:sz w:val="21"/>
          <w:highlight w:val="none"/>
        </w:rPr>
        <w:t>质量保证措施方案</w:t>
      </w:r>
      <w:r>
        <w:rPr>
          <w:rFonts w:hint="eastAsia"/>
          <w:color w:val="auto"/>
          <w:sz w:val="21"/>
          <w:highlight w:val="none"/>
          <w:lang w:eastAsia="zh-CN"/>
        </w:rPr>
        <w:t>、</w:t>
      </w:r>
      <w:r>
        <w:rPr>
          <w:rFonts w:hint="eastAsia"/>
          <w:color w:val="auto"/>
          <w:sz w:val="21"/>
          <w:highlight w:val="none"/>
        </w:rPr>
        <w:t>应急方案</w:t>
      </w:r>
      <w:r>
        <w:rPr>
          <w:rFonts w:hint="eastAsia"/>
          <w:color w:val="auto"/>
          <w:sz w:val="21"/>
          <w:highlight w:val="none"/>
          <w:lang w:val="en-US" w:eastAsia="zh-CN"/>
        </w:rPr>
        <w:t>等。</w:t>
      </w:r>
    </w:p>
    <w:p>
      <w:pPr>
        <w:ind w:firstLine="420"/>
        <w:jc w:val="left"/>
        <w:rPr>
          <w:color w:val="auto"/>
          <w:highlight w:val="none"/>
        </w:rPr>
      </w:pPr>
      <w:r>
        <w:rPr>
          <w:color w:val="auto"/>
          <w:sz w:val="21"/>
          <w:highlight w:val="none"/>
        </w:rPr>
        <w:t>（</w:t>
      </w:r>
      <w:r>
        <w:rPr>
          <w:rFonts w:hint="eastAsia"/>
          <w:color w:val="auto"/>
          <w:sz w:val="21"/>
          <w:highlight w:val="none"/>
          <w:lang w:val="en-US" w:eastAsia="zh-CN"/>
        </w:rPr>
        <w:t>二</w:t>
      </w:r>
      <w:r>
        <w:rPr>
          <w:color w:val="auto"/>
          <w:sz w:val="21"/>
          <w:highlight w:val="none"/>
        </w:rPr>
        <w:t>）本项目</w:t>
      </w:r>
      <w:r>
        <w:rPr>
          <w:rFonts w:hint="eastAsia"/>
          <w:color w:val="auto"/>
          <w:sz w:val="21"/>
          <w:highlight w:val="none"/>
          <w:lang w:eastAsia="zh-CN"/>
        </w:rPr>
        <w:t>成交人</w:t>
      </w:r>
      <w:r>
        <w:rPr>
          <w:color w:val="auto"/>
          <w:sz w:val="21"/>
          <w:highlight w:val="none"/>
        </w:rPr>
        <w:t>按合同价包工、包料、包机械设备、包承包期、包质量、包安全。</w:t>
      </w:r>
    </w:p>
    <w:p>
      <w:pPr>
        <w:ind w:firstLine="420"/>
        <w:jc w:val="left"/>
        <w:rPr>
          <w:color w:val="auto"/>
          <w:highlight w:val="none"/>
        </w:rPr>
      </w:pPr>
      <w:r>
        <w:rPr>
          <w:color w:val="auto"/>
          <w:sz w:val="21"/>
          <w:highlight w:val="none"/>
        </w:rPr>
        <w:t>（</w:t>
      </w:r>
      <w:r>
        <w:rPr>
          <w:rFonts w:hint="eastAsia"/>
          <w:color w:val="auto"/>
          <w:sz w:val="21"/>
          <w:highlight w:val="none"/>
          <w:lang w:val="en-US" w:eastAsia="zh-CN"/>
        </w:rPr>
        <w:t>三</w:t>
      </w:r>
      <w:r>
        <w:rPr>
          <w:color w:val="auto"/>
          <w:sz w:val="21"/>
          <w:highlight w:val="none"/>
        </w:rPr>
        <w:t>）采购人向供应商提供的有关资料和数据，是采购人现有的能使供应商利用的资料，采购人对供应商由此而做出的推论、理解和结论概不负责。因法律、法规、标准和政策等相关规定动态变化，不能保证项目正式开始实施时与现有情况、要求完全一致，如有变动将以最终签约为准。如实际情况为非根本性的重大实质影响，采购人将不对此承担任何责任和费用。</w:t>
      </w:r>
    </w:p>
    <w:p>
      <w:pPr>
        <w:ind w:firstLine="420"/>
        <w:jc w:val="left"/>
        <w:rPr>
          <w:color w:val="auto"/>
          <w:highlight w:val="none"/>
        </w:rPr>
      </w:pPr>
      <w:r>
        <w:rPr>
          <w:color w:val="auto"/>
          <w:sz w:val="21"/>
          <w:highlight w:val="none"/>
        </w:rPr>
        <w:t>（</w:t>
      </w:r>
      <w:r>
        <w:rPr>
          <w:rFonts w:hint="eastAsia"/>
          <w:color w:val="auto"/>
          <w:sz w:val="21"/>
          <w:highlight w:val="none"/>
          <w:lang w:val="en-US" w:eastAsia="zh-CN"/>
        </w:rPr>
        <w:t>四</w:t>
      </w:r>
      <w:r>
        <w:rPr>
          <w:color w:val="auto"/>
          <w:sz w:val="21"/>
          <w:highlight w:val="none"/>
        </w:rPr>
        <w:t>）本项目执行过程中将遵循国家、省、市有关法律、法规、标准、技术规范和规范性文件的最新规定。</w:t>
      </w:r>
    </w:p>
    <w:p>
      <w:pPr>
        <w:ind w:firstLine="420"/>
        <w:jc w:val="left"/>
        <w:rPr>
          <w:color w:val="auto"/>
          <w:highlight w:val="none"/>
        </w:rPr>
      </w:pPr>
      <w:r>
        <w:rPr>
          <w:color w:val="auto"/>
          <w:sz w:val="21"/>
          <w:highlight w:val="none"/>
        </w:rPr>
        <w:t>（</w:t>
      </w:r>
      <w:r>
        <w:rPr>
          <w:rFonts w:hint="eastAsia"/>
          <w:color w:val="auto"/>
          <w:sz w:val="21"/>
          <w:highlight w:val="none"/>
          <w:lang w:val="en-US" w:eastAsia="zh-CN"/>
        </w:rPr>
        <w:t>五</w:t>
      </w:r>
      <w:r>
        <w:rPr>
          <w:color w:val="auto"/>
          <w:sz w:val="21"/>
          <w:highlight w:val="none"/>
        </w:rPr>
        <w:t>）项目执行过程中，如需采购人配合办理相关手续，或提供相关服务条件，均须在投标文件中详细说明，例如临时场地租用，临时用电电源接入，与采购人沟通协调等相关事宜，以便于采购人决定是否接受或提前准备，所涉及的费用均由</w:t>
      </w:r>
      <w:r>
        <w:rPr>
          <w:rFonts w:hint="eastAsia"/>
          <w:color w:val="auto"/>
          <w:sz w:val="21"/>
          <w:highlight w:val="none"/>
          <w:lang w:eastAsia="zh-CN"/>
        </w:rPr>
        <w:t>成交人</w:t>
      </w:r>
      <w:r>
        <w:rPr>
          <w:color w:val="auto"/>
          <w:sz w:val="21"/>
          <w:highlight w:val="none"/>
        </w:rPr>
        <w:t>承担。</w:t>
      </w:r>
    </w:p>
    <w:p>
      <w:pPr>
        <w:pStyle w:val="7"/>
        <w:bidi w:val="0"/>
        <w:rPr>
          <w:rFonts w:hint="default" w:eastAsia="宋体"/>
          <w:color w:val="auto"/>
          <w:highlight w:val="none"/>
          <w:lang w:val="en-US" w:eastAsia="zh-CN"/>
        </w:rPr>
      </w:pPr>
      <w:r>
        <w:rPr>
          <w:rFonts w:hint="eastAsia"/>
          <w:color w:val="auto"/>
          <w:highlight w:val="none"/>
          <w:lang w:val="en-US" w:eastAsia="zh-CN"/>
        </w:rPr>
        <w:t>四</w:t>
      </w:r>
      <w:r>
        <w:rPr>
          <w:color w:val="auto"/>
          <w:highlight w:val="none"/>
        </w:rPr>
        <w:t>、</w:t>
      </w:r>
      <w:r>
        <w:rPr>
          <w:rFonts w:hint="eastAsia"/>
          <w:color w:val="auto"/>
          <w:highlight w:val="none"/>
          <w:lang w:val="en-US" w:eastAsia="zh-CN"/>
        </w:rPr>
        <w:t>考核办法</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（一）检查验收制度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1、以采购人和</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各派员对本项目各项工作进行定期检查，实际工作开展情况及服务成效进行综合评分。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2、采购人每月按照评分情况向</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支付承包款项，每月的扣分罚款从当月承包款中扣除。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（二）考核评分办法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1、本项目评分考核分为优，中，差，三个档次，具体考核评分标准由采购人根据实际情况确定。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2、当月考核评级属“中”（含）以上的为达标，评级为“差”扣除</w:t>
      </w:r>
      <w:r>
        <w:rPr>
          <w:rFonts w:hint="eastAsia" w:ascii="宋体" w:hAnsi="宋体" w:eastAsia="宋体" w:cs="宋体"/>
          <w:color w:val="auto"/>
          <w:sz w:val="21"/>
          <w:szCs w:val="21"/>
          <w:highlight w:val="none"/>
          <w:lang w:eastAsia="zh-CN"/>
        </w:rPr>
        <w:t>成交人</w:t>
      </w:r>
      <w:r>
        <w:rPr>
          <w:rFonts w:hint="eastAsia" w:ascii="宋体" w:hAnsi="宋体" w:cs="宋体"/>
          <w:color w:val="auto"/>
          <w:sz w:val="21"/>
          <w:szCs w:val="21"/>
          <w:highlight w:val="none"/>
          <w:lang w:val="en-US" w:eastAsia="zh-CN"/>
        </w:rPr>
        <w:t>当月</w:t>
      </w:r>
      <w:r>
        <w:rPr>
          <w:rFonts w:hint="eastAsia" w:ascii="宋体" w:hAnsi="宋体" w:eastAsia="宋体" w:cs="宋体"/>
          <w:color w:val="auto"/>
          <w:sz w:val="21"/>
          <w:szCs w:val="21"/>
          <w:highlight w:val="none"/>
        </w:rPr>
        <w:t>承包款5000元，连续</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个月评级为“差”的采购人有权单方解除合同。</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534"/>
      <w:bookmarkStart w:id="204" w:name="_Toc21155"/>
      <w:bookmarkStart w:id="205" w:name="_Toc13430"/>
    </w:p>
    <w:bookmarkEnd w:id="203"/>
    <w:bookmarkEnd w:id="204"/>
    <w:bookmarkEnd w:id="205"/>
    <w:p>
      <w:pPr>
        <w:pStyle w:val="6"/>
        <w:spacing w:before="0" w:after="0" w:line="240" w:lineRule="auto"/>
        <w:jc w:val="center"/>
        <w:rPr>
          <w:rFonts w:ascii="宋体" w:hAnsi="宋体" w:eastAsia="宋体" w:cs="宋体"/>
          <w:color w:val="auto"/>
          <w:highlight w:val="none"/>
        </w:rPr>
      </w:pPr>
      <w:bookmarkStart w:id="206" w:name="_Toc16730"/>
      <w:r>
        <w:rPr>
          <w:rFonts w:hint="eastAsia" w:ascii="宋体" w:hAnsi="宋体" w:eastAsia="宋体" w:cs="宋体"/>
          <w:color w:val="auto"/>
          <w:highlight w:val="none"/>
        </w:rPr>
        <w:t>合同格式</w:t>
      </w:r>
      <w:bookmarkEnd w:id="206"/>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（含</w:t>
      </w:r>
      <w:r>
        <w:rPr>
          <w:rFonts w:hint="eastAsia" w:ascii="宋体" w:hAnsi="宋体" w:eastAsia="宋体"/>
          <w:color w:val="auto"/>
          <w:sz w:val="21"/>
          <w:szCs w:val="21"/>
          <w:highlight w:val="none"/>
          <w:lang w:eastAsia="zh-CN"/>
        </w:rPr>
        <w:t>磋商文件</w:t>
      </w:r>
      <w:r>
        <w:rPr>
          <w:rFonts w:hint="eastAsia" w:ascii="宋体" w:hAnsi="宋体" w:eastAsia="宋体"/>
          <w:color w:val="auto"/>
          <w:sz w:val="21"/>
          <w:szCs w:val="21"/>
          <w:highlight w:val="none"/>
        </w:rPr>
        <w:t>澄清通知）等。</w:t>
      </w:r>
    </w:p>
    <w:p>
      <w:pPr>
        <w:spacing w:after="0" w:line="360" w:lineRule="auto"/>
        <w:ind w:firstLine="422" w:firstLineChars="200"/>
        <w:rPr>
          <w:rFonts w:ascii="宋体" w:hAnsi="宋体" w:eastAsia="宋体"/>
          <w:b/>
          <w:color w:val="auto"/>
          <w:sz w:val="21"/>
          <w:szCs w:val="21"/>
          <w:highlight w:val="none"/>
        </w:rPr>
      </w:pPr>
      <w:bookmarkStart w:id="207"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w:t>
      </w:r>
      <w:r>
        <w:rPr>
          <w:rFonts w:hint="eastAsia" w:ascii="宋体" w:hAnsi="宋体" w:eastAsia="宋体" w:cs="仿宋"/>
          <w:color w:val="auto"/>
          <w:sz w:val="21"/>
          <w:szCs w:val="21"/>
          <w:highlight w:val="none"/>
          <w:shd w:val="clear" w:color="auto" w:fill="FFFFFF"/>
          <w:lang w:eastAsia="zh-CN"/>
        </w:rPr>
        <w:t>磋商文件</w:t>
      </w:r>
      <w:r>
        <w:rPr>
          <w:rFonts w:hint="eastAsia" w:ascii="宋体" w:hAnsi="宋体" w:eastAsia="宋体" w:cs="仿宋"/>
          <w:color w:val="auto"/>
          <w:sz w:val="21"/>
          <w:szCs w:val="21"/>
          <w:highlight w:val="none"/>
          <w:shd w:val="clear" w:color="auto" w:fill="FFFFFF"/>
        </w:rPr>
        <w:t>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及本合同的有关规定制定的方案进行验收，并按国家有关规定、规范进行。</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07"/>
    <w:p>
      <w:pPr>
        <w:spacing w:after="0" w:line="360" w:lineRule="auto"/>
        <w:ind w:firstLine="422" w:firstLineChars="200"/>
        <w:rPr>
          <w:rFonts w:ascii="宋体" w:hAnsi="宋体" w:eastAsia="宋体"/>
          <w:b/>
          <w:color w:val="auto"/>
          <w:sz w:val="21"/>
          <w:szCs w:val="21"/>
          <w:highlight w:val="none"/>
        </w:rPr>
      </w:pPr>
      <w:bookmarkStart w:id="208"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09" w:name="_Toc86481569"/>
      <w:r>
        <w:rPr>
          <w:rFonts w:hint="eastAsia" w:ascii="宋体" w:hAnsi="宋体" w:eastAsia="宋体"/>
          <w:b/>
          <w:color w:val="auto"/>
          <w:sz w:val="21"/>
          <w:szCs w:val="21"/>
          <w:highlight w:val="none"/>
        </w:rPr>
        <w:t>第十二条 合同生效</w:t>
      </w:r>
      <w:bookmarkEnd w:id="209"/>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08"/>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eastAsia="宋体"/>
          <w:b/>
          <w:color w:val="auto"/>
          <w:sz w:val="21"/>
          <w:szCs w:val="21"/>
          <w:highlight w:val="none"/>
          <w:lang w:eastAsia="zh-CN"/>
        </w:rPr>
        <w:t>成交人</w:t>
      </w:r>
      <w:r>
        <w:rPr>
          <w:rFonts w:hint="eastAsia" w:ascii="宋体" w:hAnsi="宋体" w:eastAsia="宋体"/>
          <w:b/>
          <w:color w:val="auto"/>
          <w:sz w:val="21"/>
          <w:szCs w:val="21"/>
          <w:highlight w:val="none"/>
        </w:rPr>
        <w:t>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5"/>
        <w:spacing w:before="0" w:after="0" w:line="240" w:lineRule="auto"/>
        <w:rPr>
          <w:color w:val="auto"/>
          <w:sz w:val="28"/>
          <w:szCs w:val="28"/>
          <w:highlight w:val="none"/>
        </w:rPr>
      </w:pPr>
      <w:bookmarkStart w:id="210" w:name="_Toc15158"/>
      <w:bookmarkStart w:id="211" w:name="_Toc23749"/>
      <w:bookmarkStart w:id="212"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0"/>
      <w:bookmarkEnd w:id="211"/>
      <w:bookmarkEnd w:id="212"/>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2434"/>
      <w:bookmarkStart w:id="214" w:name="_Toc26830"/>
      <w:bookmarkStart w:id="215" w:name="_Toc6790"/>
      <w:r>
        <w:rPr>
          <w:rFonts w:hint="eastAsia"/>
          <w:color w:val="auto"/>
          <w:highlight w:val="none"/>
          <w:lang w:eastAsia="zh-CN"/>
        </w:rPr>
        <w:t>响应文件</w:t>
      </w:r>
      <w:r>
        <w:rPr>
          <w:rFonts w:hint="eastAsia"/>
          <w:color w:val="auto"/>
          <w:highlight w:val="none"/>
        </w:rPr>
        <w:t>目录</w:t>
      </w:r>
      <w:bookmarkEnd w:id="213"/>
      <w:bookmarkEnd w:id="214"/>
      <w:bookmarkEnd w:id="215"/>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25502"/>
      <w:bookmarkStart w:id="217" w:name="_Toc18893"/>
      <w:bookmarkStart w:id="218" w:name="_Toc28116"/>
      <w:r>
        <w:rPr>
          <w:rFonts w:hint="eastAsia"/>
          <w:color w:val="auto"/>
          <w:highlight w:val="none"/>
        </w:rPr>
        <w:t>评分标准索引表</w:t>
      </w:r>
      <w:bookmarkEnd w:id="216"/>
      <w:bookmarkEnd w:id="217"/>
      <w:bookmarkEnd w:id="218"/>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9" w:name="_Toc22080"/>
      <w:bookmarkStart w:id="220" w:name="_Toc19057"/>
      <w:bookmarkStart w:id="221" w:name="_Toc30640"/>
      <w:r>
        <w:rPr>
          <w:rFonts w:hint="eastAsia"/>
          <w:color w:val="auto"/>
          <w:highlight w:val="none"/>
          <w:lang w:val="en-US" w:eastAsia="zh-CN"/>
        </w:rPr>
        <w:t>第一章价格文件</w:t>
      </w:r>
      <w:bookmarkEnd w:id="219"/>
      <w:bookmarkEnd w:id="22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4168"/>
      <w:bookmarkStart w:id="223" w:name="_Toc29262"/>
      <w:r>
        <w:rPr>
          <w:rFonts w:hint="eastAsia"/>
          <w:color w:val="auto"/>
          <w:highlight w:val="none"/>
          <w:lang w:val="en-US" w:eastAsia="zh-CN"/>
        </w:rPr>
        <w:t>一、报价一览表</w:t>
      </w:r>
      <w:bookmarkEnd w:id="222"/>
      <w:bookmarkEnd w:id="223"/>
    </w:p>
    <w:p>
      <w:pPr>
        <w:spacing w:line="360" w:lineRule="auto"/>
        <w:rPr>
          <w:color w:val="auto"/>
          <w:highlight w:val="none"/>
        </w:rPr>
      </w:pPr>
    </w:p>
    <w:tbl>
      <w:tblPr>
        <w:tblStyle w:val="25"/>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pStyle w:val="24"/>
        <w:rPr>
          <w:color w:val="auto"/>
          <w:highlight w:val="none"/>
        </w:rPr>
      </w:pPr>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4" w:name="_Toc31062"/>
      <w:bookmarkStart w:id="225" w:name="_Toc29258"/>
      <w:r>
        <w:rPr>
          <w:rFonts w:hint="eastAsia"/>
          <w:color w:val="auto"/>
          <w:highlight w:val="none"/>
          <w:lang w:val="en-US" w:eastAsia="zh-CN"/>
        </w:rPr>
        <w:t>二、报价明细表</w:t>
      </w:r>
      <w:bookmarkEnd w:id="224"/>
      <w:bookmarkEnd w:id="225"/>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6" w:name="_Toc20974"/>
      <w:bookmarkStart w:id="227" w:name="_Toc14734"/>
      <w:r>
        <w:rPr>
          <w:rFonts w:hint="eastAsia"/>
          <w:color w:val="auto"/>
          <w:highlight w:val="none"/>
          <w:lang w:val="en-US" w:eastAsia="zh-CN"/>
        </w:rPr>
        <w:t>三、小型或微型企业（货物/服务/承担的工程）明细表</w:t>
      </w:r>
      <w:bookmarkEnd w:id="226"/>
      <w:bookmarkEnd w:id="227"/>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5"/>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pPr>
        <w:pStyle w:val="35"/>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所投产品中无小型</w:t>
      </w:r>
      <w:r>
        <w:rPr>
          <w:rStyle w:val="45"/>
          <w:rFonts w:hint="eastAsia" w:ascii="宋体" w:hAnsi="宋体" w:eastAsia="宋体" w:cs="宋体"/>
          <w:b/>
          <w:color w:val="auto"/>
          <w:sz w:val="21"/>
          <w:szCs w:val="21"/>
          <w:highlight w:val="none"/>
          <w:lang w:val="en-US" w:eastAsia="zh-CN"/>
        </w:rPr>
        <w:t>或</w:t>
      </w:r>
      <w:r>
        <w:rPr>
          <w:rStyle w:val="45"/>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8" w:name="_Toc17483"/>
      <w:bookmarkStart w:id="229" w:name="_Toc16718"/>
      <w:r>
        <w:rPr>
          <w:rFonts w:hint="eastAsia"/>
          <w:color w:val="auto"/>
          <w:highlight w:val="none"/>
          <w:lang w:val="en-US" w:eastAsia="zh-CN"/>
        </w:rPr>
        <w:t>四、节能产品或环境标志产品明细表</w:t>
      </w:r>
      <w:bookmarkEnd w:id="228"/>
      <w:bookmarkEnd w:id="229"/>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2"/>
        <w:rPr>
          <w:rFonts w:hint="eastAsia"/>
          <w:color w:val="auto"/>
          <w:highlight w:val="none"/>
        </w:rPr>
      </w:pPr>
    </w:p>
    <w:p>
      <w:pPr>
        <w:tabs>
          <w:tab w:val="left" w:pos="284"/>
        </w:tabs>
        <w:spacing w:after="0"/>
        <w:rPr>
          <w:rStyle w:val="45"/>
          <w:rFonts w:hint="eastAsia"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在“货物</w:t>
      </w:r>
      <w:r>
        <w:rPr>
          <w:rStyle w:val="45"/>
          <w:rFonts w:hint="eastAsia" w:ascii="宋体" w:hAnsi="宋体" w:eastAsia="宋体" w:cs="宋体"/>
          <w:b/>
          <w:color w:val="auto"/>
          <w:sz w:val="21"/>
          <w:szCs w:val="21"/>
          <w:highlight w:val="none"/>
          <w:lang w:val="en-US" w:eastAsia="zh-CN"/>
        </w:rPr>
        <w:t>/</w:t>
      </w:r>
      <w:r>
        <w:rPr>
          <w:rStyle w:val="45"/>
          <w:rFonts w:hint="eastAsia" w:ascii="宋体" w:hAnsi="宋体" w:eastAsia="宋体" w:cs="宋体"/>
          <w:b/>
          <w:color w:val="auto"/>
          <w:sz w:val="21"/>
          <w:szCs w:val="21"/>
          <w:highlight w:val="none"/>
        </w:rPr>
        <w:t>服务报价</w:t>
      </w:r>
      <w:r>
        <w:rPr>
          <w:rStyle w:val="45"/>
          <w:rFonts w:hint="eastAsia" w:ascii="宋体" w:hAnsi="宋体" w:eastAsia="宋体" w:cs="宋体"/>
          <w:b/>
          <w:color w:val="auto"/>
          <w:sz w:val="21"/>
          <w:szCs w:val="21"/>
          <w:highlight w:val="none"/>
          <w:lang w:val="en-US" w:eastAsia="zh-CN"/>
        </w:rPr>
        <w:t>明细</w:t>
      </w:r>
      <w:r>
        <w:rPr>
          <w:rStyle w:val="45"/>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应该如实填写，如</w:t>
      </w:r>
      <w:r>
        <w:rPr>
          <w:rStyle w:val="45"/>
          <w:rFonts w:hint="eastAsia" w:ascii="宋体" w:hAnsi="宋体" w:cs="宋体"/>
          <w:b/>
          <w:color w:val="auto"/>
          <w:sz w:val="21"/>
          <w:szCs w:val="21"/>
          <w:highlight w:val="none"/>
          <w:lang w:eastAsia="zh-CN"/>
        </w:rPr>
        <w:t>供应商</w:t>
      </w:r>
      <w:r>
        <w:rPr>
          <w:rStyle w:val="45"/>
          <w:rFonts w:hint="eastAsia" w:ascii="宋体" w:hAnsi="宋体" w:eastAsia="宋体" w:cs="宋体"/>
          <w:b/>
          <w:color w:val="auto"/>
          <w:sz w:val="21"/>
          <w:szCs w:val="21"/>
          <w:highlight w:val="none"/>
        </w:rPr>
        <w:t>所投产品中无节能或环保产品的，请留空或删除此表！</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8170"/>
      <w:bookmarkStart w:id="231" w:name="_Toc10853"/>
      <w:r>
        <w:rPr>
          <w:rFonts w:hint="eastAsia"/>
          <w:color w:val="auto"/>
          <w:highlight w:val="none"/>
          <w:lang w:val="en-US" w:eastAsia="zh-CN"/>
        </w:rPr>
        <w:t>五、中小企业声明函</w:t>
      </w:r>
      <w:bookmarkEnd w:id="230"/>
      <w:bookmarkEnd w:id="23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12"/>
      <w:bookmarkStart w:id="233" w:name="_Toc8560"/>
      <w:r>
        <w:rPr>
          <w:rFonts w:hint="eastAsia"/>
          <w:color w:val="auto"/>
          <w:highlight w:val="none"/>
          <w:lang w:val="en-US" w:eastAsia="zh-CN"/>
        </w:rPr>
        <w:t>六、残疾人福利性单位声明函</w:t>
      </w:r>
      <w:bookmarkEnd w:id="232"/>
      <w:bookmarkEnd w:id="233"/>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4" w:name="_Toc30277"/>
      <w:bookmarkStart w:id="235" w:name="_Toc510171693"/>
      <w:bookmarkStart w:id="236" w:name="_Toc509479530"/>
      <w:bookmarkStart w:id="237" w:name="_Toc20910"/>
      <w:bookmarkStart w:id="238" w:name="_Toc509844825"/>
      <w:bookmarkStart w:id="239" w:name="_Toc17761"/>
      <w:bookmarkStart w:id="240" w:name="_Toc22970"/>
      <w:bookmarkStart w:id="241" w:name="_Toc509927455"/>
      <w:bookmarkStart w:id="242" w:name="_Toc30247"/>
      <w:bookmarkStart w:id="243" w:name="_Toc508958703"/>
      <w:bookmarkStart w:id="244" w:name="_Toc508960153"/>
      <w:bookmarkStart w:id="245"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4"/>
      <w:bookmarkEnd w:id="235"/>
      <w:bookmarkEnd w:id="236"/>
      <w:bookmarkEnd w:id="237"/>
      <w:bookmarkEnd w:id="238"/>
      <w:bookmarkEnd w:id="239"/>
      <w:bookmarkEnd w:id="240"/>
      <w:bookmarkEnd w:id="241"/>
      <w:bookmarkEnd w:id="242"/>
      <w:bookmarkEnd w:id="243"/>
      <w:bookmarkEnd w:id="244"/>
      <w:bookmarkEnd w:id="245"/>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6" w:name="_Toc509479531"/>
      <w:bookmarkStart w:id="247" w:name="_Toc28527"/>
      <w:bookmarkStart w:id="248" w:name="_Toc21053"/>
      <w:bookmarkStart w:id="249" w:name="_Toc509927456"/>
      <w:bookmarkStart w:id="250" w:name="_Toc508958704"/>
      <w:bookmarkStart w:id="251" w:name="_Toc26216"/>
      <w:bookmarkStart w:id="252" w:name="_Toc509844826"/>
      <w:bookmarkStart w:id="253" w:name="_Toc510171694"/>
      <w:bookmarkStart w:id="254" w:name="_Toc5447"/>
      <w:bookmarkStart w:id="255" w:name="_Toc508898067"/>
      <w:bookmarkStart w:id="256" w:name="_Toc508960154"/>
      <w:bookmarkStart w:id="257" w:name="_Toc31520"/>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509844827"/>
      <w:bookmarkStart w:id="259" w:name="_Toc508898068"/>
      <w:bookmarkStart w:id="260" w:name="_Toc509479532"/>
      <w:bookmarkStart w:id="261" w:name="_Toc508958705"/>
      <w:bookmarkStart w:id="262" w:name="_Toc28126"/>
      <w:bookmarkStart w:id="263" w:name="_Toc9148"/>
      <w:bookmarkStart w:id="264" w:name="_Toc14653"/>
      <w:bookmarkStart w:id="265" w:name="_Toc509927457"/>
      <w:bookmarkStart w:id="266" w:name="_Toc28626"/>
      <w:bookmarkStart w:id="267" w:name="_Toc24848"/>
      <w:bookmarkStart w:id="268" w:name="_Toc510171695"/>
      <w:bookmarkStart w:id="269" w:name="_Toc508960155"/>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10171696"/>
      <w:bookmarkStart w:id="271" w:name="_Toc22981"/>
      <w:bookmarkStart w:id="272" w:name="_Toc509927458"/>
      <w:bookmarkStart w:id="273" w:name="_Toc28686"/>
      <w:bookmarkStart w:id="274" w:name="_Toc508960156"/>
      <w:bookmarkStart w:id="275" w:name="_Toc509479533"/>
      <w:bookmarkStart w:id="276" w:name="_Toc9837"/>
      <w:bookmarkStart w:id="277" w:name="_Toc508958706"/>
      <w:bookmarkStart w:id="278" w:name="_Toc28044"/>
      <w:bookmarkStart w:id="279" w:name="_Toc508898069"/>
      <w:bookmarkStart w:id="280" w:name="_Toc509844828"/>
      <w:bookmarkStart w:id="281" w:name="_Toc7858"/>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0"/>
      <w:bookmarkEnd w:id="271"/>
      <w:bookmarkEnd w:id="272"/>
      <w:bookmarkEnd w:id="273"/>
      <w:bookmarkEnd w:id="274"/>
      <w:bookmarkEnd w:id="275"/>
      <w:bookmarkEnd w:id="276"/>
      <w:bookmarkEnd w:id="277"/>
      <w:bookmarkEnd w:id="278"/>
      <w:bookmarkEnd w:id="279"/>
      <w:bookmarkEnd w:id="280"/>
      <w:bookmarkEnd w:id="28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2" w:name="_Toc510171697"/>
      <w:bookmarkStart w:id="283" w:name="_Toc508960157"/>
      <w:bookmarkStart w:id="284" w:name="_Toc509479534"/>
      <w:bookmarkStart w:id="285" w:name="_Toc508898070"/>
      <w:bookmarkStart w:id="286" w:name="_Toc508958707"/>
      <w:bookmarkStart w:id="287" w:name="_Toc509844829"/>
      <w:bookmarkStart w:id="288" w:name="_Toc509927459"/>
      <w:bookmarkStart w:id="289" w:name="_Toc5289"/>
      <w:bookmarkStart w:id="290" w:name="_Toc18843"/>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2"/>
      <w:bookmarkEnd w:id="283"/>
      <w:bookmarkEnd w:id="284"/>
      <w:bookmarkEnd w:id="285"/>
      <w:bookmarkEnd w:id="286"/>
      <w:bookmarkEnd w:id="287"/>
      <w:bookmarkEnd w:id="288"/>
      <w:bookmarkEnd w:id="289"/>
      <w:bookmarkEnd w:id="290"/>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1" w:name="_Toc23948"/>
      <w:bookmarkStart w:id="292" w:name="_Toc2486"/>
      <w:r>
        <w:rPr>
          <w:rFonts w:hint="eastAsia"/>
          <w:color w:val="auto"/>
          <w:highlight w:val="none"/>
          <w:lang w:val="en-US" w:eastAsia="zh-CN"/>
        </w:rPr>
        <w:t>第二章商务文件</w:t>
      </w:r>
      <w:bookmarkEnd w:id="291"/>
      <w:bookmarkEnd w:id="292"/>
    </w:p>
    <w:bookmarkEnd w:id="221"/>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23787"/>
      <w:bookmarkStart w:id="294" w:name="_Toc4151"/>
      <w:r>
        <w:rPr>
          <w:rFonts w:hint="eastAsia"/>
          <w:color w:val="auto"/>
          <w:highlight w:val="none"/>
          <w:lang w:val="en-US" w:eastAsia="zh-CN"/>
        </w:rPr>
        <w:t>一、响应函</w:t>
      </w:r>
      <w:bookmarkEnd w:id="293"/>
      <w:bookmarkEnd w:id="29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5" w:name="_Toc27961"/>
      <w:bookmarkStart w:id="296" w:name="_Toc15719"/>
      <w:r>
        <w:rPr>
          <w:rFonts w:hint="eastAsia"/>
          <w:color w:val="auto"/>
          <w:highlight w:val="none"/>
          <w:lang w:val="en-US" w:eastAsia="zh-CN"/>
        </w:rPr>
        <w:t>二、资格申明函</w:t>
      </w:r>
      <w:bookmarkEnd w:id="295"/>
      <w:bookmarkEnd w:id="29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7" w:name="_Toc16412"/>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21335"/>
      <w:bookmarkStart w:id="299" w:name="_Toc21273"/>
      <w:r>
        <w:rPr>
          <w:rFonts w:hint="eastAsia"/>
          <w:color w:val="auto"/>
          <w:highlight w:val="none"/>
          <w:lang w:val="en-US" w:eastAsia="zh-CN"/>
        </w:rPr>
        <w:t>三、在参与政府采购活动前三年未有重大违法记录、没有不良信用记录的声明函</w:t>
      </w:r>
      <w:bookmarkEnd w:id="298"/>
      <w:bookmarkEnd w:id="29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0" w:name="_Toc32128"/>
      <w:bookmarkStart w:id="301" w:name="_Toc13243"/>
      <w:r>
        <w:rPr>
          <w:rFonts w:hint="eastAsia"/>
          <w:color w:val="auto"/>
          <w:highlight w:val="none"/>
          <w:lang w:val="en-US" w:eastAsia="zh-CN"/>
        </w:rPr>
        <w:t>四、法定代表人证明书</w:t>
      </w:r>
      <w:bookmarkEnd w:id="300"/>
      <w:bookmarkEnd w:id="301"/>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2" w:name="_Toc11689"/>
      <w:bookmarkStart w:id="303" w:name="_Toc5918"/>
      <w:r>
        <w:rPr>
          <w:rFonts w:hint="eastAsia"/>
          <w:color w:val="auto"/>
          <w:highlight w:val="none"/>
          <w:lang w:val="en-US" w:eastAsia="zh-CN"/>
        </w:rPr>
        <w:t>五、法定代表人授权书</w:t>
      </w:r>
      <w:bookmarkEnd w:id="302"/>
      <w:bookmarkEnd w:id="303"/>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5" w:name="_Toc24013"/>
      <w:bookmarkStart w:id="306" w:name="_Toc1197"/>
      <w:r>
        <w:rPr>
          <w:rFonts w:hint="eastAsia"/>
          <w:color w:val="auto"/>
          <w:highlight w:val="none"/>
          <w:lang w:val="en-US" w:eastAsia="zh-CN"/>
        </w:rPr>
        <w:t>六、供应商基本情况说明</w:t>
      </w:r>
      <w:bookmarkEnd w:id="305"/>
      <w:bookmarkEnd w:id="30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7" w:name="_Toc1511"/>
      <w:bookmarkStart w:id="308" w:name="_Toc17470"/>
      <w:bookmarkStart w:id="309" w:name="_Toc29995"/>
      <w:bookmarkStart w:id="310" w:name="_Toc5919"/>
      <w:bookmarkStart w:id="311" w:name="_Toc4926"/>
      <w:bookmarkStart w:id="312" w:name="_Toc24210"/>
      <w:bookmarkStart w:id="313" w:name="_Toc11992"/>
      <w:r>
        <w:rPr>
          <w:rFonts w:hint="eastAsia"/>
          <w:color w:val="auto"/>
          <w:highlight w:val="none"/>
          <w:lang w:val="en-US" w:eastAsia="zh-CN"/>
        </w:rPr>
        <w:t>七、</w:t>
      </w:r>
      <w:r>
        <w:rPr>
          <w:rFonts w:hint="eastAsia"/>
          <w:color w:val="auto"/>
          <w:highlight w:val="none"/>
        </w:rPr>
        <w:t>营业执照</w:t>
      </w:r>
      <w:bookmarkEnd w:id="307"/>
      <w:bookmarkEnd w:id="308"/>
      <w:bookmarkEnd w:id="309"/>
      <w:bookmarkEnd w:id="310"/>
      <w:bookmarkEnd w:id="311"/>
      <w:bookmarkEnd w:id="312"/>
      <w:bookmarkEnd w:id="31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4"/>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4" w:name="_Toc12706"/>
      <w:bookmarkStart w:id="315" w:name="_Toc29439"/>
      <w:r>
        <w:rPr>
          <w:rFonts w:hint="eastAsia"/>
          <w:color w:val="auto"/>
          <w:highlight w:val="none"/>
          <w:lang w:val="en-US" w:eastAsia="zh-CN"/>
        </w:rPr>
        <w:t>八、</w:t>
      </w:r>
      <w:r>
        <w:rPr>
          <w:rFonts w:hint="eastAsia"/>
          <w:color w:val="auto"/>
          <w:highlight w:val="none"/>
        </w:rPr>
        <w:t>特殊资格要求证明文件</w:t>
      </w:r>
      <w:bookmarkEnd w:id="314"/>
      <w:bookmarkEnd w:id="31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14482"/>
      <w:bookmarkStart w:id="317" w:name="_Toc23341"/>
      <w:r>
        <w:rPr>
          <w:rFonts w:hint="eastAsia"/>
          <w:color w:val="auto"/>
          <w:highlight w:val="none"/>
          <w:lang w:val="en-US" w:eastAsia="zh-CN"/>
        </w:rPr>
        <w:t>九、</w:t>
      </w:r>
      <w:r>
        <w:rPr>
          <w:rFonts w:hint="eastAsia"/>
          <w:color w:val="auto"/>
          <w:highlight w:val="none"/>
        </w:rPr>
        <w:t>承诺书</w:t>
      </w:r>
      <w:bookmarkEnd w:id="316"/>
      <w:bookmarkEnd w:id="317"/>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31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8"/>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13653"/>
      <w:bookmarkStart w:id="320" w:name="_Toc31815"/>
      <w:r>
        <w:rPr>
          <w:rFonts w:hint="eastAsia"/>
          <w:color w:val="auto"/>
          <w:highlight w:val="none"/>
          <w:lang w:val="en-US" w:eastAsia="zh-CN"/>
        </w:rPr>
        <w:t>十、招标代理服务费承诺书</w:t>
      </w:r>
      <w:bookmarkEnd w:id="319"/>
      <w:bookmarkEnd w:id="32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1582"/>
      <w:bookmarkStart w:id="322" w:name="_Toc1975"/>
      <w:r>
        <w:rPr>
          <w:rFonts w:hint="eastAsia"/>
          <w:color w:val="auto"/>
          <w:highlight w:val="none"/>
          <w:lang w:val="en-US" w:eastAsia="zh-CN"/>
        </w:rPr>
        <w:t>十一、</w:t>
      </w:r>
      <w:r>
        <w:rPr>
          <w:rFonts w:hint="eastAsia"/>
          <w:color w:val="auto"/>
          <w:highlight w:val="none"/>
        </w:rPr>
        <w:t>商务条款偏离表</w:t>
      </w:r>
      <w:bookmarkEnd w:id="321"/>
      <w:bookmarkEnd w:id="322"/>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3" w:name="_Toc3218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25391"/>
      <w:bookmarkStart w:id="325" w:name="_Toc7350"/>
      <w:r>
        <w:rPr>
          <w:rFonts w:hint="eastAsia"/>
          <w:color w:val="auto"/>
          <w:highlight w:val="none"/>
          <w:lang w:val="en-US" w:eastAsia="zh-CN"/>
        </w:rPr>
        <w:t>十二、</w:t>
      </w:r>
      <w:r>
        <w:rPr>
          <w:rFonts w:hint="eastAsia"/>
          <w:color w:val="auto"/>
          <w:highlight w:val="none"/>
        </w:rPr>
        <w:t>业绩表</w:t>
      </w:r>
      <w:bookmarkEnd w:id="324"/>
      <w:bookmarkEnd w:id="325"/>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6" w:name="_Toc25650"/>
      <w:bookmarkStart w:id="327" w:name="_Toc14688"/>
      <w:r>
        <w:rPr>
          <w:rFonts w:hint="eastAsia"/>
          <w:color w:val="auto"/>
          <w:highlight w:val="none"/>
          <w:lang w:val="en-US" w:eastAsia="zh-CN"/>
        </w:rPr>
        <w:t>第三章技术文件</w:t>
      </w:r>
      <w:bookmarkEnd w:id="323"/>
      <w:bookmarkEnd w:id="326"/>
      <w:bookmarkEnd w:id="32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8" w:name="_Toc13588"/>
      <w:bookmarkStart w:id="329" w:name="_Toc7092"/>
      <w:r>
        <w:rPr>
          <w:rFonts w:hint="eastAsia"/>
          <w:color w:val="auto"/>
          <w:highlight w:val="none"/>
          <w:lang w:val="en-US" w:eastAsia="zh-CN"/>
        </w:rPr>
        <w:t>一、</w:t>
      </w:r>
      <w:r>
        <w:rPr>
          <w:rFonts w:hint="eastAsia"/>
          <w:color w:val="auto"/>
          <w:highlight w:val="none"/>
        </w:rPr>
        <w:t>技术规格偏离表</w:t>
      </w:r>
      <w:bookmarkEnd w:id="328"/>
      <w:bookmarkEnd w:id="329"/>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0" w:name="_Toc17691"/>
      <w:r>
        <w:rPr>
          <w:rFonts w:hint="eastAsia" w:ascii="宋体" w:hAnsi="宋体" w:eastAsia="宋体"/>
          <w:color w:val="auto"/>
          <w:sz w:val="21"/>
          <w:szCs w:val="21"/>
          <w:highlight w:val="none"/>
        </w:rPr>
        <w:br w:type="page"/>
      </w:r>
      <w:bookmarkEnd w:id="330"/>
      <w:bookmarkStart w:id="331" w:name="_Toc26078"/>
      <w:bookmarkStart w:id="332" w:name="_Toc4464"/>
      <w:bookmarkStart w:id="333" w:name="_Toc1274"/>
      <w:bookmarkStart w:id="334" w:name="_Toc18668"/>
      <w:bookmarkStart w:id="335" w:name="_Toc6080"/>
      <w:bookmarkStart w:id="336" w:name="_Toc4827"/>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7" w:name="_Toc28702"/>
      <w:bookmarkStart w:id="338" w:name="_Toc10734"/>
      <w:r>
        <w:rPr>
          <w:rFonts w:hint="eastAsia"/>
          <w:color w:val="auto"/>
          <w:highlight w:val="none"/>
          <w:lang w:val="en-US" w:eastAsia="zh-CN"/>
        </w:rPr>
        <w:t>二、</w:t>
      </w:r>
      <w:r>
        <w:rPr>
          <w:rFonts w:hint="eastAsia"/>
          <w:color w:val="auto"/>
          <w:highlight w:val="none"/>
        </w:rPr>
        <w:t>重要技术参数（▲）响应表</w:t>
      </w:r>
      <w:bookmarkEnd w:id="331"/>
      <w:bookmarkEnd w:id="332"/>
      <w:bookmarkEnd w:id="333"/>
      <w:bookmarkEnd w:id="334"/>
      <w:bookmarkEnd w:id="335"/>
      <w:bookmarkEnd w:id="336"/>
      <w:bookmarkEnd w:id="337"/>
      <w:bookmarkEnd w:id="338"/>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9" w:name="_Toc29642"/>
            <w:bookmarkStart w:id="340" w:name="_Toc27079"/>
            <w:bookmarkStart w:id="341" w:name="_Toc29560"/>
            <w:bookmarkStart w:id="342" w:name="_Toc2784"/>
            <w:r>
              <w:rPr>
                <w:rFonts w:hint="eastAsia" w:ascii="宋体" w:hAnsi="宋体" w:eastAsia="宋体" w:cs="宋体"/>
                <w:b w:val="0"/>
                <w:bCs w:val="0"/>
                <w:color w:val="auto"/>
                <w:sz w:val="21"/>
                <w:szCs w:val="21"/>
                <w:highlight w:val="none"/>
                <w:lang w:val="en-US" w:eastAsia="zh-CN"/>
              </w:rPr>
              <w:t>序号</w:t>
            </w:r>
            <w:bookmarkEnd w:id="339"/>
            <w:bookmarkEnd w:id="340"/>
            <w:bookmarkEnd w:id="341"/>
            <w:bookmarkEnd w:id="342"/>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3" w:name="_Toc2700"/>
            <w:bookmarkStart w:id="344" w:name="_Toc10045"/>
            <w:bookmarkStart w:id="345" w:name="_Toc16872"/>
            <w:bookmarkStart w:id="346" w:name="_Toc12049"/>
            <w:bookmarkStart w:id="347" w:name="_Toc22448"/>
            <w:bookmarkStart w:id="348" w:name="_Toc14815"/>
            <w:bookmarkStart w:id="349" w:name="_Toc6189"/>
            <w:bookmarkStart w:id="350" w:name="_Toc15368"/>
            <w:bookmarkStart w:id="351" w:name="_Toc27090"/>
            <w:bookmarkStart w:id="352" w:name="_Toc1016"/>
            <w:bookmarkStart w:id="353" w:name="_Toc26124"/>
            <w:bookmarkStart w:id="354" w:name="_Toc15903"/>
            <w:bookmarkStart w:id="355" w:name="_Toc4304"/>
            <w:bookmarkStart w:id="356" w:name="_Toc21739"/>
            <w:bookmarkStart w:id="357" w:name="_Toc7333"/>
            <w:bookmarkStart w:id="358" w:name="_Toc27442"/>
            <w:bookmarkStart w:id="359" w:name="_Toc22917"/>
            <w:bookmarkStart w:id="360" w:name="_Toc32531"/>
            <w:bookmarkStart w:id="361" w:name="_Toc21809"/>
            <w:bookmarkStart w:id="362" w:name="_Toc22879"/>
            <w:bookmarkStart w:id="363" w:name="_Toc24662"/>
            <w:bookmarkStart w:id="364" w:name="_Toc8312"/>
            <w:bookmarkStart w:id="365" w:name="_Toc8490"/>
            <w:bookmarkStart w:id="366" w:name="_Toc1925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bookmarkEnd w:id="357"/>
          <w:bookmarkEnd w:id="358"/>
          <w:bookmarkEnd w:id="359"/>
          <w:bookmarkEnd w:id="360"/>
          <w:bookmarkEnd w:id="361"/>
          <w:bookmarkEnd w:id="362"/>
          <w:bookmarkEnd w:id="363"/>
          <w:bookmarkEnd w:id="364"/>
          <w:bookmarkEnd w:id="365"/>
          <w:bookmarkEnd w:id="366"/>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7" w:name="_Toc21496"/>
            <w:bookmarkStart w:id="368" w:name="_Toc10122"/>
            <w:bookmarkStart w:id="369" w:name="_Toc2408"/>
            <w:bookmarkStart w:id="370"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7"/>
            <w:bookmarkEnd w:id="368"/>
            <w:bookmarkEnd w:id="369"/>
            <w:bookmarkEnd w:id="370"/>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16432"/>
            <w:bookmarkStart w:id="372" w:name="_Toc27285"/>
            <w:bookmarkStart w:id="373" w:name="_Toc29838"/>
            <w:bookmarkStart w:id="374" w:name="_Toc16003"/>
            <w:bookmarkStart w:id="375" w:name="_Toc3701"/>
            <w:bookmarkStart w:id="376" w:name="_Toc27185"/>
            <w:bookmarkStart w:id="377" w:name="_Toc20139"/>
            <w:bookmarkStart w:id="378" w:name="_Toc1330"/>
            <w:bookmarkStart w:id="379" w:name="_Toc5992"/>
            <w:bookmarkStart w:id="380" w:name="_Toc5563"/>
            <w:bookmarkStart w:id="381" w:name="_Toc17296"/>
            <w:bookmarkStart w:id="382" w:name="_Toc20820"/>
            <w:bookmarkStart w:id="383" w:name="_Toc1912"/>
            <w:bookmarkStart w:id="384" w:name="_Toc17642"/>
            <w:r>
              <w:rPr>
                <w:rFonts w:hint="eastAsia" w:ascii="宋体" w:hAnsi="宋体" w:eastAsia="宋体" w:cs="宋体"/>
                <w:b w:val="0"/>
                <w:bCs w:val="0"/>
                <w:color w:val="auto"/>
                <w:sz w:val="21"/>
                <w:szCs w:val="21"/>
                <w:highlight w:val="none"/>
                <w:lang w:val="en-US" w:eastAsia="zh-CN"/>
              </w:rPr>
              <w:t>说明</w:t>
            </w:r>
            <w:bookmarkEnd w:id="371"/>
            <w:bookmarkEnd w:id="372"/>
            <w:bookmarkEnd w:id="373"/>
            <w:bookmarkEnd w:id="374"/>
          </w:p>
        </w:tc>
        <w:tc>
          <w:tcPr>
            <w:tcW w:w="1591"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5" w:name="_Toc31920"/>
            <w:bookmarkStart w:id="386" w:name="_Toc3520"/>
            <w:bookmarkStart w:id="387" w:name="_Toc19105"/>
            <w:bookmarkStart w:id="388" w:name="_Toc857"/>
            <w:r>
              <w:rPr>
                <w:rFonts w:hint="eastAsia" w:ascii="宋体" w:hAnsi="宋体" w:eastAsia="宋体" w:cs="宋体"/>
                <w:b w:val="0"/>
                <w:bCs w:val="0"/>
                <w:color w:val="auto"/>
                <w:sz w:val="21"/>
                <w:szCs w:val="21"/>
                <w:highlight w:val="none"/>
              </w:rPr>
              <w:t>页码范围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9" w:name="_Toc25570"/>
      <w:bookmarkStart w:id="390" w:name="_Toc19349"/>
      <w:r>
        <w:rPr>
          <w:rFonts w:hint="eastAsia"/>
          <w:color w:val="auto"/>
          <w:highlight w:val="none"/>
          <w:lang w:val="en-US" w:eastAsia="zh-CN"/>
        </w:rPr>
        <w:t>三、</w:t>
      </w:r>
      <w:r>
        <w:rPr>
          <w:rFonts w:hint="eastAsia"/>
          <w:color w:val="auto"/>
          <w:highlight w:val="none"/>
        </w:rPr>
        <w:t>实质性条款（标记★）响应表</w:t>
      </w:r>
      <w:bookmarkEnd w:id="389"/>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1"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0"/>
      <w:bookmarkEnd w:id="391"/>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2" w:name="_Toc16328"/>
      <w:bookmarkStart w:id="393" w:name="_Toc16875"/>
      <w:r>
        <w:rPr>
          <w:rFonts w:hint="eastAsia"/>
          <w:color w:val="auto"/>
          <w:highlight w:val="none"/>
          <w:lang w:val="en-US" w:eastAsia="zh-CN"/>
        </w:rPr>
        <w:t>五、项目负责人及团队成员资料表</w:t>
      </w:r>
      <w:bookmarkEnd w:id="392"/>
      <w:bookmarkEnd w:id="39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4" w:name="_Toc15431"/>
      <w:bookmarkStart w:id="395" w:name="_Toc27978"/>
      <w:r>
        <w:rPr>
          <w:rFonts w:hint="eastAsia"/>
          <w:color w:val="auto"/>
          <w:highlight w:val="none"/>
          <w:lang w:val="en-US" w:eastAsia="zh-CN"/>
        </w:rPr>
        <w:t>六、响应货物明细一览表</w:t>
      </w:r>
      <w:bookmarkEnd w:id="394"/>
      <w:bookmarkEnd w:id="395"/>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2"/>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31841"/>
      <w:r>
        <w:rPr>
          <w:rFonts w:hint="eastAsia"/>
          <w:color w:val="auto"/>
          <w:highlight w:val="none"/>
          <w:lang w:val="en-US" w:eastAsia="zh-CN"/>
        </w:rPr>
        <w:t>七、政府采购履约担保函</w:t>
      </w:r>
      <w:bookmarkEnd w:id="396"/>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7" w:name="_Toc26782"/>
      <w:bookmarkStart w:id="398" w:name="_Toc17348"/>
      <w:r>
        <w:rPr>
          <w:rFonts w:hint="eastAsia"/>
          <w:color w:val="auto"/>
          <w:highlight w:val="none"/>
          <w:lang w:val="en-US" w:eastAsia="zh-CN"/>
        </w:rPr>
        <w:t>第四章报价信封（单独封装）</w:t>
      </w:r>
      <w:bookmarkEnd w:id="397"/>
      <w:bookmarkEnd w:id="39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9"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0" w:name="_Toc13881"/>
      <w:bookmarkStart w:id="401" w:name="_Toc22736"/>
      <w:r>
        <w:rPr>
          <w:rFonts w:hint="eastAsia"/>
          <w:color w:val="auto"/>
          <w:highlight w:val="none"/>
          <w:lang w:val="en-US" w:eastAsia="zh-CN"/>
        </w:rPr>
        <w:t>第五章联合体共同报价协议书（如有需要）</w:t>
      </w:r>
      <w:bookmarkEnd w:id="400"/>
      <w:bookmarkEnd w:id="401"/>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9"/>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5"/>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4"/>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snapToGrid w:val="0"/>
        <w:rPr>
          <w:rFonts w:hint="eastAsia" w:eastAsia="微软雅黑"/>
          <w:lang w:eastAsia="zh-CN"/>
        </w:rPr>
      </w:pPr>
      <w:r>
        <w:rPr>
          <w:rStyle w:val="31"/>
        </w:rPr>
        <w:footnoteRef/>
      </w:r>
      <w:r>
        <w:t xml:space="preserve"> </w:t>
      </w:r>
      <w:r>
        <w:rPr>
          <w:rFonts w:hint="eastAsia"/>
          <w:lang w:eastAsia="zh-CN"/>
        </w:rPr>
        <w:t>从业人员、营业人员、资产总额填报上一年度数据，无上一年度数据的新成立企业可不填报。</w:t>
      </w:r>
    </w:p>
  </w:footnote>
  <w:footnote w:id="1">
    <w:p>
      <w:pPr>
        <w:pStyle w:val="21"/>
        <w:snapToGrid w:val="0"/>
      </w:pPr>
      <w:r>
        <w:rPr>
          <w:rStyle w:val="31"/>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2d7cf8e1-e9ec-4fc3-8c17-1cf9154b33d2"/>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1F878E1"/>
    <w:rsid w:val="02126CDB"/>
    <w:rsid w:val="021832B7"/>
    <w:rsid w:val="021B6F64"/>
    <w:rsid w:val="024E2E49"/>
    <w:rsid w:val="02A741FD"/>
    <w:rsid w:val="02C16E5D"/>
    <w:rsid w:val="02D964CF"/>
    <w:rsid w:val="02DC3F04"/>
    <w:rsid w:val="0340787C"/>
    <w:rsid w:val="03707410"/>
    <w:rsid w:val="03762CA3"/>
    <w:rsid w:val="037F03E3"/>
    <w:rsid w:val="03A0770F"/>
    <w:rsid w:val="03A27BF9"/>
    <w:rsid w:val="03A448B8"/>
    <w:rsid w:val="03A4578A"/>
    <w:rsid w:val="03AD071E"/>
    <w:rsid w:val="03D10969"/>
    <w:rsid w:val="03DC3ADE"/>
    <w:rsid w:val="04492BB2"/>
    <w:rsid w:val="04D54CED"/>
    <w:rsid w:val="04DF1036"/>
    <w:rsid w:val="050F6021"/>
    <w:rsid w:val="05A97DEC"/>
    <w:rsid w:val="05C81981"/>
    <w:rsid w:val="065F2D63"/>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71168"/>
    <w:rsid w:val="095909FF"/>
    <w:rsid w:val="09855177"/>
    <w:rsid w:val="09870F93"/>
    <w:rsid w:val="09B37E77"/>
    <w:rsid w:val="09D658E4"/>
    <w:rsid w:val="09DF4667"/>
    <w:rsid w:val="09F1637C"/>
    <w:rsid w:val="0A25628F"/>
    <w:rsid w:val="0A290B50"/>
    <w:rsid w:val="0A5D1459"/>
    <w:rsid w:val="0AA534D5"/>
    <w:rsid w:val="0AA650EB"/>
    <w:rsid w:val="0AB8066A"/>
    <w:rsid w:val="0AF47339"/>
    <w:rsid w:val="0B22594B"/>
    <w:rsid w:val="0B6709D0"/>
    <w:rsid w:val="0B790EE1"/>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E4A3103"/>
    <w:rsid w:val="0F673021"/>
    <w:rsid w:val="0F6C5A53"/>
    <w:rsid w:val="0F7C5FF6"/>
    <w:rsid w:val="0FC63FBD"/>
    <w:rsid w:val="106C564D"/>
    <w:rsid w:val="107B7B8F"/>
    <w:rsid w:val="107C67CE"/>
    <w:rsid w:val="108F06C9"/>
    <w:rsid w:val="109D68CB"/>
    <w:rsid w:val="10A949B8"/>
    <w:rsid w:val="10C54639"/>
    <w:rsid w:val="10DC50D7"/>
    <w:rsid w:val="10E25484"/>
    <w:rsid w:val="11200D07"/>
    <w:rsid w:val="118B19CD"/>
    <w:rsid w:val="11DA73AF"/>
    <w:rsid w:val="12C60D80"/>
    <w:rsid w:val="12E71C6B"/>
    <w:rsid w:val="131F7A3A"/>
    <w:rsid w:val="132645D0"/>
    <w:rsid w:val="13455ABC"/>
    <w:rsid w:val="1370322B"/>
    <w:rsid w:val="13B27845"/>
    <w:rsid w:val="13BE469F"/>
    <w:rsid w:val="13F87121"/>
    <w:rsid w:val="141A03E1"/>
    <w:rsid w:val="143B2E0B"/>
    <w:rsid w:val="14672B11"/>
    <w:rsid w:val="14825CCB"/>
    <w:rsid w:val="14892735"/>
    <w:rsid w:val="149B7D8F"/>
    <w:rsid w:val="14CC769D"/>
    <w:rsid w:val="14CF59E6"/>
    <w:rsid w:val="15735E00"/>
    <w:rsid w:val="157D38E3"/>
    <w:rsid w:val="15D359D7"/>
    <w:rsid w:val="15D81E0F"/>
    <w:rsid w:val="161771F3"/>
    <w:rsid w:val="16222D6D"/>
    <w:rsid w:val="163C77BE"/>
    <w:rsid w:val="16453F42"/>
    <w:rsid w:val="16632F86"/>
    <w:rsid w:val="1679588C"/>
    <w:rsid w:val="16963FBF"/>
    <w:rsid w:val="16994962"/>
    <w:rsid w:val="169E6A82"/>
    <w:rsid w:val="16A71041"/>
    <w:rsid w:val="16AA24BF"/>
    <w:rsid w:val="16F72341"/>
    <w:rsid w:val="17680CAB"/>
    <w:rsid w:val="176E4128"/>
    <w:rsid w:val="1783371F"/>
    <w:rsid w:val="17CA65CA"/>
    <w:rsid w:val="17E62B67"/>
    <w:rsid w:val="180C0192"/>
    <w:rsid w:val="180F4499"/>
    <w:rsid w:val="18213E65"/>
    <w:rsid w:val="18221ECE"/>
    <w:rsid w:val="19097D6F"/>
    <w:rsid w:val="190B7894"/>
    <w:rsid w:val="19135859"/>
    <w:rsid w:val="196F5988"/>
    <w:rsid w:val="19A2789F"/>
    <w:rsid w:val="1A3109F9"/>
    <w:rsid w:val="1A460CF5"/>
    <w:rsid w:val="1A7F297D"/>
    <w:rsid w:val="1A8C0435"/>
    <w:rsid w:val="1AB16AC1"/>
    <w:rsid w:val="1B034A52"/>
    <w:rsid w:val="1B1F34AD"/>
    <w:rsid w:val="1B8D5DC6"/>
    <w:rsid w:val="1B961E96"/>
    <w:rsid w:val="1BA7712F"/>
    <w:rsid w:val="1BFE1D3B"/>
    <w:rsid w:val="1C2775EC"/>
    <w:rsid w:val="1C750ECE"/>
    <w:rsid w:val="1CA22168"/>
    <w:rsid w:val="1D0836D7"/>
    <w:rsid w:val="1D196139"/>
    <w:rsid w:val="1D3A2A58"/>
    <w:rsid w:val="1D484219"/>
    <w:rsid w:val="1DB85900"/>
    <w:rsid w:val="1DB91DDF"/>
    <w:rsid w:val="1DF051AF"/>
    <w:rsid w:val="1E010AF7"/>
    <w:rsid w:val="1E0178EB"/>
    <w:rsid w:val="1E301173"/>
    <w:rsid w:val="1E38333E"/>
    <w:rsid w:val="1E484E85"/>
    <w:rsid w:val="1E5C7612"/>
    <w:rsid w:val="1EA40BB4"/>
    <w:rsid w:val="1F43381C"/>
    <w:rsid w:val="1F84495C"/>
    <w:rsid w:val="1FA4148D"/>
    <w:rsid w:val="1FA86F5D"/>
    <w:rsid w:val="200E7BD0"/>
    <w:rsid w:val="20121621"/>
    <w:rsid w:val="201A421D"/>
    <w:rsid w:val="20341172"/>
    <w:rsid w:val="204E554F"/>
    <w:rsid w:val="20590035"/>
    <w:rsid w:val="20C35213"/>
    <w:rsid w:val="20FC799E"/>
    <w:rsid w:val="214C1D28"/>
    <w:rsid w:val="22154DDD"/>
    <w:rsid w:val="22213E42"/>
    <w:rsid w:val="22336873"/>
    <w:rsid w:val="22CB610F"/>
    <w:rsid w:val="230C23C4"/>
    <w:rsid w:val="23175889"/>
    <w:rsid w:val="2373706C"/>
    <w:rsid w:val="238C2182"/>
    <w:rsid w:val="239015D1"/>
    <w:rsid w:val="23BB4E7D"/>
    <w:rsid w:val="23C172D6"/>
    <w:rsid w:val="23F04F64"/>
    <w:rsid w:val="24814CBE"/>
    <w:rsid w:val="24AC168B"/>
    <w:rsid w:val="258A7BF3"/>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25AF0"/>
    <w:rsid w:val="297A5FC4"/>
    <w:rsid w:val="2A1113BC"/>
    <w:rsid w:val="2A1E2AFB"/>
    <w:rsid w:val="2A586210"/>
    <w:rsid w:val="2A8020CA"/>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DFF51B7"/>
    <w:rsid w:val="2E166748"/>
    <w:rsid w:val="2E556F01"/>
    <w:rsid w:val="2E8E20B4"/>
    <w:rsid w:val="2EB45862"/>
    <w:rsid w:val="2EC92CDF"/>
    <w:rsid w:val="2ED06066"/>
    <w:rsid w:val="2ED1223D"/>
    <w:rsid w:val="2EE470F7"/>
    <w:rsid w:val="2F000139"/>
    <w:rsid w:val="2F3C426E"/>
    <w:rsid w:val="2F561B8A"/>
    <w:rsid w:val="2F9F42DC"/>
    <w:rsid w:val="2FE04319"/>
    <w:rsid w:val="2FF37AB3"/>
    <w:rsid w:val="302B59D4"/>
    <w:rsid w:val="30AD49F0"/>
    <w:rsid w:val="30FF27D2"/>
    <w:rsid w:val="311573CF"/>
    <w:rsid w:val="31170995"/>
    <w:rsid w:val="31264A30"/>
    <w:rsid w:val="31370CAF"/>
    <w:rsid w:val="31884E67"/>
    <w:rsid w:val="31A0275E"/>
    <w:rsid w:val="31B7357A"/>
    <w:rsid w:val="31E14405"/>
    <w:rsid w:val="31ED6B08"/>
    <w:rsid w:val="31F915C9"/>
    <w:rsid w:val="322650EA"/>
    <w:rsid w:val="32610CE6"/>
    <w:rsid w:val="328464CE"/>
    <w:rsid w:val="32AB70C5"/>
    <w:rsid w:val="32DC33E0"/>
    <w:rsid w:val="3315590E"/>
    <w:rsid w:val="335D0AF5"/>
    <w:rsid w:val="33614D0F"/>
    <w:rsid w:val="3370088C"/>
    <w:rsid w:val="339F0847"/>
    <w:rsid w:val="33A3154A"/>
    <w:rsid w:val="33DC2F78"/>
    <w:rsid w:val="3428227C"/>
    <w:rsid w:val="343B1793"/>
    <w:rsid w:val="34672D35"/>
    <w:rsid w:val="35260F83"/>
    <w:rsid w:val="35602226"/>
    <w:rsid w:val="356B72E7"/>
    <w:rsid w:val="3572424F"/>
    <w:rsid w:val="358E1E4D"/>
    <w:rsid w:val="35FC3844"/>
    <w:rsid w:val="36213401"/>
    <w:rsid w:val="36794DEF"/>
    <w:rsid w:val="36AD519D"/>
    <w:rsid w:val="36B57705"/>
    <w:rsid w:val="37406AD8"/>
    <w:rsid w:val="374F1A0B"/>
    <w:rsid w:val="37A103ED"/>
    <w:rsid w:val="37EA5E6E"/>
    <w:rsid w:val="37FF016F"/>
    <w:rsid w:val="38427C0B"/>
    <w:rsid w:val="387C5ABE"/>
    <w:rsid w:val="389B3A1E"/>
    <w:rsid w:val="38DD16CB"/>
    <w:rsid w:val="38EB6119"/>
    <w:rsid w:val="39577CB8"/>
    <w:rsid w:val="399E320F"/>
    <w:rsid w:val="399E6494"/>
    <w:rsid w:val="39DE33DA"/>
    <w:rsid w:val="39E66E3B"/>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5D406A"/>
    <w:rsid w:val="3C756882"/>
    <w:rsid w:val="3C9121FF"/>
    <w:rsid w:val="3CD54333"/>
    <w:rsid w:val="3CE114D9"/>
    <w:rsid w:val="3CF737A2"/>
    <w:rsid w:val="3CF7509A"/>
    <w:rsid w:val="3D05548E"/>
    <w:rsid w:val="3D10295A"/>
    <w:rsid w:val="3E0572FD"/>
    <w:rsid w:val="3E1A5292"/>
    <w:rsid w:val="3E501C99"/>
    <w:rsid w:val="3E5A7FE7"/>
    <w:rsid w:val="3EC8179E"/>
    <w:rsid w:val="3EEA70F2"/>
    <w:rsid w:val="3EF66B2E"/>
    <w:rsid w:val="3F217914"/>
    <w:rsid w:val="3F2944D1"/>
    <w:rsid w:val="3F3042DA"/>
    <w:rsid w:val="3FD70BB0"/>
    <w:rsid w:val="3FFB55AC"/>
    <w:rsid w:val="3FFF7438"/>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5496F"/>
    <w:rsid w:val="42DA7D24"/>
    <w:rsid w:val="42FD694D"/>
    <w:rsid w:val="434A6D8F"/>
    <w:rsid w:val="4397723B"/>
    <w:rsid w:val="43D522BF"/>
    <w:rsid w:val="43FA5777"/>
    <w:rsid w:val="44044D92"/>
    <w:rsid w:val="441C1611"/>
    <w:rsid w:val="44212CEC"/>
    <w:rsid w:val="443C440B"/>
    <w:rsid w:val="443F7DBF"/>
    <w:rsid w:val="44514F52"/>
    <w:rsid w:val="446D66E7"/>
    <w:rsid w:val="44856816"/>
    <w:rsid w:val="448965CB"/>
    <w:rsid w:val="44C5497E"/>
    <w:rsid w:val="44FA2D53"/>
    <w:rsid w:val="4571374F"/>
    <w:rsid w:val="458B1BB0"/>
    <w:rsid w:val="45A67760"/>
    <w:rsid w:val="4611075B"/>
    <w:rsid w:val="46214818"/>
    <w:rsid w:val="467A0297"/>
    <w:rsid w:val="468B7125"/>
    <w:rsid w:val="469E62AF"/>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CC67B9"/>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3D96"/>
    <w:rsid w:val="4DF6568D"/>
    <w:rsid w:val="4E2E1A80"/>
    <w:rsid w:val="4E550010"/>
    <w:rsid w:val="4E5F14CB"/>
    <w:rsid w:val="4E9E4ECD"/>
    <w:rsid w:val="4ED109FE"/>
    <w:rsid w:val="4ED95E04"/>
    <w:rsid w:val="4EED7FC5"/>
    <w:rsid w:val="4F3705F8"/>
    <w:rsid w:val="4F8B6332"/>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351E6"/>
    <w:rsid w:val="51E44D3C"/>
    <w:rsid w:val="524A036B"/>
    <w:rsid w:val="52506DA7"/>
    <w:rsid w:val="529D471C"/>
    <w:rsid w:val="533B2B84"/>
    <w:rsid w:val="535F3BF1"/>
    <w:rsid w:val="537A7243"/>
    <w:rsid w:val="539C1B81"/>
    <w:rsid w:val="53AA6184"/>
    <w:rsid w:val="53AE750F"/>
    <w:rsid w:val="53E1445D"/>
    <w:rsid w:val="53EB0895"/>
    <w:rsid w:val="53F263AD"/>
    <w:rsid w:val="54693932"/>
    <w:rsid w:val="549A6BFA"/>
    <w:rsid w:val="54A6423F"/>
    <w:rsid w:val="54E72921"/>
    <w:rsid w:val="55806F07"/>
    <w:rsid w:val="559122AD"/>
    <w:rsid w:val="55A44ACC"/>
    <w:rsid w:val="55D9752F"/>
    <w:rsid w:val="55FA2961"/>
    <w:rsid w:val="565E7F4F"/>
    <w:rsid w:val="56775789"/>
    <w:rsid w:val="56857D06"/>
    <w:rsid w:val="568A7B13"/>
    <w:rsid w:val="56914056"/>
    <w:rsid w:val="569F0E63"/>
    <w:rsid w:val="56A05DC4"/>
    <w:rsid w:val="56DB613D"/>
    <w:rsid w:val="573810DA"/>
    <w:rsid w:val="57D42AC6"/>
    <w:rsid w:val="57FC2169"/>
    <w:rsid w:val="58096275"/>
    <w:rsid w:val="580E4560"/>
    <w:rsid w:val="581C04F1"/>
    <w:rsid w:val="582E6EF7"/>
    <w:rsid w:val="58434392"/>
    <w:rsid w:val="584E30E6"/>
    <w:rsid w:val="587627C6"/>
    <w:rsid w:val="59014D02"/>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BF3442A"/>
    <w:rsid w:val="5C1D18D2"/>
    <w:rsid w:val="5C286807"/>
    <w:rsid w:val="5C446BC8"/>
    <w:rsid w:val="5C4C687B"/>
    <w:rsid w:val="5C7C2768"/>
    <w:rsid w:val="5CB23AE6"/>
    <w:rsid w:val="5CF55792"/>
    <w:rsid w:val="5CFD533A"/>
    <w:rsid w:val="5D2F72C2"/>
    <w:rsid w:val="5D361C08"/>
    <w:rsid w:val="5D893B14"/>
    <w:rsid w:val="5DA43C29"/>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DE03C9"/>
    <w:rsid w:val="62F16BCB"/>
    <w:rsid w:val="62F648FE"/>
    <w:rsid w:val="63322716"/>
    <w:rsid w:val="63341DB1"/>
    <w:rsid w:val="63447612"/>
    <w:rsid w:val="637D3ABD"/>
    <w:rsid w:val="63883BB1"/>
    <w:rsid w:val="63907004"/>
    <w:rsid w:val="639A73C1"/>
    <w:rsid w:val="63A10995"/>
    <w:rsid w:val="63A573AB"/>
    <w:rsid w:val="63B73E59"/>
    <w:rsid w:val="63BD724A"/>
    <w:rsid w:val="63C23EFA"/>
    <w:rsid w:val="63E52E10"/>
    <w:rsid w:val="64210135"/>
    <w:rsid w:val="643A070A"/>
    <w:rsid w:val="644C573D"/>
    <w:rsid w:val="64660CBB"/>
    <w:rsid w:val="64682A9C"/>
    <w:rsid w:val="648667A7"/>
    <w:rsid w:val="64A84A25"/>
    <w:rsid w:val="64DB383A"/>
    <w:rsid w:val="64E920BE"/>
    <w:rsid w:val="65032F85"/>
    <w:rsid w:val="65136B50"/>
    <w:rsid w:val="657E2A35"/>
    <w:rsid w:val="6588751C"/>
    <w:rsid w:val="65A94E9D"/>
    <w:rsid w:val="65C60A92"/>
    <w:rsid w:val="65C7105B"/>
    <w:rsid w:val="65F3550D"/>
    <w:rsid w:val="662203DD"/>
    <w:rsid w:val="66576253"/>
    <w:rsid w:val="666B723B"/>
    <w:rsid w:val="6678045A"/>
    <w:rsid w:val="66DD6702"/>
    <w:rsid w:val="67081935"/>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B516A8"/>
    <w:rsid w:val="6AC61F6F"/>
    <w:rsid w:val="6ADE74F0"/>
    <w:rsid w:val="6B1002C0"/>
    <w:rsid w:val="6B1F5CFA"/>
    <w:rsid w:val="6B577FA5"/>
    <w:rsid w:val="6B723594"/>
    <w:rsid w:val="6B805156"/>
    <w:rsid w:val="6B9A1267"/>
    <w:rsid w:val="6BD50977"/>
    <w:rsid w:val="6BEA0C87"/>
    <w:rsid w:val="6BEA2A9B"/>
    <w:rsid w:val="6BEE7CFA"/>
    <w:rsid w:val="6C9C0875"/>
    <w:rsid w:val="6C9D1F03"/>
    <w:rsid w:val="6CAA3931"/>
    <w:rsid w:val="6D3933CA"/>
    <w:rsid w:val="6D7B61EC"/>
    <w:rsid w:val="6DD049FF"/>
    <w:rsid w:val="6E09491E"/>
    <w:rsid w:val="6E0D3655"/>
    <w:rsid w:val="6E5F4465"/>
    <w:rsid w:val="6E8C54DA"/>
    <w:rsid w:val="6EBC0603"/>
    <w:rsid w:val="6EE441E0"/>
    <w:rsid w:val="6EF11E03"/>
    <w:rsid w:val="6F0E5DEF"/>
    <w:rsid w:val="6F111C62"/>
    <w:rsid w:val="6F2176E5"/>
    <w:rsid w:val="6F3053CA"/>
    <w:rsid w:val="6F36242A"/>
    <w:rsid w:val="6F3D0943"/>
    <w:rsid w:val="6F592303"/>
    <w:rsid w:val="6F5F5B74"/>
    <w:rsid w:val="6F8F583F"/>
    <w:rsid w:val="6F9645C6"/>
    <w:rsid w:val="6F9B1C65"/>
    <w:rsid w:val="6FD47A25"/>
    <w:rsid w:val="6FF44026"/>
    <w:rsid w:val="6FFB146E"/>
    <w:rsid w:val="701A5C74"/>
    <w:rsid w:val="706516C3"/>
    <w:rsid w:val="70864A71"/>
    <w:rsid w:val="70896E68"/>
    <w:rsid w:val="70B900C0"/>
    <w:rsid w:val="70F05AC7"/>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351555"/>
    <w:rsid w:val="7486409E"/>
    <w:rsid w:val="749E2255"/>
    <w:rsid w:val="74B42AE4"/>
    <w:rsid w:val="750A429D"/>
    <w:rsid w:val="75167F59"/>
    <w:rsid w:val="75222DCD"/>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74513C"/>
    <w:rsid w:val="778546CC"/>
    <w:rsid w:val="77962F9A"/>
    <w:rsid w:val="77B56730"/>
    <w:rsid w:val="77C04A8B"/>
    <w:rsid w:val="77D85DB3"/>
    <w:rsid w:val="780252A0"/>
    <w:rsid w:val="78027772"/>
    <w:rsid w:val="781E6A7D"/>
    <w:rsid w:val="78A50513"/>
    <w:rsid w:val="78DA2FC2"/>
    <w:rsid w:val="78EE1700"/>
    <w:rsid w:val="793B7339"/>
    <w:rsid w:val="794C5FB4"/>
    <w:rsid w:val="796518DD"/>
    <w:rsid w:val="796C2EB5"/>
    <w:rsid w:val="796E0C55"/>
    <w:rsid w:val="797C5614"/>
    <w:rsid w:val="79AA0532"/>
    <w:rsid w:val="79F70999"/>
    <w:rsid w:val="79FE1DDD"/>
    <w:rsid w:val="7A075767"/>
    <w:rsid w:val="7A212062"/>
    <w:rsid w:val="7A282A11"/>
    <w:rsid w:val="7A9E3ACF"/>
    <w:rsid w:val="7AB90FF6"/>
    <w:rsid w:val="7AC21562"/>
    <w:rsid w:val="7ACF6433"/>
    <w:rsid w:val="7AD474A4"/>
    <w:rsid w:val="7B115232"/>
    <w:rsid w:val="7B401C35"/>
    <w:rsid w:val="7B416BDC"/>
    <w:rsid w:val="7B5350AD"/>
    <w:rsid w:val="7B6867EB"/>
    <w:rsid w:val="7B697C89"/>
    <w:rsid w:val="7B73544B"/>
    <w:rsid w:val="7B7635D5"/>
    <w:rsid w:val="7B8D34C3"/>
    <w:rsid w:val="7B971D84"/>
    <w:rsid w:val="7BF32F03"/>
    <w:rsid w:val="7C1724A5"/>
    <w:rsid w:val="7C8E3CCF"/>
    <w:rsid w:val="7CA54112"/>
    <w:rsid w:val="7CE50CE4"/>
    <w:rsid w:val="7D2E5ABF"/>
    <w:rsid w:val="7DCA1E7A"/>
    <w:rsid w:val="7E2142A2"/>
    <w:rsid w:val="7E4F5384"/>
    <w:rsid w:val="7E5A6DFA"/>
    <w:rsid w:val="7E613B0F"/>
    <w:rsid w:val="7E633E69"/>
    <w:rsid w:val="7E7B0BF2"/>
    <w:rsid w:val="7E7C7A78"/>
    <w:rsid w:val="7E8D75B6"/>
    <w:rsid w:val="7EA34F14"/>
    <w:rsid w:val="7EB2417D"/>
    <w:rsid w:val="7EF760EE"/>
    <w:rsid w:val="7F2A21E7"/>
    <w:rsid w:val="7F613A8A"/>
    <w:rsid w:val="7FDD31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8">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9">
    <w:name w:val="Normal Indent"/>
    <w:basedOn w:val="1"/>
    <w:qFormat/>
    <w:uiPriority w:val="0"/>
    <w:pPr>
      <w:spacing w:line="360" w:lineRule="auto"/>
      <w:ind w:firstLine="420"/>
    </w:pPr>
    <w:rPr>
      <w:rFonts w:ascii="Times" w:hAnsi="Times" w:eastAsia="宋体" w:cs="Times New Roman"/>
      <w:sz w:val="24"/>
      <w:szCs w:val="20"/>
    </w:rPr>
  </w:style>
  <w:style w:type="paragraph" w:styleId="10">
    <w:name w:val="annotation text"/>
    <w:basedOn w:val="1"/>
    <w:semiHidden/>
    <w:unhideWhenUsed/>
    <w:qFormat/>
    <w:uiPriority w:val="99"/>
  </w:style>
  <w:style w:type="paragraph" w:styleId="11">
    <w:name w:val="toc 3"/>
    <w:basedOn w:val="1"/>
    <w:next w:val="1"/>
    <w:unhideWhenUsed/>
    <w:qFormat/>
    <w:uiPriority w:val="39"/>
    <w:pPr>
      <w:tabs>
        <w:tab w:val="right" w:leader="dot" w:pos="8296"/>
      </w:tabs>
      <w:ind w:left="838" w:leftChars="381"/>
    </w:pPr>
    <w:rPr>
      <w:sz w:val="21"/>
      <w:szCs w:val="21"/>
    </w:rPr>
  </w:style>
  <w:style w:type="paragraph" w:styleId="12">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0"/>
    <w:semiHidden/>
    <w:unhideWhenUsed/>
    <w:qFormat/>
    <w:uiPriority w:val="99"/>
    <w:pPr>
      <w:spacing w:after="0"/>
    </w:pPr>
    <w:rPr>
      <w:sz w:val="18"/>
      <w:szCs w:val="18"/>
    </w:rPr>
  </w:style>
  <w:style w:type="paragraph" w:styleId="15">
    <w:name w:val="footer"/>
    <w:basedOn w:val="1"/>
    <w:link w:val="49"/>
    <w:unhideWhenUsed/>
    <w:qFormat/>
    <w:uiPriority w:val="99"/>
    <w:pPr>
      <w:tabs>
        <w:tab w:val="center" w:pos="4153"/>
        <w:tab w:val="right" w:pos="8306"/>
      </w:tabs>
    </w:pPr>
    <w:rPr>
      <w:sz w:val="18"/>
      <w:szCs w:val="18"/>
    </w:rPr>
  </w:style>
  <w:style w:type="paragraph" w:styleId="16">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pPr>
      <w:snapToGrid w:val="0"/>
      <w:jc w:val="left"/>
    </w:pPr>
    <w:rPr>
      <w:sz w:val="18"/>
    </w:rPr>
  </w:style>
  <w:style w:type="paragraph" w:styleId="22">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paragraph" w:styleId="24">
    <w:name w:val="Body Text First Indent"/>
    <w:basedOn w:val="2"/>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7"/>
    <w:link w:val="5"/>
    <w:qFormat/>
    <w:uiPriority w:val="9"/>
    <w:rPr>
      <w:rFonts w:asciiTheme="majorHAnsi" w:hAnsiTheme="majorHAnsi" w:eastAsiaTheme="majorEastAsia" w:cstheme="majorBidi"/>
      <w:b/>
      <w:bCs/>
      <w:sz w:val="32"/>
      <w:szCs w:val="32"/>
    </w:rPr>
  </w:style>
  <w:style w:type="character" w:customStyle="1" w:styleId="34">
    <w:name w:val="标题 3 Char"/>
    <w:basedOn w:val="27"/>
    <w:link w:val="6"/>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7"/>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6"/>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2"/>
    <w:semiHidden/>
    <w:qFormat/>
    <w:uiPriority w:val="99"/>
    <w:rPr>
      <w:rFonts w:ascii="宋体" w:hAnsi="Courier New" w:eastAsia="宋体" w:cs="Courier New"/>
      <w:sz w:val="21"/>
      <w:szCs w:val="21"/>
    </w:rPr>
  </w:style>
  <w:style w:type="character" w:customStyle="1" w:styleId="48">
    <w:name w:val="页眉 Char"/>
    <w:basedOn w:val="27"/>
    <w:link w:val="16"/>
    <w:qFormat/>
    <w:uiPriority w:val="99"/>
    <w:rPr>
      <w:rFonts w:ascii="Tahoma" w:hAnsi="Tahoma"/>
      <w:sz w:val="18"/>
      <w:szCs w:val="18"/>
    </w:rPr>
  </w:style>
  <w:style w:type="character" w:customStyle="1" w:styleId="49">
    <w:name w:val="页脚 Char"/>
    <w:basedOn w:val="27"/>
    <w:link w:val="15"/>
    <w:qFormat/>
    <w:uiPriority w:val="99"/>
    <w:rPr>
      <w:rFonts w:ascii="Tahoma" w:hAnsi="Tahoma"/>
      <w:sz w:val="18"/>
      <w:szCs w:val="18"/>
    </w:rPr>
  </w:style>
  <w:style w:type="character" w:customStyle="1" w:styleId="50">
    <w:name w:val="批注框文本 Char"/>
    <w:basedOn w:val="27"/>
    <w:link w:val="14"/>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Table Text"/>
    <w:basedOn w:val="1"/>
    <w:semiHidden/>
    <w:qFormat/>
    <w:uiPriority w:val="0"/>
    <w:rPr>
      <w:rFonts w:ascii="Arial" w:hAnsi="Arial" w:eastAsia="Arial" w:cs="Arial"/>
      <w:sz w:val="21"/>
      <w:szCs w:val="21"/>
      <w:lang w:val="en-US" w:eastAsia="en-US" w:bidi="ar-SA"/>
    </w:rPr>
  </w:style>
  <w:style w:type="paragraph" w:customStyle="1" w:styleId="58">
    <w:name w:val="正文文本 (2)"/>
    <w:unhideWhenUsed/>
    <w:qFormat/>
    <w:uiPriority w:val="99"/>
    <w:pPr>
      <w:widowControl w:val="0"/>
      <w:shd w:val="clear" w:color="auto" w:fill="FFFFFF"/>
      <w:spacing w:before="840" w:after="240" w:line="240" w:lineRule="atLeast"/>
      <w:jc w:val="distribute"/>
    </w:pPr>
    <w:rPr>
      <w:rFonts w:ascii="MingLiU" w:hAnsi="MingLiU" w:eastAsia="MingLiU" w:cs="Times New Roman"/>
      <w:spacing w:val="20"/>
      <w:kern w:val="2"/>
      <w:sz w:val="22"/>
      <w:szCs w:val="24"/>
      <w:lang w:val="en-US" w:eastAsia="zh-CN" w:bidi="ar-SA"/>
    </w:rPr>
  </w:style>
  <w:style w:type="character" w:customStyle="1" w:styleId="59">
    <w:name w:val="正文文本 (2) + 4 pt"/>
    <w:unhideWhenUsed/>
    <w:qFormat/>
    <w:uiPriority w:val="99"/>
    <w:rPr>
      <w:rFonts w:hint="eastAsia" w:ascii="MingLiU" w:hAnsi="MingLiU" w:eastAsia="MingLiU"/>
      <w:w w:val="66"/>
      <w:sz w:val="8"/>
    </w:rPr>
  </w:style>
  <w:style w:type="character" w:customStyle="1" w:styleId="60">
    <w:name w:val="正文文本 (2) + Georgia6"/>
    <w:unhideWhenUsed/>
    <w:qFormat/>
    <w:uiPriority w:val="99"/>
    <w:rPr>
      <w:rFonts w:hint="eastAsia" w:ascii="Georgia" w:hAnsi="Georgia" w:eastAsia="Times New Roman"/>
      <w:spacing w:val="1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35064</Words>
  <Characters>36062</Characters>
  <Lines>264</Lines>
  <Paragraphs>74</Paragraphs>
  <TotalTime>3</TotalTime>
  <ScaleCrop>false</ScaleCrop>
  <LinksUpToDate>false</LinksUpToDate>
  <CharactersWithSpaces>38370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2023-12-29T09:55:15Z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7F10A7A0C1664E7688BB2CD6E0D66060_13</vt:lpwstr>
  </property>
</Properties>
</file>