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8"/>
        <w:ind w:firstLine="240"/>
        <w:rPr>
          <w:rFonts w:ascii="黑体" w:eastAsia="黑体"/>
          <w:color w:val="auto"/>
          <w:szCs w:val="21"/>
          <w:highlight w:val="none"/>
        </w:rPr>
      </w:pPr>
    </w:p>
    <w:p>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GDZT2023162C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东莞市横沥镇实验幼儿园饭堂食材配送服务采购项目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1420"/>
      <w:bookmarkStart w:id="3" w:name="_Toc7123"/>
      <w:bookmarkStart w:id="4" w:name="_Toc885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东莞市横沥镇实验幼儿园</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东莞市横沥镇实验幼儿园饭堂食材配送服务采购项目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GDZT2023162C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东莞市横沥镇实验幼儿园饭堂食材配送服务采购项目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7"/>
        <w:gridCol w:w="795"/>
        <w:gridCol w:w="1048"/>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43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8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632" w:type="pct"/>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09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437"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东莞市横沥镇实验幼儿园饭堂食材配送服务采购项目</w:t>
            </w:r>
          </w:p>
        </w:tc>
        <w:tc>
          <w:tcPr>
            <w:tcW w:w="480"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63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一年</w:t>
            </w:r>
          </w:p>
        </w:tc>
        <w:tc>
          <w:tcPr>
            <w:tcW w:w="1096"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1,570,000.00元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是</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钟老师</w:t>
      </w:r>
      <w:bookmarkStart w:id="385" w:name="_GoBack"/>
      <w:bookmarkEnd w:id="385"/>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0769-82205886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97"/>
        <w:gridCol w:w="680"/>
        <w:gridCol w:w="5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bookmarkStart w:id="17" w:name="_Toc29685"/>
            <w:bookmarkStart w:id="18" w:name="_Toc30638"/>
            <w:bookmarkStart w:id="19" w:name="_Toc2479"/>
            <w:bookmarkStart w:id="20" w:name="_Toc14146"/>
            <w:r>
              <w:rPr>
                <w:rFonts w:hint="eastAsia" w:ascii="宋体" w:hAnsi="宋体" w:eastAsia="宋体" w:cs="宋体"/>
                <w:color w:val="auto"/>
                <w:sz w:val="21"/>
                <w:szCs w:val="21"/>
              </w:rPr>
              <w:t>序号</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商务评审</w:t>
            </w:r>
            <w:r>
              <w:rPr>
                <w:rFonts w:hint="eastAsia" w:ascii="宋体" w:hAnsi="宋体" w:eastAsia="宋体" w:cs="宋体"/>
                <w:color w:val="auto"/>
                <w:sz w:val="21"/>
                <w:szCs w:val="21"/>
                <w:lang w:eastAsia="zh-CN"/>
              </w:rPr>
              <w:t>（</w:t>
            </w:r>
            <w:r>
              <w:rPr>
                <w:rFonts w:hint="eastAsia" w:ascii="宋体" w:eastAsia="宋体" w:cs="宋体"/>
                <w:color w:val="auto"/>
                <w:sz w:val="21"/>
                <w:szCs w:val="21"/>
                <w:lang w:val="en-US" w:eastAsia="zh-CN"/>
              </w:rPr>
              <w:t>26</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9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体系认证</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eastAsia="宋体" w:cs="宋体"/>
                <w:bCs/>
                <w:color w:val="auto"/>
                <w:sz w:val="21"/>
                <w:szCs w:val="21"/>
                <w:lang w:val="en-US" w:eastAsia="zh-CN"/>
              </w:rPr>
              <w:t>投标人</w:t>
            </w:r>
            <w:r>
              <w:rPr>
                <w:rFonts w:hint="eastAsia" w:ascii="宋体" w:hAnsi="宋体" w:eastAsia="宋体" w:cs="宋体"/>
                <w:bCs/>
                <w:color w:val="auto"/>
                <w:sz w:val="21"/>
                <w:szCs w:val="21"/>
                <w:lang w:val="zh-CN"/>
              </w:rPr>
              <w:t>具有由国家认监委批准设立的认证机构颁发并在有效期内的：</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zh-CN"/>
              </w:rPr>
              <w:t>①质量管理体系认证，得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②食品安全管理体系认证，得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③环境管理体系认证，得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④职业健康安全管理体系认证，得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⑤供应商综合实力评价体系认证证书，得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⑥农副产品绿色供应商评价体系认证证书，得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⑦食品配送操作规程认证证书，得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⑧初级生鲜食品配送管理体系认证证书，得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r>
              <w:rPr>
                <w:rFonts w:hint="eastAsia" w:ascii="宋体" w:eastAsia="宋体" w:cs="宋体"/>
                <w:bCs/>
                <w:color w:val="auto"/>
                <w:sz w:val="21"/>
                <w:szCs w:val="21"/>
                <w:lang w:val="en-US" w:eastAsia="zh-CN"/>
              </w:rPr>
              <w:t>。</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注：</w:t>
            </w:r>
            <w:r>
              <w:rPr>
                <w:rFonts w:hint="eastAsia" w:ascii="宋体" w:hAnsi="宋体" w:eastAsia="宋体" w:cs="宋体"/>
                <w:bCs/>
                <w:color w:val="auto"/>
                <w:sz w:val="21"/>
                <w:szCs w:val="21"/>
                <w:lang w:val="en-US" w:eastAsia="zh-CN"/>
              </w:rPr>
              <w:t>须提供证书复印件并加盖公章，否则不得分</w:t>
            </w:r>
            <w:r>
              <w:rPr>
                <w:rFonts w:hint="eastAsia" w:ascii="宋体" w:hAnsi="宋体" w:eastAsia="宋体" w:cs="宋体"/>
                <w:bCs/>
                <w:color w:val="auto"/>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2</w:t>
            </w:r>
          </w:p>
        </w:tc>
        <w:tc>
          <w:tcPr>
            <w:tcW w:w="129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业绩经验</w:t>
            </w:r>
          </w:p>
        </w:tc>
        <w:tc>
          <w:tcPr>
            <w:tcW w:w="680"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12</w:t>
            </w:r>
          </w:p>
        </w:tc>
        <w:tc>
          <w:tcPr>
            <w:tcW w:w="5923"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kern w:val="2"/>
                <w:sz w:val="21"/>
                <w:szCs w:val="21"/>
                <w:highlight w:val="none"/>
                <w:lang w:val="en-US" w:eastAsia="zh-CN"/>
              </w:rPr>
              <w:t>投标人具有食堂（饭堂）食材配送项目业绩，每提供一个业绩得</w:t>
            </w:r>
            <w:r>
              <w:rPr>
                <w:rFonts w:hint="eastAsia" w:asci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en-US" w:eastAsia="zh-CN"/>
              </w:rPr>
              <w:t>分，本项最高得</w:t>
            </w:r>
            <w:r>
              <w:rPr>
                <w:rFonts w:hint="eastAsia" w:ascii="宋体" w:eastAsia="宋体" w:cs="宋体"/>
                <w:bCs/>
                <w:color w:val="auto"/>
                <w:kern w:val="2"/>
                <w:sz w:val="21"/>
                <w:szCs w:val="21"/>
                <w:highlight w:val="none"/>
                <w:lang w:val="en-US" w:eastAsia="zh-CN"/>
              </w:rPr>
              <w:t>12</w:t>
            </w:r>
            <w:r>
              <w:rPr>
                <w:rFonts w:hint="eastAsia" w:ascii="宋体" w:hAnsi="宋体" w:eastAsia="宋体" w:cs="宋体"/>
                <w:bCs/>
                <w:color w:val="auto"/>
                <w:kern w:val="2"/>
                <w:sz w:val="21"/>
                <w:szCs w:val="21"/>
                <w:highlight w:val="none"/>
                <w:lang w:val="en-US" w:eastAsia="zh-CN"/>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注：</w:t>
            </w:r>
            <w:r>
              <w:rPr>
                <w:rFonts w:hint="eastAsia" w:ascii="宋体" w:hAnsi="宋体" w:eastAsia="宋体" w:cs="宋体"/>
                <w:bCs/>
                <w:color w:val="auto"/>
                <w:sz w:val="21"/>
                <w:szCs w:val="21"/>
                <w:lang w:val="en-US" w:eastAsia="zh-CN"/>
              </w:rPr>
              <w:t>须提供</w:t>
            </w:r>
            <w:r>
              <w:rPr>
                <w:rFonts w:hint="eastAsia" w:ascii="宋体" w:hAnsi="宋体" w:eastAsia="宋体" w:cs="宋体"/>
                <w:bCs/>
                <w:color w:val="auto"/>
                <w:sz w:val="21"/>
                <w:szCs w:val="21"/>
                <w:lang w:val="pt-BR" w:eastAsia="zh-CN"/>
              </w:rPr>
              <w:t>合同</w:t>
            </w:r>
            <w:r>
              <w:rPr>
                <w:rFonts w:hint="eastAsia" w:ascii="宋体" w:hAnsi="宋体" w:eastAsia="宋体" w:cs="宋体"/>
                <w:bCs/>
                <w:color w:val="auto"/>
                <w:sz w:val="21"/>
                <w:szCs w:val="21"/>
                <w:lang w:val="en-US" w:eastAsia="zh-CN"/>
              </w:rPr>
              <w:t>复印件</w:t>
            </w:r>
            <w:r>
              <w:rPr>
                <w:rFonts w:hint="eastAsia" w:ascii="宋体" w:hAnsi="宋体" w:eastAsia="宋体" w:cs="宋体"/>
                <w:bCs/>
                <w:color w:val="auto"/>
                <w:sz w:val="21"/>
                <w:szCs w:val="21"/>
                <w:lang w:val="pt-BR" w:eastAsia="zh-CN"/>
              </w:rPr>
              <w:t>及合同期内</w:t>
            </w:r>
            <w:r>
              <w:rPr>
                <w:rFonts w:hint="eastAsia" w:ascii="宋体" w:eastAsia="宋体" w:cs="宋体"/>
                <w:bCs/>
                <w:color w:val="auto"/>
                <w:sz w:val="21"/>
                <w:szCs w:val="21"/>
                <w:lang w:val="en-US" w:eastAsia="zh-CN"/>
              </w:rPr>
              <w:t>连续3</w:t>
            </w:r>
            <w:r>
              <w:rPr>
                <w:rFonts w:hint="eastAsia" w:ascii="宋体" w:hAnsi="宋体" w:eastAsia="宋体" w:cs="宋体"/>
                <w:bCs/>
                <w:color w:val="auto"/>
                <w:sz w:val="21"/>
                <w:szCs w:val="21"/>
                <w:lang w:val="pt-BR" w:eastAsia="zh-CN"/>
              </w:rPr>
              <w:t>个月的收款发票复印件</w:t>
            </w:r>
            <w:r>
              <w:rPr>
                <w:rFonts w:hint="eastAsia" w:ascii="宋体" w:hAnsi="宋体" w:eastAsia="宋体" w:cs="宋体"/>
                <w:color w:val="auto"/>
                <w:sz w:val="21"/>
                <w:szCs w:val="21"/>
                <w:highlight w:val="none"/>
              </w:rPr>
              <w:t>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3</w:t>
            </w:r>
          </w:p>
        </w:tc>
        <w:tc>
          <w:tcPr>
            <w:tcW w:w="129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 xml:space="preserve">拟投入本项目的配套设施 </w:t>
            </w:r>
          </w:p>
        </w:tc>
        <w:tc>
          <w:tcPr>
            <w:tcW w:w="680"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eastAsia="宋体" w:cs="宋体"/>
                <w:bCs/>
                <w:color w:val="auto"/>
                <w:sz w:val="21"/>
                <w:szCs w:val="21"/>
                <w:lang w:val="en-US" w:eastAsia="zh-CN"/>
              </w:rPr>
              <w:t>10</w:t>
            </w:r>
          </w:p>
        </w:tc>
        <w:tc>
          <w:tcPr>
            <w:tcW w:w="5923"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1、投标人具有（</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lang w:val="pt-BR" w:eastAsia="zh-CN"/>
              </w:rPr>
              <w:t>）食品（或食材）安全可追溯类软件系统</w:t>
            </w:r>
            <w:r>
              <w:rPr>
                <w:rFonts w:hint="eastAsia" w:ascii="宋体" w:eastAsia="宋体" w:cs="宋体"/>
                <w:bCs/>
                <w:color w:val="auto"/>
                <w:sz w:val="21"/>
                <w:szCs w:val="21"/>
                <w:lang w:val="pt-BR" w:eastAsia="zh-CN"/>
              </w:rPr>
              <w:t>、</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2</w:t>
            </w:r>
            <w:r>
              <w:rPr>
                <w:rFonts w:hint="eastAsia" w:ascii="宋体" w:hAnsi="宋体" w:eastAsia="宋体" w:cs="宋体"/>
                <w:bCs/>
                <w:color w:val="auto"/>
                <w:sz w:val="21"/>
                <w:szCs w:val="21"/>
                <w:lang w:val="pt-BR" w:eastAsia="zh-CN"/>
              </w:rPr>
              <w:t>）农产品质量安全综合监管类软件系统</w:t>
            </w:r>
            <w:r>
              <w:rPr>
                <w:rFonts w:hint="eastAsia" w:ascii="宋体" w:eastAsia="宋体" w:cs="宋体"/>
                <w:bCs/>
                <w:color w:val="auto"/>
                <w:sz w:val="21"/>
                <w:szCs w:val="21"/>
                <w:lang w:val="pt-BR" w:eastAsia="zh-CN"/>
              </w:rPr>
              <w:t>、</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3</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果蔬农药残留快速检测类系统、</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4</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冷链运输全程监控类系统、</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5</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食材分拣设备加工智能控制系统</w:t>
            </w:r>
            <w:r>
              <w:rPr>
                <w:rFonts w:hint="eastAsia" w:ascii="宋体" w:hAnsi="宋体" w:eastAsia="宋体" w:cs="宋体"/>
                <w:bCs/>
                <w:color w:val="auto"/>
                <w:sz w:val="21"/>
                <w:szCs w:val="21"/>
                <w:lang w:val="pt-BR" w:eastAsia="zh-CN"/>
              </w:rPr>
              <w:t>的，每</w:t>
            </w:r>
            <w:r>
              <w:rPr>
                <w:rFonts w:hint="eastAsia" w:ascii="宋体" w:hAnsi="宋体" w:eastAsia="宋体" w:cs="宋体"/>
                <w:bCs/>
                <w:color w:val="auto"/>
                <w:sz w:val="21"/>
                <w:szCs w:val="21"/>
                <w:lang w:val="en-US" w:eastAsia="zh-CN"/>
              </w:rPr>
              <w:t>提供一</w:t>
            </w:r>
            <w:r>
              <w:rPr>
                <w:rFonts w:hint="eastAsia" w:ascii="宋体" w:hAnsi="宋体" w:eastAsia="宋体" w:cs="宋体"/>
                <w:bCs/>
                <w:color w:val="auto"/>
                <w:sz w:val="21"/>
                <w:szCs w:val="21"/>
                <w:lang w:val="pt-BR" w:eastAsia="zh-CN"/>
              </w:rPr>
              <w:t>个得</w:t>
            </w:r>
            <w:r>
              <w:rPr>
                <w:rFonts w:hint="eastAsia" w:ascii="宋体" w:eastAsia="宋体" w:cs="宋体"/>
                <w:bCs/>
                <w:color w:val="auto"/>
                <w:sz w:val="21"/>
                <w:szCs w:val="21"/>
                <w:lang w:val="en-US" w:eastAsia="zh-CN"/>
              </w:rPr>
              <w:t>2</w:t>
            </w:r>
            <w:r>
              <w:rPr>
                <w:rFonts w:hint="eastAsia" w:ascii="宋体" w:hAnsi="宋体" w:eastAsia="宋体" w:cs="宋体"/>
                <w:bCs/>
                <w:color w:val="auto"/>
                <w:sz w:val="21"/>
                <w:szCs w:val="21"/>
                <w:lang w:val="pt-BR" w:eastAsia="zh-CN"/>
              </w:rPr>
              <w:t>分，无不得分。本项最高</w:t>
            </w:r>
            <w:r>
              <w:rPr>
                <w:rFonts w:hint="eastAsia" w:ascii="宋体" w:eastAsia="宋体" w:cs="宋体"/>
                <w:bCs/>
                <w:color w:val="auto"/>
                <w:sz w:val="21"/>
                <w:szCs w:val="21"/>
                <w:lang w:val="en-US" w:eastAsia="zh-CN"/>
              </w:rPr>
              <w:t>10</w:t>
            </w:r>
            <w:r>
              <w:rPr>
                <w:rFonts w:hint="eastAsia" w:ascii="宋体" w:hAnsi="宋体" w:eastAsia="宋体" w:cs="宋体"/>
                <w:bCs/>
                <w:color w:val="auto"/>
                <w:sz w:val="21"/>
                <w:szCs w:val="21"/>
                <w:lang w:val="pt-BR" w:eastAsia="zh-CN"/>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kern w:val="2"/>
                <w:sz w:val="21"/>
                <w:szCs w:val="21"/>
                <w:lang w:val="pt-BR" w:eastAsia="zh-CN" w:bidi="ar-SA"/>
              </w:rPr>
            </w:pPr>
            <w:r>
              <w:rPr>
                <w:rFonts w:hint="eastAsia" w:ascii="宋体" w:hAnsi="宋体" w:eastAsia="宋体" w:cs="宋体"/>
                <w:bCs/>
                <w:color w:val="auto"/>
                <w:sz w:val="21"/>
                <w:szCs w:val="21"/>
                <w:lang w:val="pt-BR" w:eastAsia="zh-CN"/>
              </w:rPr>
              <w:t>注：须提供软件著作版权登记证书复印件加盖投标人公章；若软件为投标人购买的，须同时提供购买合同及发票复印件加盖投标人公章。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技术评审</w:t>
            </w:r>
            <w:r>
              <w:rPr>
                <w:rFonts w:hint="eastAsia" w:ascii="宋体" w:hAnsi="宋体" w:eastAsia="宋体" w:cs="宋体"/>
                <w:color w:val="auto"/>
                <w:sz w:val="21"/>
                <w:szCs w:val="21"/>
                <w:lang w:eastAsia="zh-CN"/>
              </w:rPr>
              <w:t>（</w:t>
            </w:r>
            <w:r>
              <w:rPr>
                <w:rFonts w:hint="eastAsia" w:ascii="宋体" w:eastAsia="宋体" w:cs="宋体"/>
                <w:color w:val="auto"/>
                <w:sz w:val="21"/>
                <w:szCs w:val="21"/>
                <w:lang w:val="en-US" w:eastAsia="zh-CN"/>
              </w:rPr>
              <w:t>64</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en-US" w:eastAsia="zh-CN"/>
              </w:rPr>
              <w:t>实施方案</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根据各投标人对本项目的理解、了解程度，项目实施方案，配送步骤（产品仓储、加工设备、运输、分拣、安全监控）</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质量控制方案</w:t>
            </w:r>
            <w:r>
              <w:rPr>
                <w:rFonts w:hint="eastAsia" w:ascii="宋体" w:hAnsi="宋体" w:eastAsia="宋体" w:cs="宋体"/>
                <w:bCs/>
                <w:color w:val="auto"/>
                <w:sz w:val="21"/>
                <w:szCs w:val="21"/>
              </w:rPr>
              <w:t>等方面进行评审</w:t>
            </w:r>
            <w:r>
              <w:rPr>
                <w:rFonts w:hint="eastAsia" w:ascii="宋体" w:hAnsi="宋体" w:eastAsia="宋体" w:cs="宋体"/>
                <w:bCs/>
                <w:color w:val="auto"/>
                <w:sz w:val="21"/>
                <w:szCs w:val="21"/>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项目理解较为详细、深刻，实施方案科学、具体，配送步骤清晰、具有较强的可操作性的，得</w:t>
            </w: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有基本的项目理解，实施方案基本完整，配送步骤基本清晰、具有可操作性的，得</w:t>
            </w:r>
            <w:r>
              <w:rPr>
                <w:rFonts w:hint="eastAsia" w:ascii="宋体" w:hAnsi="宋体" w:eastAsia="宋体" w:cs="宋体"/>
                <w:bCs/>
                <w:color w:val="auto"/>
                <w:sz w:val="21"/>
                <w:szCs w:val="21"/>
                <w:lang w:val="en-US" w:eastAsia="zh-CN"/>
              </w:rPr>
              <w:t>6</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项目理解不准确，实施方案不完整，配送步骤不清晰的，得</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未提供项目理解或实施方案，得0分。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应急保障措施</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根据各投标人对重大或突发事件应急保障方案措施进行评审：</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重大或突发事件应急保障方案较为全面、科学、具体的，得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重大或突发事件应急保障方案基本全面、合理的，得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重大或突发事件应急保障方案不够全面、具体的，得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rPr>
              <w:t>未提供重大或突发事件应急保障方案，得0分。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color w:val="auto"/>
                <w:sz w:val="21"/>
                <w:szCs w:val="21"/>
                <w:highlight w:val="none"/>
                <w:lang w:val="en-US" w:eastAsia="zh-CN"/>
              </w:rPr>
              <w:t>食品检测保障能力</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en-US" w:eastAsia="zh-CN"/>
              </w:rPr>
              <w:t>自</w:t>
            </w:r>
            <w:r>
              <w:rPr>
                <w:rFonts w:hint="eastAsia" w:ascii="宋体" w:hAnsi="宋体" w:eastAsia="宋体" w:cs="宋体"/>
                <w:bCs/>
                <w:color w:val="auto"/>
                <w:sz w:val="21"/>
                <w:szCs w:val="21"/>
                <w:lang w:val="pt-BR" w:eastAsia="zh-CN"/>
              </w:rPr>
              <w:t>2023年1月1日以后，由第三方检测机构出具的以下食材的检测报告</w:t>
            </w:r>
            <w:r>
              <w:rPr>
                <w:rFonts w:hint="eastAsia" w:ascii="宋体" w:hAnsi="宋体" w:eastAsia="宋体" w:cs="宋体"/>
                <w:bCs/>
                <w:color w:val="auto"/>
                <w:sz w:val="21"/>
                <w:szCs w:val="21"/>
                <w:lang w:val="en-US" w:eastAsia="zh-CN"/>
              </w:rPr>
              <w:t>复印件加盖投标人公章</w:t>
            </w:r>
            <w:r>
              <w:rPr>
                <w:rFonts w:hint="eastAsia" w:ascii="宋体" w:hAnsi="宋体" w:eastAsia="宋体" w:cs="宋体"/>
                <w:bCs/>
                <w:color w:val="auto"/>
                <w:sz w:val="21"/>
                <w:szCs w:val="21"/>
                <w:lang w:val="pt-BR" w:eastAsia="zh-CN"/>
              </w:rPr>
              <w:t>（每份报告的检测项目均须包含但不限于以下的检测内容），且检测结果为合格（或符合或达标或未检出或其他同等结论，如检测项目出现“-”“/”类结论的不计分），每提供以下一个种类任意一个月的检测报告的得</w:t>
            </w:r>
            <w:r>
              <w:rPr>
                <w:rFonts w:hint="eastAsia" w:ascii="宋体" w:hAnsi="宋体" w:eastAsia="宋体" w:cs="宋体"/>
                <w:bCs/>
                <w:color w:val="auto"/>
                <w:sz w:val="21"/>
                <w:szCs w:val="21"/>
                <w:lang w:val="en-US" w:eastAsia="zh-CN"/>
              </w:rPr>
              <w:t>1分</w:t>
            </w:r>
            <w:r>
              <w:rPr>
                <w:rFonts w:hint="eastAsia" w:ascii="宋体" w:hAnsi="宋体" w:eastAsia="宋体" w:cs="宋体"/>
                <w:bCs/>
                <w:color w:val="auto"/>
                <w:sz w:val="21"/>
                <w:szCs w:val="21"/>
                <w:lang w:val="pt-BR" w:eastAsia="zh-CN"/>
              </w:rPr>
              <w:t>，最高得</w:t>
            </w:r>
            <w:r>
              <w:rPr>
                <w:rFonts w:hint="eastAsia" w:ascii="宋体" w:hAnsi="宋体" w:eastAsia="宋体" w:cs="宋体"/>
                <w:bCs/>
                <w:color w:val="auto"/>
                <w:sz w:val="21"/>
                <w:szCs w:val="21"/>
                <w:lang w:val="en-US" w:eastAsia="zh-CN"/>
              </w:rPr>
              <w:t>7分</w:t>
            </w:r>
            <w:r>
              <w:rPr>
                <w:rFonts w:hint="eastAsia" w:ascii="宋体" w:hAnsi="宋体" w:eastAsia="宋体" w:cs="宋体"/>
                <w:bCs/>
                <w:color w:val="auto"/>
                <w:sz w:val="21"/>
                <w:szCs w:val="21"/>
                <w:lang w:val="pt-BR" w:eastAsia="zh-CN"/>
              </w:rPr>
              <w:t>：</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（1）大米类：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检测项目包含但不限于：镉、铅、黄曲霉毒素B₁、无机砷、总汞、铬、苄嘧磺隆、毒虫畏(E型和Z型异构体之和)、杀虫双、马拉硫磷；</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（2）食用油类：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检测项目包含但不限于：铅、黄曲霉毒素B1、酸价、过氧化值、BHT、TBHQ、BHA、毒虫畏(E型和Z型异构体之和)、巴毒磷、氯酞酸甲酯（又称敌草索）；</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（3）肉类：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检测项目包含但不限于：挥发性盐基氮、恩诺沙星（以恩诺沙星与环丙沙星之和计）、氧氟沙星、莱克多巴胺、克伦特罗、沙丁胺醇、替米考星、 地西泮、甲基睾丸酮、林可霉素；</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（4）禽类：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检测项目包含但不限于：达氟沙星、氧氟沙星、恩诺沙星（以恩诺沙星与环丙沙星之和计）、呋喃唑酮代谢物、呋喃它酮代谢物、氯霉素、氟苯尼考、地西泮、甲基睾丸酮、林可霉素；</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（5）水产品类：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挥发性盐基氮、氧氟沙星、恩诺沙星（以恩诺沙星与环丙沙星之和计）、达氟沙星、呋喃妥因代谢物、呋喃它酮代谢物、无机砷、孔雀石绿（以孔雀石绿和隐色孔雀石绿之和计）、红霉素、洛硝达唑、呋喃唑酮代谢物；</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（6）蛋类：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 xml:space="preserve">检测项目包含但不限于：铅、汞、镉、氯霉素、呋喃妥因代谢物、呋喃它酮代谢物、呋喃唑酮代谢物、地美硝唑、林丹、甲基睾丸酮； </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（7）蔬菜类：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lang w:val="pt-BR" w:eastAsia="zh-CN"/>
              </w:rPr>
              <w:t>检测项目包含但不限于：克百威、氧乐果、甲胺磷、阿维菌素、倍硫磷（总量）、敌敌畏、甲氨基阿维菌素苯甲酸盐、蝇毒磷、腈菌唑。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售后服务</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根据各投标人提供的售后服务方案、服务承诺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等进行评审：</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售后服务方案科学完整，服务承诺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优于招标文件要求的，得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售后服务方案基本完整，服务承诺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满足招标文件要求的，得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售后服务方案不完整，服务承诺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未满足招标文件要求的，得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rPr>
              <w:t>未提供售后服务方案或服务承诺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p>
        </w:tc>
        <w:tc>
          <w:tcPr>
            <w:tcW w:w="129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食材供应保障</w:t>
            </w:r>
          </w:p>
        </w:tc>
        <w:tc>
          <w:tcPr>
            <w:tcW w:w="680"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5</w:t>
            </w:r>
          </w:p>
        </w:tc>
        <w:tc>
          <w:tcPr>
            <w:tcW w:w="5923" w:type="dxa"/>
            <w:tcBorders>
              <w:top w:val="single" w:color="auto" w:sz="4" w:space="0"/>
              <w:left w:val="single" w:color="auto" w:sz="4" w:space="0"/>
              <w:bottom w:val="single" w:color="auto" w:sz="4" w:space="0"/>
              <w:right w:val="single" w:color="auto" w:sz="4" w:space="0"/>
            </w:tcBorders>
            <w:vAlign w:val="top"/>
          </w:tcPr>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1、大米供应：投标人自有或与大米生产企业有签订直接供应采购合同，得1分，本项最高得1分。 </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注：投标人须提供大米生产企业的法人营业执照、生产许可证、检验报告复印件，同时提供投标人与大米生产企业的合作协议复印件（自营则无需提供），否则不得分。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2、面（粉）供应：投标人自有或与面（粉）生产企业有签订直接供应采购合同，得1分，本项最高得1分。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注：投标人须提供面（粉）生产企业的法人营业执照、生产许可证、检验报告复印件，同时提供投标人与面（粉）生产企业的合作协议复印件（自营则无需提供），否则不得分。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3、食用油供应：投标人自有或与食用油生产企业有签订直接供应采购合同，得1分，本项最高得1分。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注：投标人须提供食用油生产企业的法人营业执照、生产许可证、检验报告复印件，同时提供投标人与食用油生产企业的合作协议复印件（自营则无需提供），否则不得分。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4、猪肉类（或禽类）供应：投标人自有或与屠宰企业（或屠宰场）签订直接供应采购合同，得1分，本项最高得1分。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注：投标人须提供屠宰企业（或屠宰场）有效的营业执照、生猪定点屠宰证、动物防疫条件合格证和合作协议（或采购合同，自营无需提供）复印件加盖投标人公章。（自营则无需提供），否则不得分。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5、豆制品供应：投标人自有或与豆制品生产企业签订直接供应采购合同，得1分，本项最高得1分。</w:t>
            </w:r>
          </w:p>
          <w:p>
            <w:pPr>
              <w:spacing w:line="24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注：投标人需提供豆制品生产企业（或经销商）的法人营业执照（或食品生产加工小作坊登记证）、生产许可证（或经营许可证）复印件，同时提供投标人与豆制品生产企业（或经销商）的合作协议复印件（自营则无需提供），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6</w:t>
            </w:r>
          </w:p>
        </w:tc>
        <w:tc>
          <w:tcPr>
            <w:tcW w:w="1297" w:type="dxa"/>
            <w:tcBorders>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食品安全管理</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人设立的自有检测室，对其自有检测室的食品安全检测能力进行评审，检测项目包括：1.农药残留；2.肉类水分；3.金属检测；4.大肠杆菌；5.瘦肉精；6.病毒肉；7.污染物；8.卫生学指标（微生物）。以上每个检测项目得</w:t>
            </w:r>
            <w:r>
              <w:rPr>
                <w:rFonts w:hint="eastAsia" w:ascii="宋体" w:eastAsia="宋体" w:cs="宋体"/>
                <w:color w:val="auto"/>
                <w:sz w:val="21"/>
                <w:szCs w:val="21"/>
                <w:lang w:val="en-US" w:eastAsia="zh-CN"/>
              </w:rPr>
              <w:t>0.5</w:t>
            </w:r>
            <w:r>
              <w:rPr>
                <w:rFonts w:hint="eastAsia" w:ascii="宋体" w:hAnsi="宋体" w:eastAsia="宋体" w:cs="宋体"/>
                <w:color w:val="auto"/>
                <w:sz w:val="21"/>
                <w:szCs w:val="21"/>
                <w:lang w:val="en-US" w:eastAsia="zh-CN"/>
              </w:rPr>
              <w:t>分，本项目最高得</w:t>
            </w:r>
            <w:r>
              <w:rPr>
                <w:rFonts w:hint="eastAsia" w:ascii="宋体" w:eastAsia="宋体" w:cs="宋体"/>
                <w:color w:val="auto"/>
                <w:sz w:val="21"/>
                <w:szCs w:val="21"/>
                <w:lang w:val="en-US" w:eastAsia="zh-CN"/>
              </w:rPr>
              <w:t>4</w:t>
            </w:r>
            <w:r>
              <w:rPr>
                <w:rFonts w:hint="eastAsia" w:ascii="宋体" w:hAnsi="宋体" w:eastAsia="宋体" w:cs="宋体"/>
                <w:color w:val="auto"/>
                <w:sz w:val="21"/>
                <w:szCs w:val="21"/>
                <w:lang w:val="en-US" w:eastAsia="zh-CN"/>
              </w:rPr>
              <w:t>分。如无自有检测室，此项得0分。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须提供自有检测室现场照片，每个项目的检测方案及相关检测设备的购买发票复印件并加盖投标人公章；如相关检测设备为关联单位或个人购买，需提供关联单位或个人与投标人的股权关系证明；如相关检测设备为租赁的须提供每个项目的检测方案及相关检测设备的有效租赁期内的租赁合同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vMerge w:val="restart"/>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1297" w:type="dxa"/>
            <w:vMerge w:val="restart"/>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拟投入本项目的人员及运输车辆及货物储存能力</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拟安排项目负责人（仅限一人）：</w:t>
            </w:r>
            <w:r>
              <w:rPr>
                <w:rFonts w:hint="eastAsia" w:ascii="宋体" w:hAnsi="宋体" w:eastAsia="宋体" w:cs="宋体"/>
                <w:color w:val="auto"/>
                <w:sz w:val="21"/>
                <w:szCs w:val="21"/>
                <w:lang w:val="en-US" w:eastAsia="zh-CN"/>
              </w:rPr>
              <w:t>每提供一项以下证书的得1分，最高得7分：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（1）具有相关机构颁发的高级食品安全管理（员）师证书；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（2）具有高级农畜特产品加工师证书；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（3）具有高级食品质量管理师证书；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（4）具有高级食品配送员证书；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（5）具有高级食品采购师证书；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（6）具有高级仓储管理师证书；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（7）具有高级食品检验师证书。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w:t>
            </w:r>
            <w:r>
              <w:rPr>
                <w:rFonts w:hint="eastAsia" w:ascii="宋体" w:hAnsi="宋体" w:eastAsia="宋体" w:cs="宋体"/>
                <w:color w:val="auto"/>
                <w:sz w:val="21"/>
                <w:szCs w:val="21"/>
                <w:highlight w:val="none"/>
              </w:rPr>
              <w:t>须提供</w:t>
            </w:r>
            <w:r>
              <w:rPr>
                <w:rFonts w:hint="eastAsia" w:ascii="宋体" w:eastAsia="宋体" w:cs="宋体"/>
                <w:color w:val="auto"/>
                <w:sz w:val="21"/>
                <w:szCs w:val="21"/>
                <w:highlight w:val="none"/>
                <w:lang w:val="en-US" w:eastAsia="zh-CN"/>
              </w:rPr>
              <w:t>项目负责人</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8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p>
        </w:tc>
        <w:tc>
          <w:tcPr>
            <w:tcW w:w="129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拟安排的项目团队成员（项目负责人除外）：</w:t>
            </w:r>
            <w:r>
              <w:rPr>
                <w:rFonts w:hint="eastAsia" w:ascii="宋体" w:hAnsi="宋体" w:eastAsia="宋体" w:cs="宋体"/>
                <w:color w:val="auto"/>
                <w:sz w:val="21"/>
                <w:szCs w:val="21"/>
                <w:lang w:val="en-US" w:eastAsia="zh-CN"/>
              </w:rPr>
              <w:t xml:space="preserve"> 每提供以下一项证书得1分，最高得7分：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（1）具有高级售后服务管理师证书；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2</w:t>
            </w:r>
            <w:r>
              <w:rPr>
                <w:rFonts w:hint="eastAsia" w:ascii="宋体" w:hAnsi="宋体" w:eastAsia="宋体" w:cs="宋体"/>
                <w:color w:val="auto"/>
                <w:sz w:val="21"/>
                <w:szCs w:val="21"/>
                <w:lang w:val="en-US" w:eastAsia="zh-CN"/>
              </w:rPr>
              <w:t>）具有高级农畜特产品加工师证书；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3</w:t>
            </w:r>
            <w:r>
              <w:rPr>
                <w:rFonts w:hint="eastAsia" w:ascii="宋体" w:hAnsi="宋体" w:eastAsia="宋体" w:cs="宋体"/>
                <w:color w:val="auto"/>
                <w:sz w:val="21"/>
                <w:szCs w:val="21"/>
                <w:lang w:val="en-US" w:eastAsia="zh-CN"/>
              </w:rPr>
              <w:t>）具有高级食品安全管理员证书；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4</w:t>
            </w:r>
            <w:r>
              <w:rPr>
                <w:rFonts w:hint="eastAsia" w:ascii="宋体" w:hAnsi="宋体" w:eastAsia="宋体" w:cs="宋体"/>
                <w:color w:val="auto"/>
                <w:sz w:val="21"/>
                <w:szCs w:val="21"/>
                <w:lang w:val="en-US" w:eastAsia="zh-CN"/>
              </w:rPr>
              <w:t>）具有高级食品配送员证书；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5</w:t>
            </w:r>
            <w:r>
              <w:rPr>
                <w:rFonts w:hint="eastAsia" w:ascii="宋体" w:hAnsi="宋体" w:eastAsia="宋体" w:cs="宋体"/>
                <w:color w:val="auto"/>
                <w:sz w:val="21"/>
                <w:szCs w:val="21"/>
                <w:lang w:val="en-US" w:eastAsia="zh-CN"/>
              </w:rPr>
              <w:t>）具有高级食品采购师证书；</w:t>
            </w:r>
          </w:p>
          <w:p>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6</w:t>
            </w:r>
            <w:r>
              <w:rPr>
                <w:rFonts w:hint="eastAsia" w:ascii="宋体" w:hAnsi="宋体" w:eastAsia="宋体" w:cs="宋体"/>
                <w:color w:val="auto"/>
                <w:sz w:val="21"/>
                <w:szCs w:val="21"/>
                <w:lang w:val="en-US" w:eastAsia="zh-CN"/>
              </w:rPr>
              <w:t>）具有高级仓储管理师证书；</w:t>
            </w:r>
          </w:p>
          <w:p>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（7）具有食品检验员（或食品检验师或食品检验工）证书。</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p>
        </w:tc>
        <w:tc>
          <w:tcPr>
            <w:tcW w:w="129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投标人自有或者租赁冷冻冷藏运输车，每提供一辆得1分，最高4分。</w:t>
            </w:r>
          </w:p>
          <w:p>
            <w:p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注：须提供有效期内车辆行驶证复印件或车辆租赁合同复印件</w:t>
            </w:r>
            <w:r>
              <w:rPr>
                <w:rFonts w:hint="eastAsia" w:ascii="宋体" w:hAnsi="宋体" w:eastAsia="宋体" w:cs="宋体"/>
                <w:color w:val="auto"/>
                <w:sz w:val="21"/>
                <w:szCs w:val="21"/>
                <w:lang w:val="en-US" w:eastAsia="zh-CN"/>
              </w:rPr>
              <w:t>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rPr>
            </w:pPr>
            <w:r>
              <w:rPr>
                <w:rFonts w:hint="eastAsia" w:ascii="宋体" w:hAnsi="宋体" w:eastAsia="宋体" w:cs="宋体"/>
                <w:b/>
                <w:color w:val="auto"/>
                <w:sz w:val="21"/>
                <w:szCs w:val="21"/>
              </w:rPr>
              <w:t>注：</w:t>
            </w:r>
          </w:p>
          <w:p>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rPr>
            </w:pPr>
            <w:r>
              <w:rPr>
                <w:rFonts w:hint="eastAsia" w:ascii="宋体" w:hAnsi="宋体" w:eastAsia="宋体" w:cs="宋体"/>
                <w:b/>
                <w:color w:val="auto"/>
                <w:sz w:val="21"/>
                <w:szCs w:val="21"/>
              </w:rPr>
              <w:t>（1）无特殊说明外，以上评审项，同一证明文件不重复计分。</w:t>
            </w:r>
          </w:p>
          <w:p>
            <w:pPr>
              <w:widowControl w:val="0"/>
              <w:tabs>
                <w:tab w:val="left" w:pos="907"/>
              </w:tabs>
              <w:adjustRightInd/>
              <w:snapToGrid/>
              <w:spacing w:after="0" w:line="240" w:lineRule="auto"/>
              <w:ind w:firstLine="422" w:firstLineChars="200"/>
              <w:jc w:val="both"/>
              <w:rPr>
                <w:rFonts w:hint="eastAsia" w:ascii="宋体" w:hAnsi="宋体" w:eastAsia="宋体" w:cs="宋体"/>
                <w:color w:val="auto"/>
                <w:sz w:val="21"/>
                <w:szCs w:val="21"/>
              </w:rPr>
            </w:pPr>
            <w:r>
              <w:rPr>
                <w:rFonts w:hint="eastAsia" w:ascii="宋体" w:hAnsi="宋体" w:eastAsia="宋体" w:cs="宋体"/>
                <w:b/>
                <w:color w:val="auto"/>
                <w:sz w:val="21"/>
                <w:szCs w:val="21"/>
              </w:rPr>
              <w:t>（2）投标人根据以上评分要求提供的</w:t>
            </w:r>
            <w:r>
              <w:rPr>
                <w:rFonts w:hint="eastAsia" w:ascii="宋体" w:hAnsi="宋体" w:eastAsia="宋体" w:cs="宋体"/>
                <w:b/>
                <w:color w:val="auto"/>
                <w:sz w:val="21"/>
                <w:szCs w:val="21"/>
                <w:lang w:eastAsia="zh-CN"/>
              </w:rPr>
              <w:t>投标材料</w:t>
            </w:r>
            <w:r>
              <w:rPr>
                <w:rFonts w:hint="eastAsia" w:ascii="宋体" w:hAnsi="宋体" w:eastAsia="宋体" w:cs="宋体"/>
                <w:b/>
                <w:color w:val="auto"/>
                <w:sz w:val="21"/>
                <w:szCs w:val="21"/>
              </w:rPr>
              <w:t>因模糊不清导致评标委员会无法清晰辨认进行评审的，</w:t>
            </w:r>
            <w:r>
              <w:rPr>
                <w:rFonts w:hint="eastAsia" w:ascii="宋体" w:hAnsi="宋体" w:eastAsia="宋体" w:cs="宋体"/>
                <w:b/>
                <w:color w:val="auto"/>
                <w:sz w:val="21"/>
                <w:szCs w:val="21"/>
                <w:lang w:eastAsia="zh-CN"/>
              </w:rPr>
              <w:t>视为无效材料</w:t>
            </w:r>
            <w:r>
              <w:rPr>
                <w:rFonts w:hint="eastAsia" w:ascii="宋体" w:hAnsi="宋体" w:eastAsia="宋体" w:cs="宋体"/>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价格评审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900" w:type="dxa"/>
            <w:gridSpan w:val="3"/>
            <w:tcBorders>
              <w:top w:val="single" w:color="auto" w:sz="4" w:space="0"/>
              <w:left w:val="single" w:color="auto" w:sz="4" w:space="0"/>
              <w:bottom w:val="single" w:color="auto" w:sz="4" w:space="0"/>
              <w:right w:val="single" w:color="auto" w:sz="4" w:space="0"/>
            </w:tcBorders>
            <w:vAlign w:val="center"/>
          </w:tcPr>
          <w:p>
            <w:pPr>
              <w:spacing w:after="0" w:line="24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价格分计算方法：满足招标文件要求且投标报价最低（即最大下浮率）的投标报价为评标基准价，其价格分为满分。其他投标人的价格分统一按照下列公式计算：</w:t>
            </w:r>
          </w:p>
          <w:p>
            <w:pPr>
              <w:spacing w:after="0"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投标报价得分=[(1-最大下浮率)／(1-投标下浮率)] ×价格权重</w:t>
            </w:r>
          </w:p>
        </w:tc>
      </w:tr>
    </w:tbl>
    <w:p>
      <w:pPr>
        <w:pStyle w:val="10"/>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ind w:left="0" w:leftChars="0" w:firstLine="0" w:firstLineChars="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303084246"/>
      <w:bookmarkStart w:id="31" w:name="_Toc1530"/>
      <w:bookmarkStart w:id="32" w:name="_Toc382049092"/>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14217"/>
      <w:bookmarkStart w:id="58" w:name="_Toc7997"/>
      <w:r>
        <w:rPr>
          <w:rFonts w:hint="eastAsia" w:ascii="宋体" w:hAnsi="宋体"/>
          <w:color w:val="auto"/>
          <w:sz w:val="21"/>
          <w:szCs w:val="21"/>
          <w:highlight w:val="none"/>
        </w:rPr>
        <w:t>9.招标文件的澄清或修改</w:t>
      </w:r>
      <w:bookmarkEnd w:id="56"/>
      <w:bookmarkEnd w:id="57"/>
      <w:bookmarkEnd w:id="5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4773"/>
      <w:bookmarkStart w:id="60" w:name="_Toc23726"/>
      <w:bookmarkStart w:id="61" w:name="_Toc16712"/>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12145"/>
      <w:bookmarkStart w:id="66" w:name="_Toc307934854"/>
      <w:bookmarkStart w:id="67" w:name="_Toc7728"/>
      <w:bookmarkStart w:id="68" w:name="_Toc28866"/>
      <w:bookmarkStart w:id="69" w:name="_Toc303084256"/>
      <w:bookmarkStart w:id="70" w:name="_Toc382049103"/>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21747"/>
      <w:bookmarkStart w:id="74" w:name="_Toc30189"/>
      <w:r>
        <w:rPr>
          <w:rFonts w:hint="eastAsia" w:ascii="宋体" w:hAnsi="宋体"/>
          <w:color w:val="auto"/>
          <w:sz w:val="21"/>
          <w:szCs w:val="21"/>
          <w:highlight w:val="none"/>
        </w:rPr>
        <w:t>12.投标文件编制</w:t>
      </w:r>
      <w:bookmarkEnd w:id="72"/>
      <w:bookmarkEnd w:id="73"/>
      <w:bookmarkEnd w:id="74"/>
    </w:p>
    <w:p>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0"/>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19520"/>
      <w:bookmarkStart w:id="85" w:name="_Toc30815"/>
      <w:bookmarkStart w:id="86" w:name="_Toc22169"/>
      <w:r>
        <w:rPr>
          <w:rFonts w:hint="eastAsia" w:ascii="宋体" w:hAnsi="宋体"/>
          <w:color w:val="auto"/>
          <w:sz w:val="21"/>
          <w:szCs w:val="21"/>
          <w:highlight w:val="none"/>
        </w:rPr>
        <w:t>15.★投标有效期</w:t>
      </w:r>
      <w:bookmarkEnd w:id="84"/>
      <w:bookmarkEnd w:id="85"/>
      <w:bookmarkEnd w:id="8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82049111"/>
      <w:bookmarkStart w:id="95" w:name="_Toc303084264"/>
      <w:bookmarkStart w:id="96" w:name="_Toc473"/>
      <w:bookmarkStart w:id="97" w:name="_Toc29590"/>
      <w:bookmarkStart w:id="98" w:name="_Toc24997"/>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23477"/>
      <w:bookmarkStart w:id="107" w:name="_Toc5900"/>
      <w:bookmarkStart w:id="108" w:name="_Toc382049112"/>
      <w:bookmarkStart w:id="109" w:name="_Toc303084265"/>
      <w:bookmarkStart w:id="110" w:name="_Toc7689"/>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12115"/>
      <w:bookmarkStart w:id="138" w:name="_Toc20328"/>
      <w:bookmarkStart w:id="139" w:name="_Toc382049120"/>
      <w:bookmarkStart w:id="140" w:name="_Toc22591"/>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508284011"/>
      <w:bookmarkStart w:id="146" w:name="_Toc27817"/>
      <w:bookmarkStart w:id="147" w:name="_Toc6696"/>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12440"/>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744"/>
      <w:bookmarkStart w:id="157" w:name="_Toc382049124"/>
      <w:bookmarkStart w:id="158" w:name="_Toc7405"/>
      <w:bookmarkStart w:id="159" w:name="_Toc29009"/>
      <w:bookmarkStart w:id="160" w:name="_Toc25756"/>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11264"/>
      <w:bookmarkStart w:id="169" w:name="_Toc2767"/>
      <w:bookmarkStart w:id="170" w:name="_Toc8234"/>
      <w:r>
        <w:rPr>
          <w:rFonts w:hint="eastAsia" w:ascii="宋体" w:hAnsi="宋体"/>
          <w:color w:val="auto"/>
          <w:sz w:val="21"/>
          <w:szCs w:val="21"/>
          <w:highlight w:val="none"/>
        </w:rPr>
        <w:t>34.质疑</w:t>
      </w:r>
      <w:bookmarkEnd w:id="168"/>
      <w:bookmarkEnd w:id="169"/>
      <w:bookmarkEnd w:id="170"/>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8919"/>
      <w:bookmarkStart w:id="173" w:name="_Toc24383"/>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369"/>
        <w:gridCol w:w="6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rPr>
            </w:pPr>
            <w:r>
              <w:rPr>
                <w:rFonts w:hint="eastAsia" w:ascii="宋体" w:hAnsi="宋体"/>
                <w:color w:val="auto"/>
                <w:szCs w:val="21"/>
                <w:highlight w:val="none"/>
                <w:lang w:val="en-US" w:eastAsia="zh-CN"/>
              </w:rPr>
              <w:t>服务期</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一年</w:t>
            </w:r>
            <w:r>
              <w:rPr>
                <w:rFonts w:hint="default"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双方采取先送货后结款的方式，从第一次送货之日起，采购人每个月向</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结清货款一次；双方应在合同有效期内每月5日前对好上期货款（遇节假日顺延）。</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根据双方核对无误确认好的金额开具发票给采购人，采购人以转账方式将货款一次性全额转入成交供应商合同中书面指定的银行账户。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72"/>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1" w:type="pct"/>
            <w:vAlign w:val="center"/>
          </w:tcPr>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本项目采用下浮率报价，结算时统一采用以下方式计算费用：供货单价=（1-</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下浮率）*基准价。</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）定价及定价周期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1.采购人和中标人按以下方式确定供货价格（定价原则）：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1.1原则上以东莞物价专栏(http://jgxx.dgdp.dg.gov.cn/)中《</w:t>
            </w:r>
            <w:r>
              <w:rPr>
                <w:rFonts w:hint="eastAsia" w:ascii="宋体" w:hAnsi="宋体" w:eastAsia="宋体" w:cs="Times New Roman"/>
                <w:color w:val="auto"/>
                <w:sz w:val="21"/>
                <w:szCs w:val="21"/>
                <w:highlight w:val="none"/>
              </w:rPr>
              <w:fldChar w:fldCharType="begin"/>
            </w:r>
            <w:r>
              <w:rPr>
                <w:rFonts w:hint="eastAsia" w:ascii="宋体" w:hAnsi="宋体" w:eastAsia="宋体" w:cs="Times New Roman"/>
                <w:color w:val="auto"/>
                <w:sz w:val="21"/>
                <w:szCs w:val="21"/>
                <w:highlight w:val="none"/>
              </w:rPr>
              <w:instrText xml:space="preserve"> HYPERLINK "http://jgxx.dgdp.dg.gov.cn/../../../business/htmlfiles/dgwjj/pjgjc1/list.htm" \t "_blank" </w:instrText>
            </w:r>
            <w:r>
              <w:rPr>
                <w:rFonts w:hint="eastAsia" w:ascii="宋体" w:hAnsi="宋体" w:eastAsia="宋体" w:cs="Times New Roman"/>
                <w:color w:val="auto"/>
                <w:sz w:val="21"/>
                <w:szCs w:val="21"/>
                <w:highlight w:val="none"/>
              </w:rPr>
              <w:fldChar w:fldCharType="separate"/>
            </w:r>
            <w:r>
              <w:rPr>
                <w:rFonts w:hint="eastAsia" w:ascii="宋体" w:hAnsi="宋体" w:eastAsia="宋体" w:cs="Times New Roman"/>
                <w:color w:val="auto"/>
                <w:sz w:val="21"/>
                <w:szCs w:val="21"/>
                <w:highlight w:val="none"/>
              </w:rPr>
              <w:t>广东省城市居民食品零售价格监测表</w:t>
            </w:r>
            <w:r>
              <w:rPr>
                <w:rFonts w:hint="eastAsia" w:ascii="宋体" w:hAnsi="宋体" w:eastAsia="宋体" w:cs="Times New Roman"/>
                <w:color w:val="auto"/>
                <w:sz w:val="21"/>
                <w:szCs w:val="21"/>
                <w:highlight w:val="none"/>
              </w:rPr>
              <w:fldChar w:fldCharType="end"/>
            </w:r>
            <w:r>
              <w:rPr>
                <w:rFonts w:hint="eastAsia" w:ascii="宋体" w:hAnsi="宋体" w:eastAsia="宋体" w:cs="Times New Roman"/>
                <w:color w:val="auto"/>
                <w:sz w:val="21"/>
                <w:szCs w:val="21"/>
                <w:highlight w:val="none"/>
              </w:rPr>
              <w:t>》（东莞市菜篮子价格监测日报表）最新公布本期价格作为基准价；若东莞物价专栏无采购人所需的相同品种，则采购人将对</w:t>
            </w:r>
            <w:r>
              <w:rPr>
                <w:rFonts w:hint="eastAsia" w:ascii="宋体" w:hAnsi="宋体" w:eastAsia="宋体" w:cs="Times New Roman"/>
                <w:color w:val="auto"/>
                <w:sz w:val="21"/>
                <w:szCs w:val="21"/>
                <w:highlight w:val="none"/>
                <w:lang w:eastAsia="zh-CN"/>
              </w:rPr>
              <w:t>邻近</w:t>
            </w:r>
            <w:r>
              <w:rPr>
                <w:rFonts w:hint="eastAsia" w:ascii="宋体" w:hAnsi="宋体" w:eastAsia="宋体" w:cs="Times New Roman"/>
                <w:color w:val="auto"/>
                <w:sz w:val="21"/>
                <w:szCs w:val="21"/>
                <w:highlight w:val="none"/>
              </w:rPr>
              <w:t>市场（</w:t>
            </w:r>
            <w:r>
              <w:rPr>
                <w:rFonts w:hint="eastAsia" w:ascii="宋体" w:hAnsi="宋体" w:eastAsia="宋体" w:cs="Times New Roman"/>
                <w:color w:val="auto"/>
                <w:sz w:val="21"/>
                <w:szCs w:val="21"/>
                <w:highlight w:val="none"/>
                <w:lang w:eastAsia="zh-CN"/>
              </w:rPr>
              <w:t>横沥市场、常平木伦市场、村尾市场</w:t>
            </w:r>
            <w:r>
              <w:rPr>
                <w:rFonts w:hint="eastAsia" w:ascii="宋体" w:hAnsi="宋体" w:eastAsia="宋体" w:cs="Times New Roman"/>
                <w:color w:val="auto"/>
                <w:sz w:val="21"/>
                <w:szCs w:val="21"/>
                <w:highlight w:val="none"/>
              </w:rPr>
              <w:t>）的市场零售价（精品零售价）进行抽样调查，</w:t>
            </w:r>
            <w:r>
              <w:rPr>
                <w:rFonts w:hint="eastAsia" w:ascii="宋体" w:hAnsi="宋体" w:eastAsia="宋体" w:cs="Times New Roman"/>
                <w:color w:val="auto"/>
                <w:sz w:val="21"/>
                <w:szCs w:val="21"/>
                <w:highlight w:val="none"/>
                <w:lang w:eastAsia="zh-CN"/>
              </w:rPr>
              <w:t>对比</w:t>
            </w:r>
            <w:r>
              <w:rPr>
                <w:rFonts w:hint="eastAsia" w:ascii="宋体" w:hAnsi="宋体" w:eastAsia="宋体" w:cs="Times New Roman"/>
                <w:color w:val="auto"/>
                <w:sz w:val="21"/>
                <w:szCs w:val="21"/>
                <w:highlight w:val="none"/>
              </w:rPr>
              <w:t>相同品种的市场平均价格（则基准价=市场平均价=3个市场抽样价格之和÷3）。</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1.2临时委托采购：中标人必须按照采购人急需餐料物资品种、数量、送货时间、地点等在4小时内进行供货，若急需餐料物资不在供货物资清单表上，其供货价格采购人在2个工作日内给予复核。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A类（粮油干货类）价格每半月更新一次，中标人每月28日前提交下个月报价给采购人审核；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B类（肉类）每半月更新一次，中标人每月13日前提交下半月报价给采购人审核，每月28日前提交下个月上半月报价给采购人审核；</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 w:val="21"/>
                <w:szCs w:val="21"/>
                <w:highlight w:val="none"/>
              </w:rPr>
              <w:t>3.3  C类（蔬果类）价格每半月更新一次，中标人每月13日前提交下半月报价给采购人审核，每月28日前提交下个月上半月报价给采购人审核。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rPr>
              <w:t>投标有效期</w:t>
            </w:r>
          </w:p>
        </w:tc>
        <w:tc>
          <w:tcPr>
            <w:tcW w:w="3851"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10"/>
        <w:rPr>
          <w:color w:val="auto"/>
          <w:highlight w:val="none"/>
          <w:lang w:val="en-US"/>
        </w:rPr>
      </w:pPr>
    </w:p>
    <w:p>
      <w:pPr>
        <w:pStyle w:val="11"/>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5"/>
        <w:bidi w:val="0"/>
        <w:rPr>
          <w:highlight w:val="none"/>
        </w:rPr>
      </w:pPr>
      <w:bookmarkStart w:id="182" w:name="_Toc31278"/>
      <w:bookmarkStart w:id="183" w:name="_Toc14462"/>
      <w:bookmarkStart w:id="184" w:name="_Toc24679"/>
      <w:bookmarkStart w:id="185" w:name="_Toc13112"/>
      <w:r>
        <w:rPr>
          <w:rFonts w:hint="default"/>
          <w:highlight w:val="none"/>
          <w:lang w:val="en-US" w:eastAsia="zh-CN"/>
        </w:rPr>
        <w:t>一、</w:t>
      </w:r>
      <w:r>
        <w:rPr>
          <w:rFonts w:hint="eastAsia"/>
          <w:highlight w:val="none"/>
          <w:lang w:val="en-US" w:eastAsia="zh-CN"/>
        </w:rPr>
        <w:t>项目概况</w:t>
      </w:r>
    </w:p>
    <w:p>
      <w:pPr>
        <w:spacing w:after="0" w:line="360" w:lineRule="auto"/>
        <w:ind w:firstLine="420" w:firstLineChars="200"/>
        <w:rPr>
          <w:rFonts w:ascii="宋体" w:hAnsi="宋体" w:eastAsia="宋体"/>
          <w:b/>
          <w:color w:val="auto"/>
          <w:sz w:val="24"/>
          <w:highlight w:val="none"/>
        </w:rPr>
      </w:pPr>
      <w:r>
        <w:rPr>
          <w:rFonts w:hint="eastAsia" w:ascii="宋体" w:hAnsi="宋体" w:eastAsia="宋体" w:cs="Times New Roman"/>
          <w:color w:val="auto"/>
          <w:sz w:val="21"/>
          <w:szCs w:val="21"/>
          <w:highlight w:val="none"/>
        </w:rPr>
        <w:t>为了做好食堂规范管理工作，确保食品安全、卫生，</w:t>
      </w: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拟对食品原材料等配送的供货资格进行招标。</w:t>
      </w:r>
    </w:p>
    <w:p>
      <w:pPr>
        <w:pStyle w:val="5"/>
        <w:bidi w:val="0"/>
        <w:rPr>
          <w:highlight w:val="none"/>
        </w:rPr>
      </w:pPr>
      <w:r>
        <w:rPr>
          <w:rFonts w:hint="default"/>
          <w:highlight w:val="none"/>
          <w:lang w:val="en-US" w:eastAsia="zh-CN"/>
        </w:rPr>
        <w:t>二、</w:t>
      </w:r>
      <w:r>
        <w:rPr>
          <w:rFonts w:hint="eastAsia"/>
          <w:highlight w:val="none"/>
          <w:lang w:val="en-US" w:eastAsia="zh-CN"/>
        </w:rPr>
        <w:t>配送情况</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本项目通过招标确定</w:t>
      </w:r>
      <w:r>
        <w:rPr>
          <w:rFonts w:hint="eastAsia" w:ascii="宋体" w:hAnsi="宋体" w:eastAsia="宋体" w:cs="Times New Roman"/>
          <w:color w:val="auto"/>
          <w:sz w:val="21"/>
          <w:szCs w:val="21"/>
          <w:highlight w:val="none"/>
          <w:lang w:val="en-US" w:eastAsia="zh-CN"/>
        </w:rPr>
        <w:t>一家</w:t>
      </w:r>
      <w:r>
        <w:rPr>
          <w:rFonts w:hint="eastAsia" w:ascii="宋体" w:hAnsi="宋体" w:eastAsia="宋体" w:cs="Times New Roman"/>
          <w:color w:val="auto"/>
          <w:sz w:val="21"/>
          <w:szCs w:val="21"/>
          <w:highlight w:val="none"/>
        </w:rPr>
        <w:t>配送资格单位，与采购人签订正式合同。具体配送数量以实际发生的数量为准，采购人不承诺在入围有效期内授予入围单位实际采购品类，不承诺在入围有效期内的实际采购数量。投标人为采购人提供配送的品种包括</w:t>
      </w:r>
      <w:r>
        <w:rPr>
          <w:rFonts w:hint="eastAsia" w:ascii="宋体" w:hAnsi="宋体" w:eastAsia="宋体" w:cs="Times New Roman"/>
          <w:color w:val="auto"/>
          <w:sz w:val="21"/>
          <w:szCs w:val="21"/>
          <w:highlight w:val="none"/>
          <w:lang w:eastAsia="zh-CN"/>
        </w:rPr>
        <w:t>但不限于以下种类</w:t>
      </w:r>
      <w:r>
        <w:rPr>
          <w:rFonts w:hint="eastAsia" w:ascii="宋体" w:hAnsi="宋体" w:eastAsia="宋体" w:cs="Times New Roman"/>
          <w:color w:val="auto"/>
          <w:sz w:val="21"/>
          <w:szCs w:val="21"/>
          <w:highlight w:val="none"/>
        </w:rPr>
        <w:t>：肉类（猪肉类、牛肉类、冻品类、禽类、腊味类、咸水鱼类、海水鱼和海鲜类、淡水鱼类）、调配料、腌菜、干货及蛋品、蔬菜类、水果及食用菌类、点心、豆制品、面食类、粉面、大米类及食用油类等。</w:t>
      </w:r>
    </w:p>
    <w:p>
      <w:pPr>
        <w:pStyle w:val="5"/>
        <w:bidi w:val="0"/>
        <w:rPr>
          <w:rFonts w:hint="eastAsia" w:eastAsia="宋体"/>
          <w:highlight w:val="none"/>
          <w:lang w:val="en-US" w:eastAsia="zh-CN"/>
        </w:rPr>
      </w:pPr>
      <w:r>
        <w:rPr>
          <w:rFonts w:hint="eastAsia" w:eastAsia="宋体"/>
          <w:highlight w:val="none"/>
          <w:lang w:val="en-US" w:eastAsia="zh-CN"/>
        </w:rPr>
        <w:t>三</w:t>
      </w:r>
      <w:r>
        <w:rPr>
          <w:rFonts w:hint="default" w:eastAsia="宋体"/>
          <w:highlight w:val="none"/>
          <w:lang w:val="en-US" w:eastAsia="zh-CN"/>
        </w:rPr>
        <w:t>、</w:t>
      </w:r>
      <w:r>
        <w:rPr>
          <w:rFonts w:hint="eastAsia" w:eastAsia="宋体"/>
          <w:highlight w:val="none"/>
          <w:lang w:val="en-US" w:eastAsia="zh-CN"/>
        </w:rPr>
        <w:t>具体要求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（一）采购内容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本项目主要是为</w:t>
      </w: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食堂提食材配送服务，投标人根据自身能力进行投标，供货内容如下：</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A类：粮油干货类──大米、食用油、调味品、干货、杂货、副食品、米粉面粉类等食品材料；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B类：肉类──新鲜猪肉、牛肉、羊肉、水产品、三鸟、零星冻品副食品类等食品材料；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C类：蔬果类──蔬菜、菇菌</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水果</w:t>
      </w:r>
      <w:r>
        <w:rPr>
          <w:rFonts w:hint="eastAsia" w:ascii="宋体" w:hAnsi="宋体" w:eastAsia="宋体" w:cs="Times New Roman"/>
          <w:color w:val="auto"/>
          <w:sz w:val="21"/>
          <w:szCs w:val="21"/>
          <w:highlight w:val="none"/>
        </w:rPr>
        <w:t>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1、投标人必须同时对以上三个类别的全部食品材料进行投标，否则其投标将被拒绝。2、以上需求品种包含但不限于明细表中所列的品种；未列入食品材料明细表内又需要购买的货品，其单价由双方以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（二）就餐人数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食堂</w:t>
      </w:r>
      <w:r>
        <w:rPr>
          <w:rFonts w:hint="eastAsia" w:ascii="宋体" w:hAnsi="宋体" w:eastAsia="宋体" w:cs="Times New Roman"/>
          <w:color w:val="auto"/>
          <w:sz w:val="21"/>
          <w:szCs w:val="21"/>
          <w:highlight w:val="none"/>
          <w:lang w:eastAsia="zh-CN"/>
        </w:rPr>
        <w:t>工作日</w:t>
      </w:r>
      <w:r>
        <w:rPr>
          <w:rFonts w:hint="eastAsia" w:ascii="宋体" w:hAnsi="宋体" w:eastAsia="宋体" w:cs="Times New Roman"/>
          <w:color w:val="auto"/>
          <w:sz w:val="21"/>
          <w:szCs w:val="21"/>
          <w:highlight w:val="none"/>
        </w:rPr>
        <w:t>用餐人数约</w:t>
      </w:r>
      <w:r>
        <w:rPr>
          <w:rFonts w:hint="eastAsia" w:ascii="宋体" w:hAnsi="宋体" w:eastAsia="宋体" w:cs="Times New Roman"/>
          <w:color w:val="auto"/>
          <w:sz w:val="21"/>
          <w:szCs w:val="21"/>
          <w:highlight w:val="none"/>
          <w:lang w:val="en-US" w:eastAsia="zh-CN"/>
        </w:rPr>
        <w:t>540人</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（三）供货地点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食堂。</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四</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eastAsia="zh-CN"/>
        </w:rPr>
        <w:t>其他要求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1.中标人按照采购人提出的物品订货清单，不论数量多少，必须保证在规定的时间、地点送货。</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2.中标人对采购人提出的临时性服务要求应按采购人要求按时、按质、按量将货品送到指定地点。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3.中标人提供的货品必须符合国家食品卫生法规相关标准，保质、保量，不合格的货品，中标人必须包退包换。</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4.中标人提供的货品必须出示真实有效的检验合格报告。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.1 粮油、干货、副食品、粉、面类等餐料按采购人要求定期提供有效检验合格报告；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.2 凡国家有明文规定的必须提供产品检验报告交饭堂存档，符合国家朔源制度规定。</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.中标人每次送货应有相应的送货清单（盖有中标人的有效公章），且必须提供合法的进货单据。</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.中标人提供的货品导致采购人有任何食物安全事件出现，由中标人承担全部责任及赔偿采购人一切损失，采购人保留法律追究权利。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.中标人应按照采购人指定时间内对下月供货价格</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报价单</w:t>
      </w:r>
      <w:r>
        <w:rPr>
          <w:rFonts w:hint="eastAsia" w:ascii="宋体" w:hAnsi="宋体" w:eastAsia="宋体" w:cs="Times New Roman"/>
          <w:color w:val="auto"/>
          <w:sz w:val="21"/>
          <w:szCs w:val="21"/>
          <w:highlight w:val="none"/>
        </w:rPr>
        <w:t>进行签字</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盖章</w:t>
      </w:r>
      <w:r>
        <w:rPr>
          <w:rFonts w:hint="eastAsia" w:ascii="宋体" w:hAnsi="宋体" w:eastAsia="宋体" w:cs="Times New Roman"/>
          <w:color w:val="auto"/>
          <w:sz w:val="21"/>
          <w:szCs w:val="21"/>
          <w:highlight w:val="none"/>
        </w:rPr>
        <w:t>确认。</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w:t>
      </w:r>
      <w:r>
        <w:rPr>
          <w:rFonts w:hint="eastAsia" w:ascii="宋体" w:hAnsi="宋体" w:eastAsia="宋体" w:cs="Times New Roman"/>
          <w:color w:val="auto"/>
          <w:sz w:val="21"/>
          <w:szCs w:val="21"/>
          <w:highlight w:val="none"/>
        </w:rPr>
        <w:t>.中标人的供货价应包含货品交给采购人之前的一切费用，包括运输费、储存费等，并承担送货途中的一切风险。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w:t>
      </w:r>
      <w:r>
        <w:rPr>
          <w:rFonts w:hint="eastAsia" w:ascii="宋体" w:hAnsi="宋体" w:eastAsia="宋体" w:cs="Times New Roman"/>
          <w:color w:val="auto"/>
          <w:sz w:val="21"/>
          <w:szCs w:val="21"/>
          <w:highlight w:val="none"/>
        </w:rPr>
        <w:t>.未列入物资明细表内又需要购买的货品，其单价由双方以本用户需求书规定的定价原则确定供货价格。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.中标人进入采购人范围内必须遵守采购人有关规定，不得影响采购人的正常工作，由于中标人的过失造成采购人直接经济损失则要负全部责任及赔偿采购人一切损失。</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五</w:t>
      </w:r>
      <w:r>
        <w:rPr>
          <w:rFonts w:hint="eastAsia" w:ascii="宋体" w:hAnsi="宋体" w:eastAsia="宋体" w:cs="Times New Roman"/>
          <w:color w:val="auto"/>
          <w:sz w:val="21"/>
          <w:szCs w:val="21"/>
          <w:highlight w:val="none"/>
        </w:rPr>
        <w:t>）验收标准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1.粮食大米类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由正规厂家出厂、颜色品质纯正，米粒形均匀、整齐、重量大没有碎米和爆腰。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有清香味和光泽，无米糠和其它杂质、无虫害、无异味、无霉味，用手摸时滑爽、干燥。</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符合食品卫生标准，无毒、无污染。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2.食用油类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由知名正规厂家生产的植物油，非转基因类。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色泽纯正，透明度好。</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3.、调味品类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由正规厂家生产、颜色品质纯正。</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4.干货、杂货、副食品类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必须选用符合国家食品卫生法规相关标准的商品，选用无毒、无害、无污染、可朔源的食品。掺假、掺杂食品坚决不能使用。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副食品等级标准要相符，其包装盒或标签上须注明食品名称、生产厂家、厂址、生产日期、食品的主要原料成份和食品保质期等信息，注明不详或没有注明的商品不予验收。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副食品表面外观新鲜、完整，无霉变异味，无砂粒杂质，无虫尸鼠粪等不洁卫生问题。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5.米粉面粉类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5.1 米粉面粉类及其制品颜色品质要纯正，不掺假、掺杂。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5.2 符合食品卫生标准，粉质细腻干爽无异物、无毒、无污染。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5.3 制成品不能出现异味、霉变结块、虫尸鼠粪等不洁的卫生问题。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上述货品必须符合国家食品卫生法规相关标准，符合采购人使用要求，货品必须保证有三分之二以上保质期（如货品有保质期）。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1.猪肉类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具有当天卫生监督部门发放的“动物检疫合格证明”，肉体印有检疫章。</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表皮干爽、肌体结实、肉质紧密、肉色淡红新鲜，肥肉洁白而细腻。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外观检测无异味、无寄生虫、无粘液、无渗出液体、指压反弹迅速、具有猪肉自然气味。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1.4 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2.牛肉类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具有当天卫生监督部门发放的“动物检疫合格证明”，外观检测新鲜肉质柔软有光泽、无腐臭变质异味、无寄生虫、无粘液、无渗出液体。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牛肉色泽棕红，脂肪呈淡黄色或深黄色，肉质坚硬，弹性足。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3.羊肉类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羊肉色泽暗红，纤维细而软，肌间少脂肪。</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4.水产品类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必须鲜活。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鲜鱼鳞片完整，有光泽无脱落，鳃口紧闭，眼球光亮透明，鱼鳃鲜红，鳍尾完整，确保新鲜。</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身体饱满结实，无腐烂异味，肉质紧密有弹性，无离骨脱刺现象。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4.4 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5.三鸟类（屠杀好的）</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①具有当天卫生监督部门发放的“动物检疫合格证明”。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②肉质新鲜柔软有光泽，质地紧密，脂肪呈白色或淡黄色，肉质细腻、无腐烂异味， 肉体结实，内脏清掏干净，肉质弹性足无明显渗出液体，总体无粘液。</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③运输设备具备恒温保鲜（5度），存放容器保持清洁卫生，包装合理，来源可靠放心，无毒、无害、无污染。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6.零星冻品副食品类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6.1 必须选用符合国家食品卫生法规相关标准的商品，选用无毒、无害、无污染、可朔源的副食品。掺假、掺杂副食品坚决不能使用。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6.2 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6.3 冻肉类产品中间不能有过多冰块，重量必须和包装箱上标明的重量一致。</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6.4 奶制品色泽乳白，口味鲜香，包装完整，无破损，验收每批在保质期二分之一以上，符合国家规定的质量卫生标准。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1.应保持较好的色泽和新鲜度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具有当天</w:t>
      </w:r>
      <w:r>
        <w:rPr>
          <w:rFonts w:hint="eastAsia" w:ascii="宋体" w:hAnsi="宋体" w:eastAsia="宋体" w:cs="Times New Roman"/>
          <w:color w:val="auto"/>
          <w:sz w:val="21"/>
          <w:szCs w:val="21"/>
          <w:highlight w:val="none"/>
          <w:lang w:val="en-US" w:eastAsia="zh-CN"/>
        </w:rPr>
        <w:t>符合标准</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lang w:val="en-US" w:eastAsia="zh-CN"/>
        </w:rPr>
        <w:t>蔬菜检测报告单</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2.符合国家食品卫生标准，蔬菜不得有黄叶；不得腐烂和泥沙等现象。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3.无公害、农药残留不得超标，提供农药残留检测证明。</w:t>
      </w:r>
    </w:p>
    <w:p>
      <w:pPr>
        <w:pStyle w:val="5"/>
        <w:bidi w:val="0"/>
        <w:rPr>
          <w:rFonts w:hint="eastAsia" w:eastAsia="宋体"/>
          <w:highlight w:val="none"/>
          <w:lang w:val="en-US" w:eastAsia="zh-CN"/>
        </w:rPr>
      </w:pPr>
      <w:r>
        <w:rPr>
          <w:rFonts w:hint="eastAsia" w:eastAsia="宋体"/>
          <w:highlight w:val="none"/>
          <w:lang w:val="en-US" w:eastAsia="zh-CN"/>
        </w:rPr>
        <w:t>四</w:t>
      </w:r>
      <w:r>
        <w:rPr>
          <w:rFonts w:hint="default" w:eastAsia="宋体"/>
          <w:highlight w:val="none"/>
          <w:lang w:val="en-US" w:eastAsia="zh-CN"/>
        </w:rPr>
        <w:t>、</w:t>
      </w:r>
      <w:r>
        <w:rPr>
          <w:rFonts w:hint="eastAsia" w:eastAsia="宋体"/>
          <w:highlight w:val="none"/>
          <w:lang w:val="en-US" w:eastAsia="zh-CN"/>
        </w:rPr>
        <w:t>其他要求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、所有产品标准必须符合国家标准及相关规定。</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、投标人应根据采购要求，在投标文件中提供切实可行的质量保证和食品安全保障措施方案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配送服务方案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出现产品质量问题退换货方案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突发事件的应急响应方案</w:t>
      </w:r>
      <w:r>
        <w:rPr>
          <w:rFonts w:hint="eastAsia" w:ascii="宋体" w:hAnsi="宋体" w:eastAsia="宋体" w:cs="Times New Roman"/>
          <w:color w:val="auto"/>
          <w:sz w:val="21"/>
          <w:szCs w:val="21"/>
          <w:highlight w:val="none"/>
          <w:lang w:val="en-US" w:eastAsia="zh-CN"/>
        </w:rPr>
        <w:t>等</w:t>
      </w:r>
      <w:r>
        <w:rPr>
          <w:rFonts w:hint="eastAsia" w:ascii="宋体" w:hAnsi="宋体" w:eastAsia="宋体" w:cs="Times New Roman"/>
          <w:color w:val="auto"/>
          <w:sz w:val="21"/>
          <w:szCs w:val="21"/>
          <w:highlight w:val="none"/>
        </w:rPr>
        <w:t>。</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、中标单位在供货过程中必须采取足够的安全措施，确保</w:t>
      </w:r>
      <w:r>
        <w:rPr>
          <w:rFonts w:hint="eastAsia" w:ascii="宋体" w:hAnsi="宋体" w:eastAsia="宋体" w:cs="Times New Roman"/>
          <w:color w:val="auto"/>
          <w:sz w:val="21"/>
          <w:szCs w:val="21"/>
          <w:highlight w:val="none"/>
          <w:lang w:val="en-US" w:eastAsia="zh-CN"/>
        </w:rPr>
        <w:t>服务</w:t>
      </w:r>
      <w:r>
        <w:rPr>
          <w:rFonts w:hint="eastAsia" w:ascii="宋体" w:hAnsi="宋体" w:eastAsia="宋体" w:cs="Times New Roman"/>
          <w:color w:val="auto"/>
          <w:sz w:val="21"/>
          <w:szCs w:val="21"/>
          <w:highlight w:val="none"/>
        </w:rPr>
        <w:t>的安全，并自行负责相关安全责任。</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、项目未尽事宜将在采购合同中另行约定，中标单位需无条件同意采购人基于为顺利完成本项目所提出的各项合理要求。</w:t>
      </w:r>
    </w:p>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pPr>
        <w:pStyle w:val="4"/>
        <w:spacing w:line="240" w:lineRule="auto"/>
        <w:jc w:val="center"/>
        <w:rPr>
          <w:rFonts w:ascii="宋体" w:hAnsi="宋体" w:cs="宋体"/>
          <w:color w:val="auto"/>
          <w:highlight w:val="none"/>
        </w:rPr>
      </w:pPr>
      <w:bookmarkStart w:id="192" w:name="_Toc16730"/>
      <w:bookmarkStart w:id="193" w:name="_Toc19575"/>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8"/>
        <w:rPr>
          <w:color w:val="auto"/>
          <w:highlight w:val="none"/>
        </w:rPr>
      </w:pPr>
    </w:p>
    <w:p>
      <w:pPr>
        <w:rPr>
          <w:color w:val="auto"/>
          <w:highlight w:val="none"/>
        </w:rPr>
      </w:pPr>
    </w:p>
    <w:p>
      <w:pPr>
        <w:pStyle w:val="4"/>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17761"/>
      <w:bookmarkStart w:id="223" w:name="_Toc20910"/>
      <w:bookmarkStart w:id="224" w:name="_Toc510171693"/>
      <w:bookmarkStart w:id="225" w:name="_Toc509927455"/>
      <w:bookmarkStart w:id="226" w:name="_Toc509844825"/>
      <w:bookmarkStart w:id="227" w:name="_Toc30277"/>
      <w:bookmarkStart w:id="228" w:name="_Toc508898066"/>
      <w:bookmarkStart w:id="229" w:name="_Toc22970"/>
      <w:bookmarkStart w:id="230" w:name="_Toc508958703"/>
      <w:bookmarkStart w:id="231" w:name="_Toc508960153"/>
      <w:bookmarkStart w:id="232" w:name="_Toc30247"/>
      <w:bookmarkStart w:id="233" w:name="_Toc50947953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26216"/>
      <w:bookmarkStart w:id="235" w:name="_Toc508898067"/>
      <w:bookmarkStart w:id="236" w:name="_Toc508960154"/>
      <w:bookmarkStart w:id="237" w:name="_Toc31520"/>
      <w:bookmarkStart w:id="238" w:name="_Toc509927456"/>
      <w:bookmarkStart w:id="239" w:name="_Toc21053"/>
      <w:bookmarkStart w:id="240" w:name="_Toc28527"/>
      <w:bookmarkStart w:id="241" w:name="_Toc5447"/>
      <w:bookmarkStart w:id="242" w:name="_Toc509479531"/>
      <w:bookmarkStart w:id="243" w:name="_Toc510171694"/>
      <w:bookmarkStart w:id="244" w:name="_Toc508958704"/>
      <w:bookmarkStart w:id="245" w:name="_Toc50984482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14653"/>
      <w:bookmarkStart w:id="247" w:name="_Toc509479532"/>
      <w:bookmarkStart w:id="248" w:name="_Toc24848"/>
      <w:bookmarkStart w:id="249" w:name="_Toc508960155"/>
      <w:bookmarkStart w:id="250" w:name="_Toc509927457"/>
      <w:bookmarkStart w:id="251" w:name="_Toc508898068"/>
      <w:bookmarkStart w:id="252" w:name="_Toc28626"/>
      <w:bookmarkStart w:id="253" w:name="_Toc508958705"/>
      <w:bookmarkStart w:id="254" w:name="_Toc510171695"/>
      <w:bookmarkStart w:id="255" w:name="_Toc509844827"/>
      <w:bookmarkStart w:id="256" w:name="_Toc9148"/>
      <w:bookmarkStart w:id="257"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8686"/>
      <w:bookmarkStart w:id="259" w:name="_Toc7858"/>
      <w:bookmarkStart w:id="260" w:name="_Toc508960156"/>
      <w:bookmarkStart w:id="261" w:name="_Toc508958706"/>
      <w:bookmarkStart w:id="262" w:name="_Toc510171696"/>
      <w:bookmarkStart w:id="263" w:name="_Toc509844828"/>
      <w:bookmarkStart w:id="264" w:name="_Toc509927458"/>
      <w:bookmarkStart w:id="265" w:name="_Toc9837"/>
      <w:bookmarkStart w:id="266" w:name="_Toc509479533"/>
      <w:bookmarkStart w:id="267" w:name="_Toc28044"/>
      <w:bookmarkStart w:id="268" w:name="_Toc22981"/>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289"/>
      <w:bookmarkStart w:id="271" w:name="_Toc18843"/>
      <w:bookmarkStart w:id="272" w:name="_Toc508960157"/>
      <w:bookmarkStart w:id="273" w:name="_Toc508898070"/>
      <w:bookmarkStart w:id="274" w:name="_Toc509479534"/>
      <w:bookmarkStart w:id="275" w:name="_Toc509844829"/>
      <w:bookmarkStart w:id="276" w:name="_Toc509927459"/>
      <w:bookmarkStart w:id="277" w:name="_Toc508958707"/>
      <w:bookmarkStart w:id="278" w:name="_Toc51017169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3"/>
        <w:spacing w:line="500" w:lineRule="atLeast"/>
        <w:ind w:firstLine="3517" w:firstLineChars="1675"/>
        <w:rPr>
          <w:rFonts w:ascii="宋体" w:eastAsia="宋体"/>
          <w:color w:val="auto"/>
          <w:sz w:val="21"/>
          <w:szCs w:val="21"/>
          <w:highlight w:val="none"/>
        </w:rPr>
      </w:pP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3"/>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5919"/>
      <w:bookmarkStart w:id="296" w:name="_Toc28067"/>
      <w:bookmarkStart w:id="297" w:name="_Toc17470"/>
      <w:bookmarkStart w:id="298" w:name="_Toc24210"/>
      <w:bookmarkStart w:id="299" w:name="_Toc4926"/>
      <w:bookmarkStart w:id="300" w:name="_Toc1511"/>
      <w:bookmarkStart w:id="301" w:name="_Toc29995"/>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3"/>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26078"/>
      <w:bookmarkStart w:id="320" w:name="_Toc4464"/>
      <w:bookmarkStart w:id="321" w:name="_Toc18668"/>
      <w:bookmarkStart w:id="322" w:name="_Toc4827"/>
      <w:bookmarkStart w:id="323" w:name="_Toc1274"/>
      <w:bookmarkStart w:id="324" w:name="_Toc6080"/>
    </w:p>
    <w:p>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27090"/>
            <w:bookmarkStart w:id="331" w:name="_Toc14815"/>
            <w:bookmarkStart w:id="332" w:name="_Toc22448"/>
            <w:bookmarkStart w:id="333" w:name="_Toc15903"/>
            <w:bookmarkStart w:id="334" w:name="_Toc10045"/>
            <w:bookmarkStart w:id="335" w:name="_Toc4304"/>
            <w:bookmarkStart w:id="336" w:name="_Toc16872"/>
            <w:bookmarkStart w:id="337" w:name="_Toc2700"/>
            <w:bookmarkStart w:id="338" w:name="_Toc1016"/>
            <w:bookmarkStart w:id="339" w:name="_Toc15368"/>
            <w:bookmarkStart w:id="340" w:name="_Toc26124"/>
            <w:bookmarkStart w:id="341" w:name="_Toc12049"/>
            <w:bookmarkStart w:id="342" w:name="_Toc21739"/>
            <w:bookmarkStart w:id="343" w:name="_Toc22917"/>
            <w:bookmarkStart w:id="344" w:name="_Toc32531"/>
            <w:bookmarkStart w:id="345" w:name="_Toc7333"/>
            <w:bookmarkStart w:id="346" w:name="_Toc21809"/>
            <w:bookmarkStart w:id="347" w:name="_Toc8490"/>
            <w:bookmarkStart w:id="348" w:name="_Toc8312"/>
            <w:bookmarkStart w:id="349" w:name="_Toc19251"/>
            <w:bookmarkStart w:id="350" w:name="_Toc27442"/>
            <w:bookmarkStart w:id="351" w:name="_Toc22879"/>
            <w:bookmarkStart w:id="352" w:name="_Toc2466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9838"/>
            <w:bookmarkStart w:id="358" w:name="_Toc27285"/>
            <w:bookmarkStart w:id="359" w:name="_Toc5563"/>
            <w:bookmarkStart w:id="360" w:name="_Toc3701"/>
            <w:bookmarkStart w:id="361" w:name="_Toc27185"/>
            <w:bookmarkStart w:id="362" w:name="_Toc5992"/>
            <w:bookmarkStart w:id="363" w:name="_Toc20820"/>
            <w:bookmarkStart w:id="364" w:name="_Toc17296"/>
            <w:bookmarkStart w:id="365" w:name="_Toc1330"/>
            <w:bookmarkStart w:id="366" w:name="_Toc17642"/>
            <w:bookmarkStart w:id="367" w:name="_Toc1912"/>
            <w:bookmarkStart w:id="368" w:name="_Toc20139"/>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3520"/>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w:t>
      </w:r>
    </w:p>
    <w:p>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0"/>
        <w:rPr>
          <w:rFonts w:ascii="宋体" w:hAnsi="宋体"/>
          <w:color w:val="auto"/>
          <w:szCs w:val="21"/>
          <w:highlight w:val="none"/>
        </w:rPr>
      </w:pPr>
    </w:p>
    <w:p>
      <w:pPr>
        <w:pStyle w:val="40"/>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6"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5D410C7"/>
    <w:rsid w:val="05FF6B6E"/>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2E10E0"/>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5E5F03"/>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302282"/>
    <w:rsid w:val="19A2789F"/>
    <w:rsid w:val="19F45E47"/>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814CBE"/>
    <w:rsid w:val="24AC168B"/>
    <w:rsid w:val="250C6474"/>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9E36063"/>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86380F"/>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87021"/>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E2810D5"/>
    <w:rsid w:val="5E2B7D62"/>
    <w:rsid w:val="5E71411E"/>
    <w:rsid w:val="5EA06921"/>
    <w:rsid w:val="5ED5006A"/>
    <w:rsid w:val="5F576E4B"/>
    <w:rsid w:val="5F5D4EDE"/>
    <w:rsid w:val="5F7A2C30"/>
    <w:rsid w:val="5F7E5DBD"/>
    <w:rsid w:val="5FBE370A"/>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B90D6D"/>
    <w:rsid w:val="66DD6702"/>
    <w:rsid w:val="66EB5152"/>
    <w:rsid w:val="674D780C"/>
    <w:rsid w:val="679406CB"/>
    <w:rsid w:val="67AB52F1"/>
    <w:rsid w:val="67C35C0B"/>
    <w:rsid w:val="67CB096A"/>
    <w:rsid w:val="681233D2"/>
    <w:rsid w:val="681D5EE5"/>
    <w:rsid w:val="68652AB3"/>
    <w:rsid w:val="68700936"/>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CD04B40"/>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016C15"/>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 w:val="7FC331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qFormat/>
    <w:uiPriority w:val="0"/>
    <w:pPr>
      <w:ind w:firstLine="539" w:firstLineChars="174"/>
    </w:pPr>
    <w:rPr>
      <w:rFonts w:ascii="仿宋_GB2312" w:eastAsia="仿宋_GB2312"/>
      <w:sz w:val="31"/>
    </w:rPr>
  </w:style>
  <w:style w:type="paragraph" w:styleId="16">
    <w:name w:val="Balloon Text"/>
    <w:basedOn w:val="1"/>
    <w:link w:val="54"/>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3"/>
    <w:qFormat/>
    <w:uiPriority w:val="9"/>
    <w:rPr>
      <w:rFonts w:asciiTheme="majorHAnsi" w:hAnsiTheme="majorHAnsi" w:eastAsiaTheme="majorEastAsia" w:cstheme="majorBidi"/>
      <w:b/>
      <w:bCs/>
      <w:sz w:val="32"/>
      <w:szCs w:val="32"/>
    </w:rPr>
  </w:style>
  <w:style w:type="character" w:customStyle="1" w:styleId="39">
    <w:name w:val="标题 3 Char"/>
    <w:basedOn w:val="31"/>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34763</Words>
  <Characters>35706</Characters>
  <Lines>392</Lines>
  <Paragraphs>110</Paragraphs>
  <TotalTime>2</TotalTime>
  <ScaleCrop>false</ScaleCrop>
  <LinksUpToDate>false</LinksUpToDate>
  <CharactersWithSpaces>37943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2023-12-05T01:41:17Z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FD971E26AD6C4705B57E6948FCC99947_13</vt:lpwstr>
  </property>
</Properties>
</file>